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6EFEDE38" w:rsidR="00306E5F" w:rsidRPr="00BE2218" w:rsidRDefault="00C00109" w:rsidP="00DE6028">
      <w:pPr>
        <w:pStyle w:val="Spacerparatopoffirstpage"/>
      </w:pPr>
      <w:r>
        <mc:AlternateContent>
          <mc:Choice Requires="wps">
            <w:drawing>
              <wp:anchor distT="0" distB="0" distL="114300" distR="114300" simplePos="0" relativeHeight="251659264" behindDoc="0" locked="0" layoutInCell="1" allowOverlap="1" wp14:anchorId="7475887C" wp14:editId="4B055248">
                <wp:simplePos x="0" y="0"/>
                <wp:positionH relativeFrom="column">
                  <wp:posOffset>2376805</wp:posOffset>
                </wp:positionH>
                <wp:positionV relativeFrom="paragraph">
                  <wp:posOffset>5080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5C1DEAD9" w:rsidR="00A17C7C" w:rsidRPr="007B44BE" w:rsidRDefault="00A17C7C"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56356A">
                              <w:rPr>
                                <w:rFonts w:ascii="VIC Medium" w:hAnsi="VIC Medium"/>
                                <w:sz w:val="28"/>
                                <w:szCs w:val="28"/>
                              </w:rPr>
                              <w:t>January</w:t>
                            </w:r>
                            <w:r>
                              <w:rPr>
                                <w:rFonts w:ascii="VIC Medium" w:hAnsi="VIC Medium"/>
                                <w:sz w:val="28"/>
                                <w:szCs w:val="28"/>
                              </w:rPr>
                              <w:t xml:space="preserve"> – </w:t>
                            </w:r>
                            <w:r w:rsidR="0056356A">
                              <w:rPr>
                                <w:rFonts w:ascii="VIC Medium" w:hAnsi="VIC Medium"/>
                                <w:sz w:val="28"/>
                                <w:szCs w:val="28"/>
                              </w:rPr>
                              <w:t>March 2020</w:t>
                            </w:r>
                            <w:r>
                              <w:rPr>
                                <w:rFonts w:ascii="VIC Medium" w:hAnsi="VIC Medium"/>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4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" filled="f" stroked="f" strokeweight=".5pt">
                <v:textbox>
                  <w:txbxContent>
                    <w:p w14:paraId="16F4D0CE" w14:textId="5C1DEAD9" w:rsidR="00A17C7C" w:rsidRPr="007B44BE" w:rsidRDefault="00A17C7C"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56356A">
                        <w:rPr>
                          <w:rFonts w:ascii="VIC Medium" w:hAnsi="VIC Medium"/>
                          <w:sz w:val="28"/>
                          <w:szCs w:val="28"/>
                        </w:rPr>
                        <w:t>January</w:t>
                      </w:r>
                      <w:r>
                        <w:rPr>
                          <w:rFonts w:ascii="VIC Medium" w:hAnsi="VIC Medium"/>
                          <w:sz w:val="28"/>
                          <w:szCs w:val="28"/>
                        </w:rPr>
                        <w:t xml:space="preserve"> – </w:t>
                      </w:r>
                      <w:r w:rsidR="0056356A">
                        <w:rPr>
                          <w:rFonts w:ascii="VIC Medium" w:hAnsi="VIC Medium"/>
                          <w:sz w:val="28"/>
                          <w:szCs w:val="28"/>
                        </w:rPr>
                        <w:t>March 2020</w:t>
                      </w:r>
                      <w:r>
                        <w:rPr>
                          <w:rFonts w:ascii="VIC Medium" w:hAnsi="VIC Medium"/>
                          <w:sz w:val="28"/>
                          <w:szCs w:val="28"/>
                        </w:rPr>
                        <w:t xml:space="preserve"> </w:t>
                      </w:r>
                    </w:p>
                  </w:txbxContent>
                </v:textbox>
              </v:shape>
            </w:pict>
          </mc:Fallback>
        </mc:AlternateContent>
      </w:r>
      <w:r w:rsidR="00E30F56">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217"/>
      <w:bookmarkEnd w:id="0"/>
      <w:r w:rsidRPr="000B0CCC">
        <w:rPr>
          <w:sz w:val="22"/>
          <w:szCs w:val="22"/>
        </w:rPr>
        <w:t>Contents</w:t>
      </w:r>
      <w:bookmarkEnd w:id="1"/>
      <w:r w:rsidR="00E30F56" w:rsidRPr="000B0CCC">
        <w:rPr>
          <w:sz w:val="22"/>
          <w:szCs w:val="22"/>
        </w:rPr>
        <w:t xml:space="preserve"> </w:t>
      </w:r>
    </w:p>
    <w:p w14:paraId="15A2177B" w14:textId="7FAACD1A" w:rsidR="0056356A" w:rsidRPr="0056356A" w:rsidRDefault="00CF11E1">
      <w:pPr>
        <w:pStyle w:val="TOC1"/>
        <w:rPr>
          <w:rFonts w:asciiTheme="minorHAnsi" w:eastAsiaTheme="minorEastAsia" w:hAnsiTheme="minorHAnsi" w:cstheme="minorBidi"/>
          <w:sz w:val="22"/>
          <w:szCs w:val="22"/>
          <w:lang w:eastAsia="en-AU"/>
        </w:rPr>
      </w:pPr>
      <w:r w:rsidRPr="0056356A">
        <w:rPr>
          <w:rFonts w:ascii="VIC" w:hAnsi="VIC"/>
          <w:sz w:val="22"/>
          <w:szCs w:val="22"/>
        </w:rPr>
        <w:fldChar w:fldCharType="begin"/>
      </w:r>
      <w:r w:rsidRPr="0056356A">
        <w:rPr>
          <w:rFonts w:ascii="VIC" w:hAnsi="VIC"/>
          <w:sz w:val="22"/>
          <w:szCs w:val="22"/>
        </w:rPr>
        <w:instrText xml:space="preserve"> TOC \h \z \t "Heading 1,1,Heading 2,2" </w:instrText>
      </w:r>
      <w:r w:rsidRPr="0056356A">
        <w:rPr>
          <w:rFonts w:ascii="VIC" w:hAnsi="VIC"/>
          <w:sz w:val="22"/>
          <w:szCs w:val="22"/>
        </w:rPr>
        <w:fldChar w:fldCharType="separate"/>
      </w:r>
      <w:hyperlink w:anchor="_Toc37867218" w:history="1">
        <w:r w:rsidR="0056356A" w:rsidRPr="0056356A">
          <w:rPr>
            <w:rStyle w:val="Hyperlink"/>
            <w:sz w:val="22"/>
            <w:szCs w:val="22"/>
          </w:rPr>
          <w:t>Residential (CCU) 2019–20 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_Toc37867218 \h </w:instrText>
        </w:r>
        <w:r w:rsidR="0056356A" w:rsidRPr="0056356A">
          <w:rPr>
            <w:webHidden/>
            <w:sz w:val="22"/>
            <w:szCs w:val="22"/>
          </w:rPr>
        </w:r>
        <w:r w:rsidR="0056356A" w:rsidRPr="0056356A">
          <w:rPr>
            <w:webHidden/>
            <w:sz w:val="22"/>
            <w:szCs w:val="22"/>
          </w:rPr>
          <w:fldChar w:fldCharType="separate"/>
        </w:r>
        <w:r w:rsidR="00D77155">
          <w:rPr>
            <w:webHidden/>
            <w:sz w:val="22"/>
            <w:szCs w:val="22"/>
          </w:rPr>
          <w:t>2</w:t>
        </w:r>
        <w:r w:rsidR="0056356A" w:rsidRPr="0056356A">
          <w:rPr>
            <w:webHidden/>
            <w:sz w:val="22"/>
            <w:szCs w:val="22"/>
          </w:rPr>
          <w:fldChar w:fldCharType="end"/>
        </w:r>
      </w:hyperlink>
    </w:p>
    <w:p w14:paraId="066B8DDF" w14:textId="7ACDFA2F" w:rsidR="0056356A" w:rsidRPr="0056356A" w:rsidRDefault="00D77155">
      <w:pPr>
        <w:pStyle w:val="TOC1"/>
        <w:rPr>
          <w:rFonts w:asciiTheme="minorHAnsi" w:eastAsiaTheme="minorEastAsia" w:hAnsiTheme="minorHAnsi" w:cstheme="minorBidi"/>
          <w:sz w:val="22"/>
          <w:szCs w:val="22"/>
          <w:lang w:eastAsia="en-AU"/>
        </w:rPr>
      </w:pPr>
      <w:hyperlink w:anchor="_Toc37867219" w:history="1">
        <w:r w:rsidR="0056356A" w:rsidRPr="0056356A">
          <w:rPr>
            <w:rStyle w:val="Hyperlink"/>
            <w:sz w:val="22"/>
            <w:szCs w:val="22"/>
          </w:rPr>
          <w:t>Residential (CCU) 2019–20 Q1–Q3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_Toc37867219 \h </w:instrText>
        </w:r>
        <w:r w:rsidR="0056356A" w:rsidRPr="0056356A">
          <w:rPr>
            <w:webHidden/>
            <w:sz w:val="22"/>
            <w:szCs w:val="22"/>
          </w:rPr>
        </w:r>
        <w:r w:rsidR="0056356A" w:rsidRPr="0056356A">
          <w:rPr>
            <w:webHidden/>
            <w:sz w:val="22"/>
            <w:szCs w:val="22"/>
          </w:rPr>
          <w:fldChar w:fldCharType="separate"/>
        </w:r>
        <w:r>
          <w:rPr>
            <w:webHidden/>
            <w:sz w:val="22"/>
            <w:szCs w:val="22"/>
          </w:rPr>
          <w:t>3</w:t>
        </w:r>
        <w:r w:rsidR="0056356A" w:rsidRPr="0056356A">
          <w:rPr>
            <w:webHidden/>
            <w:sz w:val="22"/>
            <w:szCs w:val="22"/>
          </w:rPr>
          <w:fldChar w:fldCharType="end"/>
        </w:r>
      </w:hyperlink>
      <w:bookmarkStart w:id="2" w:name="_GoBack"/>
      <w:bookmarkEnd w:id="2"/>
    </w:p>
    <w:p w14:paraId="672E62BA" w14:textId="6C167817" w:rsidR="0056356A" w:rsidRPr="0056356A" w:rsidRDefault="00D77155">
      <w:pPr>
        <w:pStyle w:val="TOC1"/>
        <w:rPr>
          <w:rFonts w:asciiTheme="minorHAnsi" w:eastAsiaTheme="minorEastAsia" w:hAnsiTheme="minorHAnsi" w:cstheme="minorBidi"/>
          <w:sz w:val="22"/>
          <w:szCs w:val="22"/>
          <w:lang w:eastAsia="en-AU"/>
        </w:rPr>
      </w:pPr>
      <w:hyperlink w:anchor="_Toc37867220" w:history="1">
        <w:r w:rsidR="0056356A" w:rsidRPr="0056356A">
          <w:rPr>
            <w:rStyle w:val="Hyperlink"/>
            <w:sz w:val="22"/>
            <w:szCs w:val="22"/>
          </w:rPr>
          <w:t>Extended care 2019–20 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_Toc37867220 \h </w:instrText>
        </w:r>
        <w:r w:rsidR="0056356A" w:rsidRPr="0056356A">
          <w:rPr>
            <w:webHidden/>
            <w:sz w:val="22"/>
            <w:szCs w:val="22"/>
          </w:rPr>
        </w:r>
        <w:r w:rsidR="0056356A" w:rsidRPr="0056356A">
          <w:rPr>
            <w:webHidden/>
            <w:sz w:val="22"/>
            <w:szCs w:val="22"/>
          </w:rPr>
          <w:fldChar w:fldCharType="separate"/>
        </w:r>
        <w:r>
          <w:rPr>
            <w:webHidden/>
            <w:sz w:val="22"/>
            <w:szCs w:val="22"/>
          </w:rPr>
          <w:t>4</w:t>
        </w:r>
        <w:r w:rsidR="0056356A" w:rsidRPr="0056356A">
          <w:rPr>
            <w:webHidden/>
            <w:sz w:val="22"/>
            <w:szCs w:val="22"/>
          </w:rPr>
          <w:fldChar w:fldCharType="end"/>
        </w:r>
      </w:hyperlink>
    </w:p>
    <w:p w14:paraId="798E54AE" w14:textId="5A7821F9" w:rsidR="0056356A" w:rsidRPr="0056356A" w:rsidRDefault="00D77155">
      <w:pPr>
        <w:pStyle w:val="TOC1"/>
        <w:rPr>
          <w:rFonts w:asciiTheme="minorHAnsi" w:eastAsiaTheme="minorEastAsia" w:hAnsiTheme="minorHAnsi" w:cstheme="minorBidi"/>
          <w:sz w:val="22"/>
          <w:szCs w:val="22"/>
          <w:lang w:eastAsia="en-AU"/>
        </w:rPr>
      </w:pPr>
      <w:hyperlink w:anchor="_Toc37867221" w:history="1">
        <w:r w:rsidR="0056356A" w:rsidRPr="0056356A">
          <w:rPr>
            <w:rStyle w:val="Hyperlink"/>
            <w:sz w:val="22"/>
            <w:szCs w:val="22"/>
          </w:rPr>
          <w:t>Extended care 2019–20 Q1–Q3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_Toc37867221 \h </w:instrText>
        </w:r>
        <w:r w:rsidR="0056356A" w:rsidRPr="0056356A">
          <w:rPr>
            <w:webHidden/>
            <w:sz w:val="22"/>
            <w:szCs w:val="22"/>
          </w:rPr>
        </w:r>
        <w:r w:rsidR="0056356A" w:rsidRPr="0056356A">
          <w:rPr>
            <w:webHidden/>
            <w:sz w:val="22"/>
            <w:szCs w:val="22"/>
          </w:rPr>
          <w:fldChar w:fldCharType="separate"/>
        </w:r>
        <w:r>
          <w:rPr>
            <w:webHidden/>
            <w:sz w:val="22"/>
            <w:szCs w:val="22"/>
          </w:rPr>
          <w:t>5</w:t>
        </w:r>
        <w:r w:rsidR="0056356A" w:rsidRPr="0056356A">
          <w:rPr>
            <w:webHidden/>
            <w:sz w:val="22"/>
            <w:szCs w:val="22"/>
          </w:rPr>
          <w:fldChar w:fldCharType="end"/>
        </w:r>
      </w:hyperlink>
    </w:p>
    <w:p w14:paraId="6453929E" w14:textId="46CEF9AF" w:rsidR="0056356A" w:rsidRPr="0056356A" w:rsidRDefault="00D77155">
      <w:pPr>
        <w:pStyle w:val="TOC1"/>
        <w:rPr>
          <w:rFonts w:asciiTheme="minorHAnsi" w:eastAsiaTheme="minorEastAsia" w:hAnsiTheme="minorHAnsi" w:cstheme="minorBidi"/>
          <w:sz w:val="22"/>
          <w:szCs w:val="22"/>
          <w:lang w:eastAsia="en-AU"/>
        </w:rPr>
      </w:pPr>
      <w:hyperlink w:anchor="_Toc37867222" w:history="1">
        <w:r w:rsidR="0056356A" w:rsidRPr="0056356A">
          <w:rPr>
            <w:rStyle w:val="Hyperlink"/>
            <w:sz w:val="22"/>
            <w:szCs w:val="22"/>
          </w:rPr>
          <w:t>Metropolitan PARC 2019–20 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_Toc37867222 \h </w:instrText>
        </w:r>
        <w:r w:rsidR="0056356A" w:rsidRPr="0056356A">
          <w:rPr>
            <w:webHidden/>
            <w:sz w:val="22"/>
            <w:szCs w:val="22"/>
          </w:rPr>
        </w:r>
        <w:r w:rsidR="0056356A" w:rsidRPr="0056356A">
          <w:rPr>
            <w:webHidden/>
            <w:sz w:val="22"/>
            <w:szCs w:val="22"/>
          </w:rPr>
          <w:fldChar w:fldCharType="separate"/>
        </w:r>
        <w:r>
          <w:rPr>
            <w:webHidden/>
            <w:sz w:val="22"/>
            <w:szCs w:val="22"/>
          </w:rPr>
          <w:t>6</w:t>
        </w:r>
        <w:r w:rsidR="0056356A" w:rsidRPr="0056356A">
          <w:rPr>
            <w:webHidden/>
            <w:sz w:val="22"/>
            <w:szCs w:val="22"/>
          </w:rPr>
          <w:fldChar w:fldCharType="end"/>
        </w:r>
      </w:hyperlink>
    </w:p>
    <w:p w14:paraId="752C9787" w14:textId="75655A6C" w:rsidR="0056356A" w:rsidRPr="0056356A" w:rsidRDefault="00D77155">
      <w:pPr>
        <w:pStyle w:val="TOC1"/>
        <w:rPr>
          <w:rFonts w:asciiTheme="minorHAnsi" w:eastAsiaTheme="minorEastAsia" w:hAnsiTheme="minorHAnsi" w:cstheme="minorBidi"/>
          <w:sz w:val="22"/>
          <w:szCs w:val="22"/>
          <w:lang w:eastAsia="en-AU"/>
        </w:rPr>
      </w:pPr>
      <w:hyperlink w:anchor="_Toc37867223" w:history="1">
        <w:r w:rsidR="0056356A" w:rsidRPr="0056356A">
          <w:rPr>
            <w:rStyle w:val="Hyperlink"/>
            <w:sz w:val="22"/>
            <w:szCs w:val="22"/>
          </w:rPr>
          <w:t>Rural PARC 2019–20 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_Toc37867223 \h </w:instrText>
        </w:r>
        <w:r w:rsidR="0056356A" w:rsidRPr="0056356A">
          <w:rPr>
            <w:webHidden/>
            <w:sz w:val="22"/>
            <w:szCs w:val="22"/>
          </w:rPr>
        </w:r>
        <w:r w:rsidR="0056356A" w:rsidRPr="0056356A">
          <w:rPr>
            <w:webHidden/>
            <w:sz w:val="22"/>
            <w:szCs w:val="22"/>
          </w:rPr>
          <w:fldChar w:fldCharType="separate"/>
        </w:r>
        <w:r>
          <w:rPr>
            <w:webHidden/>
            <w:sz w:val="22"/>
            <w:szCs w:val="22"/>
          </w:rPr>
          <w:t>7</w:t>
        </w:r>
        <w:r w:rsidR="0056356A" w:rsidRPr="0056356A">
          <w:rPr>
            <w:webHidden/>
            <w:sz w:val="22"/>
            <w:szCs w:val="22"/>
          </w:rPr>
          <w:fldChar w:fldCharType="end"/>
        </w:r>
      </w:hyperlink>
    </w:p>
    <w:p w14:paraId="4ABE17F8" w14:textId="6F6F7ABD" w:rsidR="0056356A" w:rsidRPr="0056356A" w:rsidRDefault="00D77155">
      <w:pPr>
        <w:pStyle w:val="TOC1"/>
        <w:rPr>
          <w:rFonts w:asciiTheme="minorHAnsi" w:eastAsiaTheme="minorEastAsia" w:hAnsiTheme="minorHAnsi" w:cstheme="minorBidi"/>
          <w:sz w:val="22"/>
          <w:szCs w:val="22"/>
          <w:lang w:eastAsia="en-AU"/>
        </w:rPr>
      </w:pPr>
      <w:hyperlink w:anchor="_Toc37867224" w:history="1">
        <w:r w:rsidR="0056356A" w:rsidRPr="0056356A">
          <w:rPr>
            <w:rStyle w:val="Hyperlink"/>
            <w:sz w:val="22"/>
            <w:szCs w:val="22"/>
          </w:rPr>
          <w:t>Metropolitan PARC 2019–20 Q1–Q3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_Toc37867224 \h </w:instrText>
        </w:r>
        <w:r w:rsidR="0056356A" w:rsidRPr="0056356A">
          <w:rPr>
            <w:webHidden/>
            <w:sz w:val="22"/>
            <w:szCs w:val="22"/>
          </w:rPr>
        </w:r>
        <w:r w:rsidR="0056356A" w:rsidRPr="0056356A">
          <w:rPr>
            <w:webHidden/>
            <w:sz w:val="22"/>
            <w:szCs w:val="22"/>
          </w:rPr>
          <w:fldChar w:fldCharType="separate"/>
        </w:r>
        <w:r>
          <w:rPr>
            <w:webHidden/>
            <w:sz w:val="22"/>
            <w:szCs w:val="22"/>
          </w:rPr>
          <w:t>8</w:t>
        </w:r>
        <w:r w:rsidR="0056356A" w:rsidRPr="0056356A">
          <w:rPr>
            <w:webHidden/>
            <w:sz w:val="22"/>
            <w:szCs w:val="22"/>
          </w:rPr>
          <w:fldChar w:fldCharType="end"/>
        </w:r>
      </w:hyperlink>
    </w:p>
    <w:p w14:paraId="79AA5DBB" w14:textId="6D2C21A6" w:rsidR="0056356A" w:rsidRPr="0056356A" w:rsidRDefault="00D77155">
      <w:pPr>
        <w:pStyle w:val="TOC1"/>
        <w:rPr>
          <w:rFonts w:asciiTheme="minorHAnsi" w:eastAsiaTheme="minorEastAsia" w:hAnsiTheme="minorHAnsi" w:cstheme="minorBidi"/>
          <w:sz w:val="22"/>
          <w:szCs w:val="22"/>
          <w:lang w:eastAsia="en-AU"/>
        </w:rPr>
      </w:pPr>
      <w:hyperlink w:anchor="_Toc37867225" w:history="1">
        <w:r w:rsidR="0056356A" w:rsidRPr="0056356A">
          <w:rPr>
            <w:rStyle w:val="Hyperlink"/>
            <w:sz w:val="22"/>
            <w:szCs w:val="22"/>
          </w:rPr>
          <w:t>Rural PARC 2019–20 Q1–Q3</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_Toc37867225 \h </w:instrText>
        </w:r>
        <w:r w:rsidR="0056356A" w:rsidRPr="0056356A">
          <w:rPr>
            <w:webHidden/>
            <w:sz w:val="22"/>
            <w:szCs w:val="22"/>
          </w:rPr>
        </w:r>
        <w:r w:rsidR="0056356A" w:rsidRPr="0056356A">
          <w:rPr>
            <w:webHidden/>
            <w:sz w:val="22"/>
            <w:szCs w:val="22"/>
          </w:rPr>
          <w:fldChar w:fldCharType="separate"/>
        </w:r>
        <w:r>
          <w:rPr>
            <w:webHidden/>
            <w:sz w:val="22"/>
            <w:szCs w:val="22"/>
          </w:rPr>
          <w:t>9</w:t>
        </w:r>
        <w:r w:rsidR="0056356A" w:rsidRPr="0056356A">
          <w:rPr>
            <w:webHidden/>
            <w:sz w:val="22"/>
            <w:szCs w:val="22"/>
          </w:rPr>
          <w:fldChar w:fldCharType="end"/>
        </w:r>
      </w:hyperlink>
    </w:p>
    <w:p w14:paraId="17DACA91" w14:textId="7E2EE3B2" w:rsidR="0056356A" w:rsidRPr="0056356A" w:rsidRDefault="00D77155">
      <w:pPr>
        <w:pStyle w:val="TOC1"/>
        <w:rPr>
          <w:rFonts w:asciiTheme="minorHAnsi" w:eastAsiaTheme="minorEastAsia" w:hAnsiTheme="minorHAnsi" w:cstheme="minorBidi"/>
          <w:sz w:val="22"/>
          <w:szCs w:val="22"/>
          <w:lang w:eastAsia="en-AU"/>
        </w:rPr>
      </w:pPr>
      <w:hyperlink w:anchor="_Toc37867226" w:history="1">
        <w:r w:rsidR="0056356A" w:rsidRPr="0056356A">
          <w:rPr>
            <w:rStyle w:val="Hyperlink"/>
            <w:sz w:val="22"/>
            <w:szCs w:val="22"/>
          </w:rPr>
          <w:t>Indicator descriptions and notes</w:t>
        </w:r>
        <w:r w:rsidR="0056356A" w:rsidRPr="0056356A">
          <w:rPr>
            <w:webHidden/>
            <w:sz w:val="22"/>
            <w:szCs w:val="22"/>
          </w:rPr>
          <w:tab/>
        </w:r>
        <w:r w:rsidR="0056356A" w:rsidRPr="0056356A">
          <w:rPr>
            <w:webHidden/>
            <w:sz w:val="22"/>
            <w:szCs w:val="22"/>
          </w:rPr>
          <w:fldChar w:fldCharType="begin"/>
        </w:r>
        <w:r w:rsidR="0056356A" w:rsidRPr="0056356A">
          <w:rPr>
            <w:webHidden/>
            <w:sz w:val="22"/>
            <w:szCs w:val="22"/>
          </w:rPr>
          <w:instrText xml:space="preserve"> PAGEREF _Toc37867226 \h </w:instrText>
        </w:r>
        <w:r w:rsidR="0056356A" w:rsidRPr="0056356A">
          <w:rPr>
            <w:webHidden/>
            <w:sz w:val="22"/>
            <w:szCs w:val="22"/>
          </w:rPr>
        </w:r>
        <w:r w:rsidR="0056356A" w:rsidRPr="0056356A">
          <w:rPr>
            <w:webHidden/>
            <w:sz w:val="22"/>
            <w:szCs w:val="22"/>
          </w:rPr>
          <w:fldChar w:fldCharType="separate"/>
        </w:r>
        <w:r>
          <w:rPr>
            <w:webHidden/>
            <w:sz w:val="22"/>
            <w:szCs w:val="22"/>
          </w:rPr>
          <w:t>10</w:t>
        </w:r>
        <w:r w:rsidR="0056356A" w:rsidRPr="0056356A">
          <w:rPr>
            <w:webHidden/>
            <w:sz w:val="22"/>
            <w:szCs w:val="22"/>
          </w:rPr>
          <w:fldChar w:fldCharType="end"/>
        </w:r>
      </w:hyperlink>
    </w:p>
    <w:p w14:paraId="0AD25754" w14:textId="708F5B5E" w:rsidR="00CF11E1" w:rsidRDefault="00CF11E1" w:rsidP="00CF11E1">
      <w:pPr>
        <w:pStyle w:val="VAHIbody"/>
        <w:spacing w:before="240"/>
        <w:rPr>
          <w:rFonts w:eastAsia="Times New Roman"/>
          <w:sz w:val="16"/>
        </w:rPr>
      </w:pPr>
      <w:r w:rsidRPr="0056356A">
        <w:rPr>
          <w:rFonts w:eastAsia="Times New Roman"/>
          <w:sz w:val="22"/>
          <w:szCs w:val="22"/>
        </w:rPr>
        <w:fldChar w:fldCharType="end"/>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199948A3" w:rsidR="00BE2218" w:rsidRDefault="00334CCF" w:rsidP="008D13A2">
      <w:pPr>
        <w:pStyle w:val="VAHInumberlowerromanindent"/>
        <w:numPr>
          <w:ilvl w:val="0"/>
          <w:numId w:val="0"/>
        </w:numPr>
        <w:ind w:left="794"/>
        <w:rPr>
          <w:rFonts w:eastAsia="MS Gothic" w:cs="Arial"/>
          <w:color w:val="004EA8"/>
          <w:kern w:val="32"/>
          <w:sz w:val="36"/>
          <w:szCs w:val="40"/>
        </w:rPr>
      </w:pPr>
      <w:r>
        <w:rPr>
          <w:noProof/>
        </w:rPr>
        <w:drawing>
          <wp:anchor distT="0" distB="0" distL="114300" distR="114300" simplePos="0" relativeHeight="251661312" behindDoc="0" locked="0" layoutInCell="1" allowOverlap="1" wp14:anchorId="2884653D" wp14:editId="51992588">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238F84D0" w:rsidR="00E67EC5" w:rsidRPr="00592F37" w:rsidRDefault="00E67EC5" w:rsidP="00E67EC5">
            <w:pPr>
              <w:pStyle w:val="Heading1"/>
              <w:spacing w:before="0" w:line="240" w:lineRule="auto"/>
              <w:rPr>
                <w:color w:val="244C5A"/>
                <w:sz w:val="28"/>
                <w:szCs w:val="28"/>
              </w:rPr>
            </w:pPr>
            <w:bookmarkStart w:id="3" w:name="_Toc17978050"/>
            <w:bookmarkStart w:id="4" w:name="_Toc21699119"/>
            <w:bookmarkStart w:id="5" w:name="_Toc37867218"/>
            <w:r>
              <w:rPr>
                <w:color w:val="244C5A"/>
                <w:sz w:val="22"/>
                <w:szCs w:val="28"/>
              </w:rPr>
              <w:lastRenderedPageBreak/>
              <w:t>Residential (CCU)</w:t>
            </w:r>
            <w:r w:rsidRPr="00052DAD">
              <w:rPr>
                <w:color w:val="244C5A"/>
                <w:sz w:val="22"/>
                <w:szCs w:val="28"/>
              </w:rPr>
              <w:br w:type="textWrapping" w:clear="all"/>
            </w:r>
            <w:r w:rsidR="005406C4">
              <w:rPr>
                <w:color w:val="244C5A"/>
                <w:sz w:val="22"/>
                <w:szCs w:val="28"/>
              </w:rPr>
              <w:t>2019–20 Q</w:t>
            </w:r>
            <w:bookmarkEnd w:id="3"/>
            <w:bookmarkEnd w:id="4"/>
            <w:r w:rsidR="0056356A">
              <w:rPr>
                <w:color w:val="244C5A"/>
                <w:sz w:val="22"/>
                <w:szCs w:val="28"/>
              </w:rPr>
              <w:t>3</w:t>
            </w:r>
            <w:bookmarkEnd w:id="5"/>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847E82" w:rsidRPr="00A6366B" w14:paraId="5AEF62E7" w14:textId="77777777" w:rsidTr="00EC71A3">
        <w:trPr>
          <w:trHeight w:val="340"/>
        </w:trPr>
        <w:tc>
          <w:tcPr>
            <w:tcW w:w="2135" w:type="dxa"/>
            <w:shd w:val="clear" w:color="auto" w:fill="BFCED6"/>
          </w:tcPr>
          <w:p w14:paraId="54B56F45" w14:textId="7DCC4ACB" w:rsidR="00847E82" w:rsidRPr="00382424" w:rsidRDefault="00847E82" w:rsidP="00847E82">
            <w:pPr>
              <w:pStyle w:val="DHHStabletext"/>
              <w:spacing w:before="0" w:after="0"/>
              <w:rPr>
                <w:rFonts w:ascii="VIC" w:eastAsia="Verdana" w:hAnsi="VIC" w:cs="Verdana"/>
                <w:sz w:val="18"/>
                <w:szCs w:val="18"/>
              </w:rPr>
            </w:pPr>
            <w:bookmarkStart w:id="6" w:name="_Hlk15473260"/>
            <w:r w:rsidRPr="00427725">
              <w:rPr>
                <w:rFonts w:ascii="VIC" w:eastAsia="Verdana" w:hAnsi="VIC"/>
                <w:color w:val="000000"/>
                <w:sz w:val="18"/>
                <w:szCs w:val="18"/>
              </w:rPr>
              <w:t>Alfred Health</w:t>
            </w:r>
          </w:p>
        </w:tc>
        <w:tc>
          <w:tcPr>
            <w:tcW w:w="2695" w:type="dxa"/>
            <w:shd w:val="clear" w:color="auto" w:fill="BFCED6"/>
          </w:tcPr>
          <w:p w14:paraId="4F7A89AD" w14:textId="3ADB49D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South East (The Alfred)</w:t>
            </w:r>
          </w:p>
        </w:tc>
        <w:tc>
          <w:tcPr>
            <w:tcW w:w="1212" w:type="dxa"/>
            <w:shd w:val="clear" w:color="auto" w:fill="BFCED6"/>
          </w:tcPr>
          <w:p w14:paraId="2B0082FF" w14:textId="09ACE3E6" w:rsidR="00847E82" w:rsidRPr="005B1FEF" w:rsidRDefault="00847E82" w:rsidP="00847E82">
            <w:pPr>
              <w:jc w:val="center"/>
              <w:rPr>
                <w:rFonts w:ascii="VIC" w:hAnsi="VIC"/>
                <w:sz w:val="18"/>
                <w:szCs w:val="18"/>
              </w:rPr>
            </w:pPr>
            <w:r w:rsidRPr="00427725">
              <w:rPr>
                <w:rFonts w:ascii="VIC" w:eastAsia="Verdana" w:hAnsi="VIC"/>
                <w:color w:val="000000"/>
                <w:sz w:val="18"/>
                <w:szCs w:val="18"/>
              </w:rPr>
              <w:t>0.9</w:t>
            </w:r>
          </w:p>
        </w:tc>
        <w:tc>
          <w:tcPr>
            <w:tcW w:w="1213" w:type="dxa"/>
            <w:shd w:val="clear" w:color="auto" w:fill="BFCED6"/>
          </w:tcPr>
          <w:p w14:paraId="4DAE3F9C" w14:textId="48AFAEC5"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213" w:type="dxa"/>
            <w:shd w:val="clear" w:color="auto" w:fill="BFCED6"/>
          </w:tcPr>
          <w:p w14:paraId="30CB2EBF" w14:textId="16D08898"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7DCD1E83" w14:textId="5914FE91" w:rsidR="00847E82" w:rsidRPr="005B1FEF" w:rsidRDefault="00847E82" w:rsidP="00847E82">
            <w:pPr>
              <w:jc w:val="center"/>
              <w:rPr>
                <w:rFonts w:ascii="VIC" w:hAnsi="VIC"/>
                <w:sz w:val="18"/>
                <w:szCs w:val="18"/>
              </w:rPr>
            </w:pPr>
            <w:r w:rsidRPr="00427725">
              <w:rPr>
                <w:rFonts w:ascii="VIC" w:eastAsia="Verdana" w:hAnsi="VIC"/>
                <w:color w:val="000000"/>
                <w:sz w:val="18"/>
                <w:szCs w:val="18"/>
              </w:rPr>
              <w:t>220.1</w:t>
            </w:r>
          </w:p>
        </w:tc>
        <w:tc>
          <w:tcPr>
            <w:tcW w:w="1212" w:type="dxa"/>
            <w:shd w:val="clear" w:color="auto" w:fill="BFCED6"/>
          </w:tcPr>
          <w:p w14:paraId="41189295" w14:textId="1576E83B" w:rsidR="00847E82" w:rsidRPr="005B1FEF" w:rsidRDefault="00847E82" w:rsidP="00847E82">
            <w:pPr>
              <w:jc w:val="center"/>
              <w:rPr>
                <w:rFonts w:ascii="VIC" w:hAnsi="VIC"/>
                <w:sz w:val="18"/>
                <w:szCs w:val="18"/>
              </w:rPr>
            </w:pPr>
            <w:r w:rsidRPr="00427725">
              <w:rPr>
                <w:rFonts w:ascii="VIC" w:eastAsia="Verdana" w:hAnsi="VIC"/>
                <w:color w:val="000000"/>
                <w:sz w:val="18"/>
                <w:szCs w:val="18"/>
              </w:rPr>
              <w:t>31 %</w:t>
            </w:r>
          </w:p>
        </w:tc>
        <w:tc>
          <w:tcPr>
            <w:tcW w:w="1213" w:type="dxa"/>
            <w:shd w:val="clear" w:color="auto" w:fill="BFCED6"/>
          </w:tcPr>
          <w:p w14:paraId="66BC35DE" w14:textId="0DB7D3F6" w:rsidR="00847E82" w:rsidRPr="005B1FEF" w:rsidRDefault="00847E82" w:rsidP="00847E82">
            <w:pPr>
              <w:jc w:val="center"/>
              <w:rPr>
                <w:rFonts w:ascii="VIC" w:hAnsi="VIC"/>
                <w:sz w:val="18"/>
                <w:szCs w:val="18"/>
              </w:rPr>
            </w:pPr>
            <w:r w:rsidRPr="00427725">
              <w:rPr>
                <w:rFonts w:ascii="VIC" w:eastAsia="Verdana" w:hAnsi="VIC"/>
                <w:color w:val="000000"/>
                <w:sz w:val="18"/>
                <w:szCs w:val="18"/>
              </w:rPr>
              <w:t>80 %</w:t>
            </w:r>
          </w:p>
        </w:tc>
        <w:tc>
          <w:tcPr>
            <w:tcW w:w="1213" w:type="dxa"/>
            <w:shd w:val="clear" w:color="auto" w:fill="BFCED6"/>
          </w:tcPr>
          <w:p w14:paraId="5D6B7A63" w14:textId="604B4481" w:rsidR="00847E82" w:rsidRPr="005B1FEF" w:rsidRDefault="00847E82" w:rsidP="00847E82">
            <w:pPr>
              <w:jc w:val="center"/>
              <w:rPr>
                <w:rFonts w:ascii="VIC" w:hAnsi="VIC"/>
                <w:sz w:val="18"/>
                <w:szCs w:val="18"/>
              </w:rPr>
            </w:pPr>
            <w:r w:rsidRPr="00427725">
              <w:rPr>
                <w:rFonts w:ascii="VIC" w:eastAsia="Verdana" w:hAnsi="VIC"/>
                <w:color w:val="000000"/>
                <w:sz w:val="18"/>
                <w:szCs w:val="18"/>
              </w:rPr>
              <w:t>12.6</w:t>
            </w:r>
          </w:p>
        </w:tc>
        <w:tc>
          <w:tcPr>
            <w:tcW w:w="1213" w:type="dxa"/>
            <w:shd w:val="clear" w:color="auto" w:fill="BFCED6"/>
          </w:tcPr>
          <w:p w14:paraId="7F4301A7" w14:textId="428FF549"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213" w:type="dxa"/>
            <w:shd w:val="clear" w:color="auto" w:fill="BFCED6"/>
          </w:tcPr>
          <w:p w14:paraId="48A34DC4" w14:textId="27C1C4FE" w:rsidR="00847E82" w:rsidRPr="005B1FEF" w:rsidRDefault="00847E82" w:rsidP="00847E82">
            <w:pPr>
              <w:jc w:val="center"/>
              <w:rPr>
                <w:rFonts w:ascii="VIC" w:hAnsi="VIC"/>
                <w:sz w:val="18"/>
                <w:szCs w:val="18"/>
              </w:rPr>
            </w:pPr>
            <w:r w:rsidRPr="00427725">
              <w:rPr>
                <w:rFonts w:ascii="VIC" w:eastAsia="Verdana" w:hAnsi="VIC"/>
                <w:color w:val="000000"/>
                <w:sz w:val="18"/>
                <w:szCs w:val="18"/>
              </w:rPr>
              <w:t>49 %</w:t>
            </w:r>
          </w:p>
        </w:tc>
      </w:tr>
      <w:tr w:rsidR="00847E82" w:rsidRPr="00A6366B" w14:paraId="681BA44E" w14:textId="77777777" w:rsidTr="00EC71A3">
        <w:trPr>
          <w:trHeight w:val="340"/>
        </w:trPr>
        <w:tc>
          <w:tcPr>
            <w:tcW w:w="2135" w:type="dxa"/>
          </w:tcPr>
          <w:p w14:paraId="2CB2150E" w14:textId="0862FB6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Austin Health</w:t>
            </w:r>
          </w:p>
        </w:tc>
        <w:tc>
          <w:tcPr>
            <w:tcW w:w="2695" w:type="dxa"/>
          </w:tcPr>
          <w:p w14:paraId="46DE8B75" w14:textId="1475D672"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(Austin)</w:t>
            </w:r>
          </w:p>
        </w:tc>
        <w:tc>
          <w:tcPr>
            <w:tcW w:w="1212" w:type="dxa"/>
          </w:tcPr>
          <w:p w14:paraId="6298EB62" w14:textId="07B09222" w:rsidR="00847E82" w:rsidRPr="005B1FEF" w:rsidRDefault="00847E82" w:rsidP="00847E82">
            <w:pPr>
              <w:jc w:val="center"/>
              <w:rPr>
                <w:rFonts w:ascii="VIC" w:hAnsi="VIC"/>
                <w:sz w:val="18"/>
                <w:szCs w:val="18"/>
              </w:rPr>
            </w:pPr>
            <w:r w:rsidRPr="00427725">
              <w:rPr>
                <w:rFonts w:ascii="VIC" w:eastAsia="Verdana" w:hAnsi="VIC"/>
                <w:color w:val="000000"/>
                <w:sz w:val="18"/>
                <w:szCs w:val="18"/>
              </w:rPr>
              <w:t>1.8</w:t>
            </w:r>
          </w:p>
        </w:tc>
        <w:tc>
          <w:tcPr>
            <w:tcW w:w="1213" w:type="dxa"/>
          </w:tcPr>
          <w:p w14:paraId="1F8AED50" w14:textId="1BE2D71B"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213" w:type="dxa"/>
          </w:tcPr>
          <w:p w14:paraId="2FBEE051" w14:textId="6862D57D" w:rsidR="00847E82" w:rsidRPr="005B1FEF" w:rsidRDefault="00847E82" w:rsidP="00847E82">
            <w:pPr>
              <w:jc w:val="center"/>
              <w:rPr>
                <w:rFonts w:ascii="VIC" w:hAnsi="VIC"/>
                <w:sz w:val="18"/>
                <w:szCs w:val="18"/>
              </w:rPr>
            </w:pPr>
            <w:r w:rsidRPr="00427725">
              <w:rPr>
                <w:rFonts w:ascii="VIC" w:eastAsia="Verdana" w:hAnsi="VIC"/>
                <w:color w:val="000000"/>
                <w:sz w:val="18"/>
                <w:szCs w:val="18"/>
              </w:rPr>
              <w:t>22 %</w:t>
            </w:r>
          </w:p>
        </w:tc>
        <w:tc>
          <w:tcPr>
            <w:tcW w:w="1213" w:type="dxa"/>
          </w:tcPr>
          <w:p w14:paraId="48B05D7D" w14:textId="32A4FC78" w:rsidR="00847E82" w:rsidRPr="005B1FEF" w:rsidRDefault="00847E82" w:rsidP="00847E82">
            <w:pPr>
              <w:jc w:val="center"/>
              <w:rPr>
                <w:rFonts w:ascii="VIC" w:hAnsi="VIC"/>
                <w:sz w:val="18"/>
                <w:szCs w:val="18"/>
              </w:rPr>
            </w:pPr>
            <w:r w:rsidRPr="00427725">
              <w:rPr>
                <w:rFonts w:ascii="VIC" w:eastAsia="Verdana" w:hAnsi="VIC"/>
                <w:color w:val="000000"/>
                <w:sz w:val="18"/>
                <w:szCs w:val="18"/>
              </w:rPr>
              <w:t>272.5</w:t>
            </w:r>
          </w:p>
        </w:tc>
        <w:tc>
          <w:tcPr>
            <w:tcW w:w="1212" w:type="dxa"/>
          </w:tcPr>
          <w:p w14:paraId="30FF6AFD" w14:textId="7E765C2F" w:rsidR="00847E82" w:rsidRPr="005B1FEF" w:rsidRDefault="00847E82" w:rsidP="00847E82">
            <w:pPr>
              <w:jc w:val="center"/>
              <w:rPr>
                <w:rFonts w:ascii="VIC" w:hAnsi="VIC"/>
                <w:sz w:val="18"/>
                <w:szCs w:val="18"/>
              </w:rPr>
            </w:pPr>
            <w:r w:rsidRPr="00427725">
              <w:rPr>
                <w:rFonts w:ascii="VIC" w:eastAsia="Verdana" w:hAnsi="VIC"/>
                <w:color w:val="000000"/>
                <w:sz w:val="18"/>
                <w:szCs w:val="18"/>
              </w:rPr>
              <w:t>15 %</w:t>
            </w:r>
          </w:p>
        </w:tc>
        <w:tc>
          <w:tcPr>
            <w:tcW w:w="1213" w:type="dxa"/>
          </w:tcPr>
          <w:p w14:paraId="51B838F0" w14:textId="1DBB7A0D"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213" w:type="dxa"/>
          </w:tcPr>
          <w:p w14:paraId="236D1E8A" w14:textId="480DB18F" w:rsidR="00847E82" w:rsidRPr="005B1FEF" w:rsidRDefault="00847E82" w:rsidP="00847E82">
            <w:pPr>
              <w:jc w:val="center"/>
              <w:rPr>
                <w:rFonts w:ascii="VIC" w:hAnsi="VIC"/>
                <w:sz w:val="18"/>
                <w:szCs w:val="18"/>
              </w:rPr>
            </w:pPr>
          </w:p>
        </w:tc>
        <w:tc>
          <w:tcPr>
            <w:tcW w:w="1213" w:type="dxa"/>
          </w:tcPr>
          <w:p w14:paraId="2C395552" w14:textId="3C460BAE"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213" w:type="dxa"/>
          </w:tcPr>
          <w:p w14:paraId="2E8B05AE" w14:textId="663AEC93" w:rsidR="00847E82" w:rsidRPr="005B1FEF" w:rsidRDefault="00847E82" w:rsidP="00847E82">
            <w:pPr>
              <w:jc w:val="center"/>
              <w:rPr>
                <w:rFonts w:ascii="VIC" w:hAnsi="VIC"/>
                <w:sz w:val="18"/>
                <w:szCs w:val="18"/>
              </w:rPr>
            </w:pPr>
            <w:r w:rsidRPr="00427725">
              <w:rPr>
                <w:rFonts w:ascii="VIC" w:eastAsia="Verdana" w:hAnsi="VIC"/>
                <w:color w:val="000000"/>
                <w:sz w:val="18"/>
                <w:szCs w:val="18"/>
              </w:rPr>
              <w:t>54 %</w:t>
            </w:r>
          </w:p>
        </w:tc>
      </w:tr>
      <w:bookmarkEnd w:id="6"/>
      <w:tr w:rsidR="00847E82" w:rsidRPr="00A6366B" w14:paraId="2479B07E" w14:textId="77777777" w:rsidTr="00EC71A3">
        <w:trPr>
          <w:trHeight w:val="340"/>
        </w:trPr>
        <w:tc>
          <w:tcPr>
            <w:tcW w:w="2135" w:type="dxa"/>
            <w:vMerge w:val="restart"/>
            <w:shd w:val="clear" w:color="auto" w:fill="BFCED6"/>
          </w:tcPr>
          <w:p w14:paraId="077B22C0" w14:textId="7CFD615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Eastern Health</w:t>
            </w:r>
          </w:p>
        </w:tc>
        <w:tc>
          <w:tcPr>
            <w:tcW w:w="2695" w:type="dxa"/>
            <w:shd w:val="clear" w:color="auto" w:fill="BFCED6"/>
          </w:tcPr>
          <w:p w14:paraId="19F0CE22" w14:textId="39EE23F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Central East (Box Hill)</w:t>
            </w:r>
          </w:p>
        </w:tc>
        <w:tc>
          <w:tcPr>
            <w:tcW w:w="1212" w:type="dxa"/>
            <w:shd w:val="clear" w:color="auto" w:fill="BFCED6"/>
          </w:tcPr>
          <w:p w14:paraId="4620B289" w14:textId="7FE6BD41" w:rsidR="00847E82" w:rsidRPr="005B1FEF" w:rsidRDefault="00847E82" w:rsidP="00847E82">
            <w:pPr>
              <w:jc w:val="center"/>
              <w:rPr>
                <w:rFonts w:ascii="VIC" w:hAnsi="VIC"/>
                <w:sz w:val="18"/>
                <w:szCs w:val="18"/>
              </w:rPr>
            </w:pPr>
            <w:r w:rsidRPr="00427725">
              <w:rPr>
                <w:rFonts w:ascii="VIC" w:eastAsia="Verdana" w:hAnsi="VIC"/>
                <w:color w:val="000000"/>
                <w:sz w:val="18"/>
                <w:szCs w:val="18"/>
              </w:rPr>
              <w:t>0.8</w:t>
            </w:r>
          </w:p>
        </w:tc>
        <w:tc>
          <w:tcPr>
            <w:tcW w:w="1213" w:type="dxa"/>
            <w:shd w:val="clear" w:color="auto" w:fill="BFCED6"/>
          </w:tcPr>
          <w:p w14:paraId="6F6E16D8" w14:textId="51F7507C"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213" w:type="dxa"/>
            <w:shd w:val="clear" w:color="auto" w:fill="BFCED6"/>
          </w:tcPr>
          <w:p w14:paraId="6D6F5DF1" w14:textId="17D79837"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6473E1F5" w14:textId="44F7306D" w:rsidR="00847E82" w:rsidRPr="005B1FEF" w:rsidRDefault="00847E82" w:rsidP="00847E82">
            <w:pPr>
              <w:jc w:val="center"/>
              <w:rPr>
                <w:rFonts w:ascii="VIC" w:hAnsi="VIC"/>
                <w:sz w:val="18"/>
                <w:szCs w:val="18"/>
              </w:rPr>
            </w:pPr>
            <w:r w:rsidRPr="00427725">
              <w:rPr>
                <w:rFonts w:ascii="VIC" w:eastAsia="Verdana" w:hAnsi="VIC"/>
                <w:color w:val="000000"/>
                <w:sz w:val="18"/>
                <w:szCs w:val="18"/>
              </w:rPr>
              <w:t>245.6</w:t>
            </w:r>
          </w:p>
        </w:tc>
        <w:tc>
          <w:tcPr>
            <w:tcW w:w="1212" w:type="dxa"/>
            <w:shd w:val="clear" w:color="auto" w:fill="BFCED6"/>
          </w:tcPr>
          <w:p w14:paraId="4CB05423" w14:textId="5A099326" w:rsidR="00847E82" w:rsidRPr="005B1FEF" w:rsidRDefault="00847E82" w:rsidP="00847E82">
            <w:pPr>
              <w:jc w:val="center"/>
              <w:rPr>
                <w:rFonts w:ascii="VIC" w:hAnsi="VIC"/>
                <w:sz w:val="18"/>
                <w:szCs w:val="18"/>
              </w:rPr>
            </w:pPr>
            <w:r w:rsidRPr="00427725">
              <w:rPr>
                <w:rFonts w:ascii="VIC" w:eastAsia="Verdana" w:hAnsi="VIC"/>
                <w:color w:val="000000"/>
                <w:sz w:val="18"/>
                <w:szCs w:val="18"/>
              </w:rPr>
              <w:t>21 %</w:t>
            </w:r>
          </w:p>
        </w:tc>
        <w:tc>
          <w:tcPr>
            <w:tcW w:w="1213" w:type="dxa"/>
            <w:shd w:val="clear" w:color="auto" w:fill="BFCED6"/>
          </w:tcPr>
          <w:p w14:paraId="23989E47" w14:textId="3C5EF292" w:rsidR="00847E82" w:rsidRPr="005B1FEF" w:rsidRDefault="00847E82" w:rsidP="00847E82">
            <w:pPr>
              <w:jc w:val="center"/>
              <w:rPr>
                <w:rFonts w:ascii="VIC" w:hAnsi="VIC"/>
                <w:sz w:val="18"/>
                <w:szCs w:val="18"/>
              </w:rPr>
            </w:pPr>
            <w:r w:rsidRPr="00427725">
              <w:rPr>
                <w:rFonts w:ascii="VIC" w:eastAsia="Verdana" w:hAnsi="VIC"/>
                <w:color w:val="000000"/>
                <w:sz w:val="18"/>
                <w:szCs w:val="18"/>
              </w:rPr>
              <w:t>87 %</w:t>
            </w:r>
          </w:p>
        </w:tc>
        <w:tc>
          <w:tcPr>
            <w:tcW w:w="1213" w:type="dxa"/>
            <w:shd w:val="clear" w:color="auto" w:fill="BFCED6"/>
          </w:tcPr>
          <w:p w14:paraId="30FCE249" w14:textId="218C95BF" w:rsidR="00847E82" w:rsidRPr="005B1FEF" w:rsidRDefault="00847E82" w:rsidP="00847E82">
            <w:pPr>
              <w:jc w:val="center"/>
              <w:rPr>
                <w:rFonts w:ascii="VIC" w:hAnsi="VIC"/>
                <w:sz w:val="18"/>
                <w:szCs w:val="18"/>
              </w:rPr>
            </w:pPr>
            <w:r w:rsidRPr="00427725">
              <w:rPr>
                <w:rFonts w:ascii="VIC" w:eastAsia="Verdana" w:hAnsi="VIC"/>
                <w:color w:val="000000"/>
                <w:sz w:val="18"/>
                <w:szCs w:val="18"/>
              </w:rPr>
              <w:t>18.4</w:t>
            </w:r>
          </w:p>
        </w:tc>
        <w:tc>
          <w:tcPr>
            <w:tcW w:w="1213" w:type="dxa"/>
            <w:shd w:val="clear" w:color="auto" w:fill="BFCED6"/>
          </w:tcPr>
          <w:p w14:paraId="7081D1D9" w14:textId="29597789" w:rsidR="00847E82" w:rsidRPr="005B1FEF" w:rsidRDefault="00847E82" w:rsidP="00847E82">
            <w:pPr>
              <w:jc w:val="center"/>
              <w:rPr>
                <w:rFonts w:ascii="VIC" w:hAnsi="VIC"/>
                <w:sz w:val="18"/>
                <w:szCs w:val="18"/>
              </w:rPr>
            </w:pPr>
            <w:r w:rsidRPr="00427725">
              <w:rPr>
                <w:rFonts w:ascii="VIC" w:eastAsia="Verdana" w:hAnsi="VIC"/>
                <w:color w:val="000000"/>
                <w:sz w:val="18"/>
                <w:szCs w:val="18"/>
              </w:rPr>
              <w:t>45 %</w:t>
            </w:r>
          </w:p>
        </w:tc>
        <w:tc>
          <w:tcPr>
            <w:tcW w:w="1213" w:type="dxa"/>
            <w:shd w:val="clear" w:color="auto" w:fill="BFCED6"/>
          </w:tcPr>
          <w:p w14:paraId="3F5C6F0A" w14:textId="684B909E" w:rsidR="00847E82" w:rsidRPr="005B1FEF" w:rsidRDefault="00847E82" w:rsidP="00847E82">
            <w:pPr>
              <w:jc w:val="center"/>
              <w:rPr>
                <w:rFonts w:ascii="VIC" w:hAnsi="VIC"/>
                <w:sz w:val="18"/>
                <w:szCs w:val="18"/>
              </w:rPr>
            </w:pPr>
            <w:r w:rsidRPr="00427725">
              <w:rPr>
                <w:rFonts w:ascii="VIC" w:eastAsia="Verdana" w:hAnsi="VIC"/>
                <w:color w:val="000000"/>
                <w:sz w:val="18"/>
                <w:szCs w:val="18"/>
              </w:rPr>
              <w:t>32 %</w:t>
            </w:r>
          </w:p>
        </w:tc>
      </w:tr>
      <w:tr w:rsidR="00847E82" w:rsidRPr="00A6366B" w14:paraId="3A2E3850" w14:textId="77777777" w:rsidTr="00EC71A3">
        <w:trPr>
          <w:trHeight w:val="340"/>
        </w:trPr>
        <w:tc>
          <w:tcPr>
            <w:tcW w:w="2135" w:type="dxa"/>
            <w:vMerge/>
            <w:shd w:val="clear" w:color="auto" w:fill="BFCED6"/>
          </w:tcPr>
          <w:p w14:paraId="6B748672"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7056B7DA" w14:textId="043380DB"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Outer East (Maroondah)</w:t>
            </w:r>
          </w:p>
        </w:tc>
        <w:tc>
          <w:tcPr>
            <w:tcW w:w="1212" w:type="dxa"/>
            <w:shd w:val="clear" w:color="auto" w:fill="BFCED6"/>
          </w:tcPr>
          <w:p w14:paraId="49D80A86" w14:textId="46E30A34" w:rsidR="00847E82" w:rsidRPr="005B1FEF" w:rsidRDefault="00847E82" w:rsidP="00847E82">
            <w:pPr>
              <w:jc w:val="center"/>
              <w:rPr>
                <w:rFonts w:ascii="VIC" w:hAnsi="VIC"/>
                <w:sz w:val="18"/>
                <w:szCs w:val="18"/>
              </w:rPr>
            </w:pPr>
            <w:r w:rsidRPr="00427725">
              <w:rPr>
                <w:rFonts w:ascii="VIC" w:eastAsia="Verdana" w:hAnsi="VIC"/>
                <w:color w:val="000000"/>
                <w:sz w:val="18"/>
                <w:szCs w:val="18"/>
              </w:rPr>
              <w:t>0.7</w:t>
            </w:r>
          </w:p>
        </w:tc>
        <w:tc>
          <w:tcPr>
            <w:tcW w:w="1213" w:type="dxa"/>
            <w:shd w:val="clear" w:color="auto" w:fill="BFCED6"/>
          </w:tcPr>
          <w:p w14:paraId="001898EA" w14:textId="0F0B5305" w:rsidR="00847E82" w:rsidRPr="005B1FEF" w:rsidRDefault="00847E82" w:rsidP="00847E82">
            <w:pPr>
              <w:jc w:val="center"/>
              <w:rPr>
                <w:rFonts w:ascii="VIC" w:hAnsi="VIC"/>
                <w:sz w:val="18"/>
                <w:szCs w:val="18"/>
              </w:rPr>
            </w:pPr>
            <w:r w:rsidRPr="00427725">
              <w:rPr>
                <w:rFonts w:ascii="VIC" w:eastAsia="Verdana" w:hAnsi="VIC"/>
                <w:color w:val="000000"/>
                <w:sz w:val="18"/>
                <w:szCs w:val="18"/>
              </w:rPr>
              <w:t>80 %</w:t>
            </w:r>
          </w:p>
        </w:tc>
        <w:tc>
          <w:tcPr>
            <w:tcW w:w="1213" w:type="dxa"/>
            <w:shd w:val="clear" w:color="auto" w:fill="BFCED6"/>
          </w:tcPr>
          <w:p w14:paraId="4AAF0181" w14:textId="407CB065"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36D98A0E" w14:textId="0A87FAC5" w:rsidR="00847E82" w:rsidRPr="005B1FEF" w:rsidRDefault="00847E82" w:rsidP="00847E82">
            <w:pPr>
              <w:jc w:val="center"/>
              <w:rPr>
                <w:rFonts w:ascii="VIC" w:hAnsi="VIC"/>
                <w:sz w:val="18"/>
                <w:szCs w:val="18"/>
              </w:rPr>
            </w:pPr>
            <w:r w:rsidRPr="00427725">
              <w:rPr>
                <w:rFonts w:ascii="VIC" w:eastAsia="Verdana" w:hAnsi="VIC"/>
                <w:color w:val="000000"/>
                <w:sz w:val="18"/>
                <w:szCs w:val="18"/>
              </w:rPr>
              <w:t>326.1</w:t>
            </w:r>
          </w:p>
        </w:tc>
        <w:tc>
          <w:tcPr>
            <w:tcW w:w="1212" w:type="dxa"/>
            <w:shd w:val="clear" w:color="auto" w:fill="BFCED6"/>
          </w:tcPr>
          <w:p w14:paraId="52921A8B" w14:textId="1DAC1682" w:rsidR="00847E82" w:rsidRPr="005B1FEF" w:rsidRDefault="00847E82" w:rsidP="00847E82">
            <w:pPr>
              <w:jc w:val="center"/>
              <w:rPr>
                <w:rFonts w:ascii="VIC" w:hAnsi="VIC"/>
                <w:sz w:val="18"/>
                <w:szCs w:val="18"/>
              </w:rPr>
            </w:pPr>
            <w:r w:rsidRPr="00427725">
              <w:rPr>
                <w:rFonts w:ascii="VIC" w:eastAsia="Verdana" w:hAnsi="VIC"/>
                <w:color w:val="000000"/>
                <w:sz w:val="18"/>
                <w:szCs w:val="18"/>
              </w:rPr>
              <w:t>20 %</w:t>
            </w:r>
          </w:p>
        </w:tc>
        <w:tc>
          <w:tcPr>
            <w:tcW w:w="1213" w:type="dxa"/>
            <w:shd w:val="clear" w:color="auto" w:fill="BFCED6"/>
          </w:tcPr>
          <w:p w14:paraId="4A113012" w14:textId="6DE842E1" w:rsidR="00847E82" w:rsidRPr="005B1FEF" w:rsidRDefault="00847E82" w:rsidP="00847E82">
            <w:pPr>
              <w:jc w:val="center"/>
              <w:rPr>
                <w:rFonts w:ascii="VIC" w:hAnsi="VIC"/>
                <w:sz w:val="18"/>
                <w:szCs w:val="18"/>
              </w:rPr>
            </w:pPr>
            <w:r w:rsidRPr="00427725">
              <w:rPr>
                <w:rFonts w:ascii="VIC" w:eastAsia="Verdana" w:hAnsi="VIC"/>
                <w:color w:val="000000"/>
                <w:sz w:val="18"/>
                <w:szCs w:val="18"/>
              </w:rPr>
              <w:t>65 %</w:t>
            </w:r>
          </w:p>
        </w:tc>
        <w:tc>
          <w:tcPr>
            <w:tcW w:w="1213" w:type="dxa"/>
            <w:shd w:val="clear" w:color="auto" w:fill="BFCED6"/>
          </w:tcPr>
          <w:p w14:paraId="106DF9C2" w14:textId="025AA0C9" w:rsidR="00847E82" w:rsidRPr="005B1FEF" w:rsidRDefault="00847E82" w:rsidP="00847E82">
            <w:pPr>
              <w:jc w:val="center"/>
              <w:rPr>
                <w:rFonts w:ascii="VIC" w:hAnsi="VIC"/>
                <w:sz w:val="18"/>
                <w:szCs w:val="18"/>
              </w:rPr>
            </w:pPr>
            <w:r w:rsidRPr="00427725">
              <w:rPr>
                <w:rFonts w:ascii="VIC" w:eastAsia="Verdana" w:hAnsi="VIC"/>
                <w:color w:val="000000"/>
                <w:sz w:val="18"/>
                <w:szCs w:val="18"/>
              </w:rPr>
              <w:t>18.8</w:t>
            </w:r>
          </w:p>
        </w:tc>
        <w:tc>
          <w:tcPr>
            <w:tcW w:w="1213" w:type="dxa"/>
            <w:shd w:val="clear" w:color="auto" w:fill="BFCED6"/>
          </w:tcPr>
          <w:p w14:paraId="66134B6F" w14:textId="69D6F9FC" w:rsidR="00847E82" w:rsidRPr="005B1FEF" w:rsidRDefault="00847E82" w:rsidP="00847E82">
            <w:pPr>
              <w:jc w:val="center"/>
              <w:rPr>
                <w:rFonts w:ascii="VIC" w:hAnsi="VIC"/>
                <w:sz w:val="18"/>
                <w:szCs w:val="18"/>
              </w:rPr>
            </w:pPr>
            <w:r w:rsidRPr="00427725">
              <w:rPr>
                <w:rFonts w:ascii="VIC" w:eastAsia="Verdana" w:hAnsi="VIC"/>
                <w:color w:val="000000"/>
                <w:sz w:val="18"/>
                <w:szCs w:val="18"/>
              </w:rPr>
              <w:t>56 %</w:t>
            </w:r>
          </w:p>
        </w:tc>
        <w:tc>
          <w:tcPr>
            <w:tcW w:w="1213" w:type="dxa"/>
            <w:shd w:val="clear" w:color="auto" w:fill="BFCED6"/>
          </w:tcPr>
          <w:p w14:paraId="0D41D7DD" w14:textId="774136E0" w:rsidR="00847E82" w:rsidRPr="005B1FEF" w:rsidRDefault="00847E82" w:rsidP="00847E82">
            <w:pPr>
              <w:jc w:val="center"/>
              <w:rPr>
                <w:rFonts w:ascii="VIC" w:hAnsi="VIC"/>
                <w:sz w:val="18"/>
                <w:szCs w:val="18"/>
              </w:rPr>
            </w:pPr>
            <w:r w:rsidRPr="00427725">
              <w:rPr>
                <w:rFonts w:ascii="VIC" w:eastAsia="Verdana" w:hAnsi="VIC"/>
                <w:color w:val="000000"/>
                <w:sz w:val="18"/>
                <w:szCs w:val="18"/>
              </w:rPr>
              <w:t>19 %</w:t>
            </w:r>
          </w:p>
        </w:tc>
      </w:tr>
      <w:tr w:rsidR="00847E82" w:rsidRPr="00A6366B" w14:paraId="26234983" w14:textId="77777777" w:rsidTr="00EC71A3">
        <w:trPr>
          <w:trHeight w:val="340"/>
        </w:trPr>
        <w:tc>
          <w:tcPr>
            <w:tcW w:w="2135" w:type="dxa"/>
            <w:vMerge/>
            <w:shd w:val="clear" w:color="auto" w:fill="BFCED6"/>
          </w:tcPr>
          <w:p w14:paraId="1A332C0F"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382DEA81" w14:textId="74C1FCA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212" w:type="dxa"/>
            <w:shd w:val="clear" w:color="auto" w:fill="BFCED6"/>
          </w:tcPr>
          <w:p w14:paraId="548A3366" w14:textId="51067EB7" w:rsidR="00847E82" w:rsidRPr="005B1FEF" w:rsidRDefault="00847E82" w:rsidP="00847E82">
            <w:pPr>
              <w:jc w:val="center"/>
              <w:rPr>
                <w:rFonts w:ascii="VIC" w:hAnsi="VIC"/>
                <w:sz w:val="18"/>
                <w:szCs w:val="18"/>
              </w:rPr>
            </w:pPr>
            <w:r w:rsidRPr="00427725">
              <w:rPr>
                <w:rFonts w:ascii="VIC" w:eastAsia="Verdana" w:hAnsi="VIC"/>
                <w:color w:val="000000"/>
                <w:sz w:val="18"/>
                <w:szCs w:val="18"/>
              </w:rPr>
              <w:t>0.7</w:t>
            </w:r>
          </w:p>
        </w:tc>
        <w:tc>
          <w:tcPr>
            <w:tcW w:w="1213" w:type="dxa"/>
            <w:shd w:val="clear" w:color="auto" w:fill="BFCED6"/>
          </w:tcPr>
          <w:p w14:paraId="54E2B668" w14:textId="013809A0"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213" w:type="dxa"/>
            <w:shd w:val="clear" w:color="auto" w:fill="BFCED6"/>
          </w:tcPr>
          <w:p w14:paraId="187C9245" w14:textId="5DD5FC1D"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7E041669" w14:textId="7535DF31" w:rsidR="00847E82" w:rsidRPr="005B1FEF" w:rsidRDefault="00847E82" w:rsidP="00847E82">
            <w:pPr>
              <w:jc w:val="center"/>
              <w:rPr>
                <w:rFonts w:ascii="VIC" w:hAnsi="VIC"/>
                <w:sz w:val="18"/>
                <w:szCs w:val="18"/>
              </w:rPr>
            </w:pPr>
            <w:r w:rsidRPr="00427725">
              <w:rPr>
                <w:rFonts w:ascii="VIC" w:eastAsia="Verdana" w:hAnsi="VIC"/>
                <w:color w:val="000000"/>
                <w:sz w:val="18"/>
                <w:szCs w:val="18"/>
              </w:rPr>
              <w:t>285.8</w:t>
            </w:r>
          </w:p>
        </w:tc>
        <w:tc>
          <w:tcPr>
            <w:tcW w:w="1212" w:type="dxa"/>
            <w:shd w:val="clear" w:color="auto" w:fill="BFCED6"/>
          </w:tcPr>
          <w:p w14:paraId="7DDCC6EE" w14:textId="2EC04D5E" w:rsidR="00847E82" w:rsidRPr="005B1FEF" w:rsidRDefault="00847E82" w:rsidP="00847E82">
            <w:pPr>
              <w:jc w:val="center"/>
              <w:rPr>
                <w:rFonts w:ascii="VIC" w:hAnsi="VIC"/>
                <w:sz w:val="18"/>
                <w:szCs w:val="18"/>
              </w:rPr>
            </w:pPr>
            <w:r w:rsidRPr="00427725">
              <w:rPr>
                <w:rFonts w:ascii="VIC" w:eastAsia="Verdana" w:hAnsi="VIC"/>
                <w:color w:val="000000"/>
                <w:sz w:val="18"/>
                <w:szCs w:val="18"/>
              </w:rPr>
              <w:t>20 %</w:t>
            </w:r>
          </w:p>
        </w:tc>
        <w:tc>
          <w:tcPr>
            <w:tcW w:w="1213" w:type="dxa"/>
            <w:shd w:val="clear" w:color="auto" w:fill="BFCED6"/>
          </w:tcPr>
          <w:p w14:paraId="19C8A45B" w14:textId="2264DEA6"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213" w:type="dxa"/>
            <w:shd w:val="clear" w:color="auto" w:fill="BFCED6"/>
          </w:tcPr>
          <w:p w14:paraId="4155EF54" w14:textId="12BE556F" w:rsidR="00847E82" w:rsidRPr="005B1FEF" w:rsidRDefault="00847E82" w:rsidP="00847E82">
            <w:pPr>
              <w:jc w:val="center"/>
              <w:rPr>
                <w:rFonts w:ascii="VIC" w:hAnsi="VIC"/>
                <w:sz w:val="18"/>
                <w:szCs w:val="18"/>
              </w:rPr>
            </w:pPr>
            <w:r w:rsidRPr="00427725">
              <w:rPr>
                <w:rFonts w:ascii="VIC" w:eastAsia="Verdana" w:hAnsi="VIC"/>
                <w:color w:val="000000"/>
                <w:sz w:val="18"/>
                <w:szCs w:val="18"/>
              </w:rPr>
              <w:t>18.6</w:t>
            </w:r>
          </w:p>
        </w:tc>
        <w:tc>
          <w:tcPr>
            <w:tcW w:w="1213" w:type="dxa"/>
            <w:shd w:val="clear" w:color="auto" w:fill="BFCED6"/>
          </w:tcPr>
          <w:p w14:paraId="18CB532B" w14:textId="2AE02F9C" w:rsidR="00847E82" w:rsidRPr="005B1FEF" w:rsidRDefault="00847E82" w:rsidP="00847E82">
            <w:pPr>
              <w:jc w:val="center"/>
              <w:rPr>
                <w:rFonts w:ascii="VIC" w:hAnsi="VIC"/>
                <w:sz w:val="18"/>
                <w:szCs w:val="18"/>
              </w:rPr>
            </w:pPr>
            <w:r w:rsidRPr="00427725">
              <w:rPr>
                <w:rFonts w:ascii="VIC" w:eastAsia="Verdana" w:hAnsi="VIC"/>
                <w:color w:val="000000"/>
                <w:sz w:val="18"/>
                <w:szCs w:val="18"/>
              </w:rPr>
              <w:t>51 %</w:t>
            </w:r>
          </w:p>
        </w:tc>
        <w:tc>
          <w:tcPr>
            <w:tcW w:w="1213" w:type="dxa"/>
            <w:shd w:val="clear" w:color="auto" w:fill="BFCED6"/>
          </w:tcPr>
          <w:p w14:paraId="4B425071" w14:textId="758F348F" w:rsidR="00847E82" w:rsidRPr="005B1FEF" w:rsidRDefault="00847E82" w:rsidP="00847E82">
            <w:pPr>
              <w:jc w:val="center"/>
              <w:rPr>
                <w:rFonts w:ascii="VIC" w:hAnsi="VIC"/>
                <w:sz w:val="18"/>
                <w:szCs w:val="18"/>
              </w:rPr>
            </w:pPr>
            <w:r w:rsidRPr="00427725">
              <w:rPr>
                <w:rFonts w:ascii="VIC" w:eastAsia="Verdana" w:hAnsi="VIC"/>
                <w:color w:val="000000"/>
                <w:sz w:val="18"/>
                <w:szCs w:val="18"/>
              </w:rPr>
              <w:t>25 %</w:t>
            </w:r>
          </w:p>
        </w:tc>
      </w:tr>
      <w:tr w:rsidR="00847E82" w:rsidRPr="00A6366B" w14:paraId="7BFAF8EB" w14:textId="77777777" w:rsidTr="00EC71A3">
        <w:trPr>
          <w:trHeight w:val="340"/>
        </w:trPr>
        <w:tc>
          <w:tcPr>
            <w:tcW w:w="2135" w:type="dxa"/>
            <w:vMerge w:val="restart"/>
          </w:tcPr>
          <w:p w14:paraId="32C7ECB9" w14:textId="61B76236"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Melbourne Health</w:t>
            </w:r>
          </w:p>
        </w:tc>
        <w:tc>
          <w:tcPr>
            <w:tcW w:w="2695" w:type="dxa"/>
          </w:tcPr>
          <w:p w14:paraId="3AD14FA5" w14:textId="4B708FA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West (RMH)</w:t>
            </w:r>
          </w:p>
        </w:tc>
        <w:tc>
          <w:tcPr>
            <w:tcW w:w="1212" w:type="dxa"/>
          </w:tcPr>
          <w:p w14:paraId="0AE95000" w14:textId="384433A4" w:rsidR="00847E82" w:rsidRPr="005B1FEF" w:rsidRDefault="00847E82" w:rsidP="00847E82">
            <w:pPr>
              <w:jc w:val="center"/>
              <w:rPr>
                <w:rFonts w:ascii="VIC" w:hAnsi="VIC"/>
                <w:sz w:val="18"/>
                <w:szCs w:val="18"/>
              </w:rPr>
            </w:pPr>
            <w:r w:rsidRPr="00427725">
              <w:rPr>
                <w:rFonts w:ascii="VIC" w:eastAsia="Verdana" w:hAnsi="VIC"/>
                <w:color w:val="000000"/>
                <w:sz w:val="18"/>
                <w:szCs w:val="18"/>
              </w:rPr>
              <w:t>0.9</w:t>
            </w:r>
          </w:p>
        </w:tc>
        <w:tc>
          <w:tcPr>
            <w:tcW w:w="1213" w:type="dxa"/>
          </w:tcPr>
          <w:p w14:paraId="33AEC86C" w14:textId="2B7DEDFA"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213" w:type="dxa"/>
          </w:tcPr>
          <w:p w14:paraId="534BA875" w14:textId="191F49AB"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213" w:type="dxa"/>
          </w:tcPr>
          <w:p w14:paraId="188A6673" w14:textId="6059E149" w:rsidR="00847E82" w:rsidRPr="005B1FEF" w:rsidRDefault="00847E82" w:rsidP="00847E82">
            <w:pPr>
              <w:jc w:val="center"/>
              <w:rPr>
                <w:rFonts w:ascii="VIC" w:hAnsi="VIC"/>
                <w:sz w:val="18"/>
                <w:szCs w:val="18"/>
              </w:rPr>
            </w:pPr>
            <w:r w:rsidRPr="00427725">
              <w:rPr>
                <w:rFonts w:ascii="VIC" w:eastAsia="Verdana" w:hAnsi="VIC"/>
                <w:color w:val="000000"/>
                <w:sz w:val="18"/>
                <w:szCs w:val="18"/>
              </w:rPr>
              <w:t>368.5</w:t>
            </w:r>
          </w:p>
        </w:tc>
        <w:tc>
          <w:tcPr>
            <w:tcW w:w="1212" w:type="dxa"/>
          </w:tcPr>
          <w:p w14:paraId="10890A5E" w14:textId="7324A840" w:rsidR="00847E82" w:rsidRPr="005B1FEF" w:rsidRDefault="00847E82" w:rsidP="00847E82">
            <w:pPr>
              <w:jc w:val="center"/>
              <w:rPr>
                <w:rFonts w:ascii="VIC" w:hAnsi="VIC"/>
                <w:sz w:val="18"/>
                <w:szCs w:val="18"/>
              </w:rPr>
            </w:pPr>
            <w:r w:rsidRPr="00427725">
              <w:rPr>
                <w:rFonts w:ascii="VIC" w:eastAsia="Verdana" w:hAnsi="VIC"/>
                <w:color w:val="000000"/>
                <w:sz w:val="18"/>
                <w:szCs w:val="18"/>
              </w:rPr>
              <w:t>65 %</w:t>
            </w:r>
          </w:p>
        </w:tc>
        <w:tc>
          <w:tcPr>
            <w:tcW w:w="1213" w:type="dxa"/>
          </w:tcPr>
          <w:p w14:paraId="745F81A6" w14:textId="60578D51" w:rsidR="00847E82" w:rsidRPr="005B1FEF" w:rsidRDefault="00847E82" w:rsidP="00847E82">
            <w:pPr>
              <w:jc w:val="center"/>
              <w:rPr>
                <w:rFonts w:ascii="VIC" w:hAnsi="VIC"/>
                <w:sz w:val="18"/>
                <w:szCs w:val="18"/>
              </w:rPr>
            </w:pPr>
            <w:r w:rsidRPr="00427725">
              <w:rPr>
                <w:rFonts w:ascii="VIC" w:eastAsia="Verdana" w:hAnsi="VIC"/>
                <w:color w:val="000000"/>
                <w:sz w:val="18"/>
                <w:szCs w:val="18"/>
              </w:rPr>
              <w:t>45 %</w:t>
            </w:r>
          </w:p>
        </w:tc>
        <w:tc>
          <w:tcPr>
            <w:tcW w:w="1213" w:type="dxa"/>
          </w:tcPr>
          <w:p w14:paraId="0EFDC4C7" w14:textId="19D55630" w:rsidR="00847E82" w:rsidRPr="005B1FEF" w:rsidRDefault="00847E82" w:rsidP="00847E82">
            <w:pPr>
              <w:jc w:val="center"/>
              <w:rPr>
                <w:rFonts w:ascii="VIC" w:hAnsi="VIC"/>
                <w:sz w:val="18"/>
                <w:szCs w:val="18"/>
              </w:rPr>
            </w:pPr>
            <w:r w:rsidRPr="00427725">
              <w:rPr>
                <w:rFonts w:ascii="VIC" w:eastAsia="Verdana" w:hAnsi="VIC"/>
                <w:color w:val="000000"/>
                <w:sz w:val="18"/>
                <w:szCs w:val="18"/>
              </w:rPr>
              <w:t>13.0</w:t>
            </w:r>
          </w:p>
        </w:tc>
        <w:tc>
          <w:tcPr>
            <w:tcW w:w="1213" w:type="dxa"/>
          </w:tcPr>
          <w:p w14:paraId="3872C95B" w14:textId="28582949" w:rsidR="00847E82" w:rsidRPr="005B1FEF" w:rsidRDefault="00847E82" w:rsidP="00847E82">
            <w:pPr>
              <w:jc w:val="center"/>
              <w:rPr>
                <w:rFonts w:ascii="VIC" w:hAnsi="VIC"/>
                <w:sz w:val="18"/>
                <w:szCs w:val="18"/>
              </w:rPr>
            </w:pPr>
            <w:r w:rsidRPr="00427725">
              <w:rPr>
                <w:rFonts w:ascii="VIC" w:eastAsia="Verdana" w:hAnsi="VIC"/>
                <w:color w:val="000000"/>
                <w:sz w:val="18"/>
                <w:szCs w:val="18"/>
              </w:rPr>
              <w:t>41 %</w:t>
            </w:r>
          </w:p>
        </w:tc>
        <w:tc>
          <w:tcPr>
            <w:tcW w:w="1213" w:type="dxa"/>
          </w:tcPr>
          <w:p w14:paraId="26A37157" w14:textId="593491B0" w:rsidR="00847E82" w:rsidRPr="005B1FEF" w:rsidRDefault="00847E82" w:rsidP="00847E82">
            <w:pPr>
              <w:jc w:val="center"/>
              <w:rPr>
                <w:rFonts w:ascii="VIC" w:hAnsi="VIC"/>
                <w:sz w:val="18"/>
                <w:szCs w:val="18"/>
              </w:rPr>
            </w:pPr>
            <w:r w:rsidRPr="00427725">
              <w:rPr>
                <w:rFonts w:ascii="VIC" w:eastAsia="Verdana" w:hAnsi="VIC"/>
                <w:color w:val="000000"/>
                <w:sz w:val="18"/>
                <w:szCs w:val="18"/>
              </w:rPr>
              <w:t>32 %</w:t>
            </w:r>
          </w:p>
        </w:tc>
      </w:tr>
      <w:tr w:rsidR="00847E82" w:rsidRPr="00A6366B" w14:paraId="5B606AFC" w14:textId="77777777" w:rsidTr="00EC71A3">
        <w:trPr>
          <w:trHeight w:val="340"/>
        </w:trPr>
        <w:tc>
          <w:tcPr>
            <w:tcW w:w="2135" w:type="dxa"/>
            <w:vMerge/>
          </w:tcPr>
          <w:p w14:paraId="662C5C9C" w14:textId="77777777" w:rsidR="00847E82" w:rsidRPr="00382424" w:rsidRDefault="00847E82" w:rsidP="00847E82">
            <w:pPr>
              <w:pStyle w:val="DHHStabletext"/>
              <w:spacing w:before="0" w:after="0"/>
              <w:rPr>
                <w:rFonts w:ascii="VIC" w:hAnsi="VIC"/>
                <w:sz w:val="18"/>
                <w:szCs w:val="18"/>
              </w:rPr>
            </w:pPr>
          </w:p>
        </w:tc>
        <w:tc>
          <w:tcPr>
            <w:tcW w:w="2695" w:type="dxa"/>
          </w:tcPr>
          <w:p w14:paraId="4EE9B5A5" w14:textId="52615B6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Mid West (Sunshine)</w:t>
            </w:r>
          </w:p>
        </w:tc>
        <w:tc>
          <w:tcPr>
            <w:tcW w:w="1212" w:type="dxa"/>
          </w:tcPr>
          <w:p w14:paraId="76EA6723" w14:textId="7BFC7819" w:rsidR="00847E82" w:rsidRPr="005B1FEF" w:rsidRDefault="00847E82" w:rsidP="00847E82">
            <w:pPr>
              <w:jc w:val="center"/>
              <w:rPr>
                <w:rFonts w:ascii="VIC" w:hAnsi="VIC"/>
                <w:sz w:val="18"/>
                <w:szCs w:val="18"/>
              </w:rPr>
            </w:pPr>
            <w:r w:rsidRPr="00427725">
              <w:rPr>
                <w:rFonts w:ascii="VIC" w:eastAsia="Verdana" w:hAnsi="VIC"/>
                <w:color w:val="000000"/>
                <w:sz w:val="18"/>
                <w:szCs w:val="18"/>
              </w:rPr>
              <w:t>0.8</w:t>
            </w:r>
          </w:p>
        </w:tc>
        <w:tc>
          <w:tcPr>
            <w:tcW w:w="1213" w:type="dxa"/>
          </w:tcPr>
          <w:p w14:paraId="19838EA5" w14:textId="1F9856B0"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tcPr>
          <w:p w14:paraId="67041D31" w14:textId="32425E4D"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213" w:type="dxa"/>
          </w:tcPr>
          <w:p w14:paraId="23E0C50F" w14:textId="37288AF0" w:rsidR="00847E82" w:rsidRPr="005B1FEF" w:rsidRDefault="00847E82" w:rsidP="00847E82">
            <w:pPr>
              <w:jc w:val="center"/>
              <w:rPr>
                <w:rFonts w:ascii="VIC" w:hAnsi="VIC"/>
                <w:sz w:val="18"/>
                <w:szCs w:val="18"/>
              </w:rPr>
            </w:pPr>
            <w:r w:rsidRPr="00427725">
              <w:rPr>
                <w:rFonts w:ascii="VIC" w:eastAsia="Verdana" w:hAnsi="VIC"/>
                <w:color w:val="000000"/>
                <w:sz w:val="18"/>
                <w:szCs w:val="18"/>
              </w:rPr>
              <w:t>203.0</w:t>
            </w:r>
          </w:p>
        </w:tc>
        <w:tc>
          <w:tcPr>
            <w:tcW w:w="1212" w:type="dxa"/>
          </w:tcPr>
          <w:p w14:paraId="00F48547" w14:textId="2966E04C" w:rsidR="00847E82" w:rsidRPr="005B1FEF" w:rsidRDefault="00847E82" w:rsidP="00847E82">
            <w:pPr>
              <w:jc w:val="center"/>
              <w:rPr>
                <w:rFonts w:ascii="VIC" w:hAnsi="VIC"/>
                <w:sz w:val="18"/>
                <w:szCs w:val="18"/>
              </w:rPr>
            </w:pPr>
            <w:r w:rsidRPr="00427725">
              <w:rPr>
                <w:rFonts w:ascii="VIC" w:eastAsia="Verdana" w:hAnsi="VIC"/>
                <w:color w:val="000000"/>
                <w:sz w:val="18"/>
                <w:szCs w:val="18"/>
              </w:rPr>
              <w:t>35 %</w:t>
            </w:r>
          </w:p>
        </w:tc>
        <w:tc>
          <w:tcPr>
            <w:tcW w:w="1213" w:type="dxa"/>
          </w:tcPr>
          <w:p w14:paraId="3FA9AA71" w14:textId="6AB7858B"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tcPr>
          <w:p w14:paraId="6AFC8CFD" w14:textId="1D8B1FB5" w:rsidR="00847E82" w:rsidRPr="005B1FEF" w:rsidRDefault="00847E82" w:rsidP="00847E82">
            <w:pPr>
              <w:jc w:val="center"/>
              <w:rPr>
                <w:rFonts w:ascii="VIC" w:hAnsi="VIC"/>
                <w:sz w:val="18"/>
                <w:szCs w:val="18"/>
              </w:rPr>
            </w:pPr>
            <w:r w:rsidRPr="00427725">
              <w:rPr>
                <w:rFonts w:ascii="VIC" w:eastAsia="Verdana" w:hAnsi="VIC"/>
                <w:color w:val="000000"/>
                <w:sz w:val="18"/>
                <w:szCs w:val="18"/>
              </w:rPr>
              <w:t>13.7</w:t>
            </w:r>
          </w:p>
        </w:tc>
        <w:tc>
          <w:tcPr>
            <w:tcW w:w="1213" w:type="dxa"/>
          </w:tcPr>
          <w:p w14:paraId="75B9A657" w14:textId="7D4C200B"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213" w:type="dxa"/>
          </w:tcPr>
          <w:p w14:paraId="6E2F4F1D" w14:textId="6C763629"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r>
      <w:tr w:rsidR="00847E82" w:rsidRPr="00A6366B" w14:paraId="69991398" w14:textId="77777777" w:rsidTr="00EC71A3">
        <w:trPr>
          <w:trHeight w:val="340"/>
        </w:trPr>
        <w:tc>
          <w:tcPr>
            <w:tcW w:w="2135" w:type="dxa"/>
            <w:vMerge/>
          </w:tcPr>
          <w:p w14:paraId="1CF51A25" w14:textId="77777777" w:rsidR="00847E82" w:rsidRPr="00382424" w:rsidRDefault="00847E82" w:rsidP="00847E82">
            <w:pPr>
              <w:pStyle w:val="DHHStabletext"/>
              <w:spacing w:before="0" w:after="0"/>
              <w:rPr>
                <w:rFonts w:ascii="VIC" w:hAnsi="VIC"/>
                <w:sz w:val="18"/>
                <w:szCs w:val="18"/>
              </w:rPr>
            </w:pPr>
          </w:p>
        </w:tc>
        <w:tc>
          <w:tcPr>
            <w:tcW w:w="2695" w:type="dxa"/>
          </w:tcPr>
          <w:p w14:paraId="01F8B3B2" w14:textId="00B8AD4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West (Broadmeadows)</w:t>
            </w:r>
          </w:p>
        </w:tc>
        <w:tc>
          <w:tcPr>
            <w:tcW w:w="1212" w:type="dxa"/>
          </w:tcPr>
          <w:p w14:paraId="3D125442" w14:textId="47DBB0F7" w:rsidR="00847E82" w:rsidRPr="005B1FEF" w:rsidRDefault="00847E82" w:rsidP="00847E82">
            <w:pPr>
              <w:jc w:val="center"/>
              <w:rPr>
                <w:rFonts w:ascii="VIC" w:hAnsi="VIC"/>
                <w:sz w:val="18"/>
                <w:szCs w:val="18"/>
              </w:rPr>
            </w:pPr>
            <w:r w:rsidRPr="00427725">
              <w:rPr>
                <w:rFonts w:ascii="VIC" w:eastAsia="Verdana" w:hAnsi="VIC"/>
                <w:color w:val="000000"/>
                <w:sz w:val="18"/>
                <w:szCs w:val="18"/>
              </w:rPr>
              <w:t>0.8</w:t>
            </w:r>
          </w:p>
        </w:tc>
        <w:tc>
          <w:tcPr>
            <w:tcW w:w="1213" w:type="dxa"/>
          </w:tcPr>
          <w:p w14:paraId="03374259" w14:textId="5220D477" w:rsidR="00847E82" w:rsidRPr="005B1FEF" w:rsidRDefault="00847E82" w:rsidP="00847E82">
            <w:pPr>
              <w:jc w:val="center"/>
              <w:rPr>
                <w:rFonts w:ascii="VIC" w:hAnsi="VIC"/>
                <w:sz w:val="18"/>
                <w:szCs w:val="18"/>
              </w:rPr>
            </w:pPr>
            <w:r w:rsidRPr="00427725">
              <w:rPr>
                <w:rFonts w:ascii="VIC" w:eastAsia="Verdana" w:hAnsi="VIC"/>
                <w:color w:val="000000"/>
                <w:sz w:val="18"/>
                <w:szCs w:val="18"/>
              </w:rPr>
              <w:t>79 %</w:t>
            </w:r>
          </w:p>
        </w:tc>
        <w:tc>
          <w:tcPr>
            <w:tcW w:w="1213" w:type="dxa"/>
          </w:tcPr>
          <w:p w14:paraId="79F8F6B1" w14:textId="5083AB47"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213" w:type="dxa"/>
          </w:tcPr>
          <w:p w14:paraId="5F1CE481" w14:textId="664E98A9" w:rsidR="00847E82" w:rsidRPr="005B1FEF" w:rsidRDefault="00847E82" w:rsidP="00847E82">
            <w:pPr>
              <w:jc w:val="center"/>
              <w:rPr>
                <w:rFonts w:ascii="VIC" w:hAnsi="VIC"/>
                <w:sz w:val="18"/>
                <w:szCs w:val="18"/>
              </w:rPr>
            </w:pPr>
            <w:r w:rsidRPr="00427725">
              <w:rPr>
                <w:rFonts w:ascii="VIC" w:eastAsia="Verdana" w:hAnsi="VIC"/>
                <w:color w:val="000000"/>
                <w:sz w:val="18"/>
                <w:szCs w:val="18"/>
              </w:rPr>
              <w:t>216.4</w:t>
            </w:r>
          </w:p>
        </w:tc>
        <w:tc>
          <w:tcPr>
            <w:tcW w:w="1212" w:type="dxa"/>
          </w:tcPr>
          <w:p w14:paraId="72771189" w14:textId="70436B60" w:rsidR="00847E82" w:rsidRPr="005B1FEF" w:rsidRDefault="00847E82" w:rsidP="00847E82">
            <w:pPr>
              <w:jc w:val="center"/>
              <w:rPr>
                <w:rFonts w:ascii="VIC" w:hAnsi="VIC"/>
                <w:sz w:val="18"/>
                <w:szCs w:val="18"/>
              </w:rPr>
            </w:pPr>
            <w:r w:rsidRPr="00427725">
              <w:rPr>
                <w:rFonts w:ascii="VIC" w:eastAsia="Verdana" w:hAnsi="VIC"/>
                <w:color w:val="000000"/>
                <w:sz w:val="18"/>
                <w:szCs w:val="18"/>
              </w:rPr>
              <w:t>42 %</w:t>
            </w:r>
          </w:p>
        </w:tc>
        <w:tc>
          <w:tcPr>
            <w:tcW w:w="1213" w:type="dxa"/>
          </w:tcPr>
          <w:p w14:paraId="5CE8AB74" w14:textId="657B35DD"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tcPr>
          <w:p w14:paraId="6506768D" w14:textId="42CE4005" w:rsidR="00847E82" w:rsidRPr="005B1FEF" w:rsidRDefault="00847E82" w:rsidP="00847E82">
            <w:pPr>
              <w:jc w:val="center"/>
              <w:rPr>
                <w:rFonts w:ascii="VIC" w:hAnsi="VIC"/>
                <w:sz w:val="18"/>
                <w:szCs w:val="18"/>
              </w:rPr>
            </w:pPr>
            <w:r w:rsidRPr="00427725">
              <w:rPr>
                <w:rFonts w:ascii="VIC" w:eastAsia="Verdana" w:hAnsi="VIC"/>
                <w:color w:val="000000"/>
                <w:sz w:val="18"/>
                <w:szCs w:val="18"/>
              </w:rPr>
              <w:t>10.5</w:t>
            </w:r>
          </w:p>
        </w:tc>
        <w:tc>
          <w:tcPr>
            <w:tcW w:w="1213" w:type="dxa"/>
          </w:tcPr>
          <w:p w14:paraId="43FEF143" w14:textId="7D7AC665"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213" w:type="dxa"/>
          </w:tcPr>
          <w:p w14:paraId="267A82B7" w14:textId="6A1A14F0"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r>
      <w:tr w:rsidR="00847E82" w:rsidRPr="00A6366B" w14:paraId="00CE03B3" w14:textId="77777777" w:rsidTr="00EC71A3">
        <w:trPr>
          <w:trHeight w:val="340"/>
        </w:trPr>
        <w:tc>
          <w:tcPr>
            <w:tcW w:w="2135" w:type="dxa"/>
            <w:vMerge/>
          </w:tcPr>
          <w:p w14:paraId="3091ACB3" w14:textId="77777777" w:rsidR="00847E82" w:rsidRPr="00382424" w:rsidRDefault="00847E82" w:rsidP="00847E82">
            <w:pPr>
              <w:pStyle w:val="DHHStabletext"/>
              <w:spacing w:before="0" w:after="0"/>
              <w:rPr>
                <w:rFonts w:ascii="VIC" w:hAnsi="VIC"/>
                <w:sz w:val="18"/>
                <w:szCs w:val="18"/>
              </w:rPr>
            </w:pPr>
          </w:p>
        </w:tc>
        <w:tc>
          <w:tcPr>
            <w:tcW w:w="2695" w:type="dxa"/>
          </w:tcPr>
          <w:p w14:paraId="5F9B19E1" w14:textId="397D17A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Northern</w:t>
            </w:r>
          </w:p>
        </w:tc>
        <w:tc>
          <w:tcPr>
            <w:tcW w:w="1212" w:type="dxa"/>
          </w:tcPr>
          <w:p w14:paraId="5C3CB82F" w14:textId="0F00CCEB" w:rsidR="00847E82" w:rsidRPr="005B1FEF" w:rsidRDefault="00847E82" w:rsidP="00847E82">
            <w:pPr>
              <w:jc w:val="center"/>
              <w:rPr>
                <w:rFonts w:ascii="VIC" w:hAnsi="VIC"/>
                <w:sz w:val="18"/>
                <w:szCs w:val="18"/>
              </w:rPr>
            </w:pPr>
            <w:r w:rsidRPr="00427725">
              <w:rPr>
                <w:rFonts w:ascii="VIC" w:eastAsia="Verdana" w:hAnsi="VIC"/>
                <w:color w:val="000000"/>
                <w:sz w:val="18"/>
                <w:szCs w:val="18"/>
              </w:rPr>
              <w:t>0.8</w:t>
            </w:r>
          </w:p>
        </w:tc>
        <w:tc>
          <w:tcPr>
            <w:tcW w:w="1213" w:type="dxa"/>
          </w:tcPr>
          <w:p w14:paraId="2072CF0C" w14:textId="2CC1FAC9"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6F7DCF61" w14:textId="28BEB95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tcPr>
          <w:p w14:paraId="4889BC24" w14:textId="37D889DB" w:rsidR="00847E82" w:rsidRPr="005B1FEF" w:rsidRDefault="00847E82" w:rsidP="00847E82">
            <w:pPr>
              <w:jc w:val="center"/>
              <w:rPr>
                <w:rFonts w:ascii="VIC" w:hAnsi="VIC"/>
                <w:sz w:val="18"/>
                <w:szCs w:val="18"/>
              </w:rPr>
            </w:pPr>
            <w:r w:rsidRPr="00427725">
              <w:rPr>
                <w:rFonts w:ascii="VIC" w:eastAsia="Verdana" w:hAnsi="VIC"/>
                <w:color w:val="000000"/>
                <w:sz w:val="18"/>
                <w:szCs w:val="18"/>
              </w:rPr>
              <w:t>614.5</w:t>
            </w:r>
          </w:p>
        </w:tc>
        <w:tc>
          <w:tcPr>
            <w:tcW w:w="1212" w:type="dxa"/>
          </w:tcPr>
          <w:p w14:paraId="67038D50" w14:textId="092D7532" w:rsidR="00847E82" w:rsidRPr="005B1FEF" w:rsidRDefault="00847E82" w:rsidP="00847E82">
            <w:pPr>
              <w:jc w:val="center"/>
              <w:rPr>
                <w:rFonts w:ascii="VIC" w:hAnsi="VIC"/>
                <w:sz w:val="18"/>
                <w:szCs w:val="18"/>
              </w:rPr>
            </w:pPr>
            <w:r w:rsidRPr="00427725">
              <w:rPr>
                <w:rFonts w:ascii="VIC" w:eastAsia="Verdana" w:hAnsi="VIC"/>
                <w:color w:val="000000"/>
                <w:sz w:val="18"/>
                <w:szCs w:val="18"/>
              </w:rPr>
              <w:t>50 %</w:t>
            </w:r>
          </w:p>
        </w:tc>
        <w:tc>
          <w:tcPr>
            <w:tcW w:w="1213" w:type="dxa"/>
          </w:tcPr>
          <w:p w14:paraId="0E5126E8" w14:textId="2FF5C273"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5A4E5AE3" w14:textId="023193F7" w:rsidR="00847E82" w:rsidRPr="005B1FEF" w:rsidRDefault="00847E82" w:rsidP="00847E82">
            <w:pPr>
              <w:jc w:val="center"/>
              <w:rPr>
                <w:rFonts w:ascii="VIC" w:hAnsi="VIC"/>
                <w:sz w:val="18"/>
                <w:szCs w:val="18"/>
              </w:rPr>
            </w:pPr>
            <w:r w:rsidRPr="00427725">
              <w:rPr>
                <w:rFonts w:ascii="VIC" w:eastAsia="Verdana" w:hAnsi="VIC"/>
                <w:color w:val="000000"/>
                <w:sz w:val="18"/>
                <w:szCs w:val="18"/>
              </w:rPr>
              <w:t>13.3</w:t>
            </w:r>
          </w:p>
        </w:tc>
        <w:tc>
          <w:tcPr>
            <w:tcW w:w="1213" w:type="dxa"/>
          </w:tcPr>
          <w:p w14:paraId="0B0190AF" w14:textId="43062A92" w:rsidR="00847E82" w:rsidRPr="005B1FEF" w:rsidRDefault="00847E82" w:rsidP="00847E82">
            <w:pPr>
              <w:jc w:val="center"/>
              <w:rPr>
                <w:rFonts w:ascii="VIC" w:hAnsi="VIC"/>
                <w:sz w:val="18"/>
                <w:szCs w:val="18"/>
              </w:rPr>
            </w:pPr>
            <w:r w:rsidRPr="00427725">
              <w:rPr>
                <w:rFonts w:ascii="VIC" w:eastAsia="Verdana" w:hAnsi="VIC"/>
                <w:color w:val="000000"/>
                <w:sz w:val="18"/>
                <w:szCs w:val="18"/>
              </w:rPr>
              <w:t>44 %</w:t>
            </w:r>
          </w:p>
        </w:tc>
        <w:tc>
          <w:tcPr>
            <w:tcW w:w="1213" w:type="dxa"/>
          </w:tcPr>
          <w:p w14:paraId="5618315C" w14:textId="5E9BF396" w:rsidR="00847E82" w:rsidRPr="005B1FEF" w:rsidRDefault="00847E82" w:rsidP="00847E82">
            <w:pPr>
              <w:jc w:val="center"/>
              <w:rPr>
                <w:rFonts w:ascii="VIC" w:hAnsi="VIC"/>
                <w:sz w:val="18"/>
                <w:szCs w:val="18"/>
              </w:rPr>
            </w:pPr>
            <w:r w:rsidRPr="00427725">
              <w:rPr>
                <w:rFonts w:ascii="VIC" w:eastAsia="Verdana" w:hAnsi="VIC"/>
                <w:color w:val="000000"/>
                <w:sz w:val="18"/>
                <w:szCs w:val="18"/>
              </w:rPr>
              <w:t>32 %</w:t>
            </w:r>
          </w:p>
        </w:tc>
      </w:tr>
      <w:tr w:rsidR="00847E82" w:rsidRPr="00A6366B" w14:paraId="29A804D6" w14:textId="77777777" w:rsidTr="00EC71A3">
        <w:trPr>
          <w:trHeight w:val="340"/>
        </w:trPr>
        <w:tc>
          <w:tcPr>
            <w:tcW w:w="2135" w:type="dxa"/>
            <w:vMerge/>
          </w:tcPr>
          <w:p w14:paraId="7A708A65" w14:textId="77777777" w:rsidR="00847E82" w:rsidRPr="00382424" w:rsidRDefault="00847E82" w:rsidP="00847E82">
            <w:pPr>
              <w:pStyle w:val="DHHStabletext"/>
              <w:spacing w:before="0" w:after="0"/>
              <w:rPr>
                <w:rFonts w:ascii="VIC" w:hAnsi="VIC"/>
                <w:sz w:val="18"/>
                <w:szCs w:val="18"/>
              </w:rPr>
            </w:pPr>
          </w:p>
        </w:tc>
        <w:tc>
          <w:tcPr>
            <w:tcW w:w="2695" w:type="dxa"/>
          </w:tcPr>
          <w:p w14:paraId="4A7A3084" w14:textId="72366463"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212" w:type="dxa"/>
          </w:tcPr>
          <w:p w14:paraId="4CA405A7" w14:textId="2BB61749" w:rsidR="00847E82" w:rsidRPr="005B1FEF" w:rsidRDefault="00847E82" w:rsidP="00847E82">
            <w:pPr>
              <w:jc w:val="center"/>
              <w:rPr>
                <w:rFonts w:ascii="VIC" w:hAnsi="VIC"/>
                <w:sz w:val="18"/>
                <w:szCs w:val="18"/>
              </w:rPr>
            </w:pPr>
            <w:r w:rsidRPr="00427725">
              <w:rPr>
                <w:rFonts w:ascii="VIC" w:eastAsia="Verdana" w:hAnsi="VIC"/>
                <w:color w:val="000000"/>
                <w:sz w:val="18"/>
                <w:szCs w:val="18"/>
              </w:rPr>
              <w:t>0.8</w:t>
            </w:r>
          </w:p>
        </w:tc>
        <w:tc>
          <w:tcPr>
            <w:tcW w:w="1213" w:type="dxa"/>
          </w:tcPr>
          <w:p w14:paraId="4B79BF5E" w14:textId="03A825F6"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213" w:type="dxa"/>
          </w:tcPr>
          <w:p w14:paraId="18AF61FA" w14:textId="64C50B0F"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213" w:type="dxa"/>
          </w:tcPr>
          <w:p w14:paraId="1B4E6BB8" w14:textId="76461D3B" w:rsidR="00847E82" w:rsidRPr="005B1FEF" w:rsidRDefault="00847E82" w:rsidP="00847E82">
            <w:pPr>
              <w:jc w:val="center"/>
              <w:rPr>
                <w:rFonts w:ascii="VIC" w:hAnsi="VIC"/>
                <w:sz w:val="18"/>
                <w:szCs w:val="18"/>
              </w:rPr>
            </w:pPr>
            <w:r w:rsidRPr="00427725">
              <w:rPr>
                <w:rFonts w:ascii="VIC" w:eastAsia="Verdana" w:hAnsi="VIC"/>
                <w:color w:val="000000"/>
                <w:sz w:val="18"/>
                <w:szCs w:val="18"/>
              </w:rPr>
              <w:t>348.5</w:t>
            </w:r>
          </w:p>
        </w:tc>
        <w:tc>
          <w:tcPr>
            <w:tcW w:w="1212" w:type="dxa"/>
          </w:tcPr>
          <w:p w14:paraId="2A8738A7" w14:textId="7ADC5804" w:rsidR="00847E82" w:rsidRPr="005B1FEF" w:rsidRDefault="00847E82" w:rsidP="00847E82">
            <w:pPr>
              <w:jc w:val="center"/>
              <w:rPr>
                <w:rFonts w:ascii="VIC" w:hAnsi="VIC"/>
                <w:sz w:val="18"/>
                <w:szCs w:val="18"/>
              </w:rPr>
            </w:pPr>
            <w:r w:rsidRPr="00427725">
              <w:rPr>
                <w:rFonts w:ascii="VIC" w:eastAsia="Verdana" w:hAnsi="VIC"/>
                <w:color w:val="000000"/>
                <w:sz w:val="18"/>
                <w:szCs w:val="18"/>
              </w:rPr>
              <w:t>47 %</w:t>
            </w:r>
          </w:p>
        </w:tc>
        <w:tc>
          <w:tcPr>
            <w:tcW w:w="1213" w:type="dxa"/>
          </w:tcPr>
          <w:p w14:paraId="20952B19" w14:textId="72298DC2" w:rsidR="00847E82" w:rsidRPr="005B1FEF" w:rsidRDefault="00847E82" w:rsidP="00847E82">
            <w:pPr>
              <w:jc w:val="center"/>
              <w:rPr>
                <w:rFonts w:ascii="VIC" w:hAnsi="VIC"/>
                <w:sz w:val="18"/>
                <w:szCs w:val="18"/>
              </w:rPr>
            </w:pPr>
            <w:r w:rsidRPr="00427725">
              <w:rPr>
                <w:rFonts w:ascii="VIC" w:eastAsia="Verdana" w:hAnsi="VIC"/>
                <w:color w:val="000000"/>
                <w:sz w:val="18"/>
                <w:szCs w:val="18"/>
              </w:rPr>
              <w:t>79 %</w:t>
            </w:r>
          </w:p>
        </w:tc>
        <w:tc>
          <w:tcPr>
            <w:tcW w:w="1213" w:type="dxa"/>
          </w:tcPr>
          <w:p w14:paraId="15A31C0D" w14:textId="3F303281" w:rsidR="00847E82" w:rsidRPr="005B1FEF" w:rsidRDefault="00847E82" w:rsidP="00847E82">
            <w:pPr>
              <w:jc w:val="center"/>
              <w:rPr>
                <w:rFonts w:ascii="VIC" w:hAnsi="VIC"/>
                <w:sz w:val="18"/>
                <w:szCs w:val="18"/>
              </w:rPr>
            </w:pPr>
            <w:r w:rsidRPr="00427725">
              <w:rPr>
                <w:rFonts w:ascii="VIC" w:eastAsia="Verdana" w:hAnsi="VIC"/>
                <w:color w:val="000000"/>
                <w:sz w:val="18"/>
                <w:szCs w:val="18"/>
              </w:rPr>
              <w:t>12.7</w:t>
            </w:r>
          </w:p>
        </w:tc>
        <w:tc>
          <w:tcPr>
            <w:tcW w:w="1213" w:type="dxa"/>
          </w:tcPr>
          <w:p w14:paraId="2D77DA84" w14:textId="370E4F69" w:rsidR="00847E82" w:rsidRPr="005B1FEF" w:rsidRDefault="00847E82" w:rsidP="00847E82">
            <w:pPr>
              <w:jc w:val="center"/>
              <w:rPr>
                <w:rFonts w:ascii="VIC" w:hAnsi="VIC"/>
                <w:sz w:val="18"/>
                <w:szCs w:val="18"/>
              </w:rPr>
            </w:pPr>
            <w:r w:rsidRPr="00427725">
              <w:rPr>
                <w:rFonts w:ascii="VIC" w:eastAsia="Verdana" w:hAnsi="VIC"/>
                <w:color w:val="000000"/>
                <w:sz w:val="18"/>
                <w:szCs w:val="18"/>
              </w:rPr>
              <w:t>44 %</w:t>
            </w:r>
          </w:p>
        </w:tc>
        <w:tc>
          <w:tcPr>
            <w:tcW w:w="1213" w:type="dxa"/>
          </w:tcPr>
          <w:p w14:paraId="6A06D1D7" w14:textId="3B095319" w:rsidR="00847E82" w:rsidRPr="005B1FEF" w:rsidRDefault="00847E82" w:rsidP="00847E82">
            <w:pPr>
              <w:jc w:val="center"/>
              <w:rPr>
                <w:rFonts w:ascii="VIC" w:hAnsi="VIC"/>
                <w:sz w:val="18"/>
                <w:szCs w:val="18"/>
              </w:rPr>
            </w:pPr>
            <w:r w:rsidRPr="00427725">
              <w:rPr>
                <w:rFonts w:ascii="VIC" w:eastAsia="Verdana" w:hAnsi="VIC"/>
                <w:color w:val="000000"/>
                <w:sz w:val="18"/>
                <w:szCs w:val="18"/>
              </w:rPr>
              <w:t>37 %</w:t>
            </w:r>
          </w:p>
        </w:tc>
      </w:tr>
      <w:tr w:rsidR="00847E82" w:rsidRPr="00A6366B" w14:paraId="0BE131A9" w14:textId="77777777" w:rsidTr="00EC71A3">
        <w:trPr>
          <w:trHeight w:val="340"/>
        </w:trPr>
        <w:tc>
          <w:tcPr>
            <w:tcW w:w="2135" w:type="dxa"/>
            <w:vMerge w:val="restart"/>
            <w:shd w:val="clear" w:color="auto" w:fill="BFCED6"/>
          </w:tcPr>
          <w:p w14:paraId="0AABE0E4" w14:textId="1226BDF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Monash Health</w:t>
            </w:r>
          </w:p>
        </w:tc>
        <w:tc>
          <w:tcPr>
            <w:tcW w:w="2695" w:type="dxa"/>
            <w:shd w:val="clear" w:color="auto" w:fill="BFCED6"/>
          </w:tcPr>
          <w:p w14:paraId="7EDF359C" w14:textId="4B97DB3F"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Dandenong</w:t>
            </w:r>
          </w:p>
        </w:tc>
        <w:tc>
          <w:tcPr>
            <w:tcW w:w="1212" w:type="dxa"/>
            <w:shd w:val="clear" w:color="auto" w:fill="BFCED6"/>
          </w:tcPr>
          <w:p w14:paraId="54189702" w14:textId="1BC2DED3" w:rsidR="00847E82" w:rsidRPr="005B1FEF" w:rsidRDefault="00847E82" w:rsidP="00847E82">
            <w:pPr>
              <w:jc w:val="center"/>
              <w:rPr>
                <w:rFonts w:ascii="VIC" w:hAnsi="VIC"/>
                <w:sz w:val="18"/>
                <w:szCs w:val="18"/>
              </w:rPr>
            </w:pPr>
            <w:r w:rsidRPr="00427725">
              <w:rPr>
                <w:rFonts w:ascii="VIC" w:eastAsia="Verdana" w:hAnsi="VIC"/>
                <w:color w:val="000000"/>
                <w:sz w:val="18"/>
                <w:szCs w:val="18"/>
              </w:rPr>
              <w:t>1.0</w:t>
            </w:r>
          </w:p>
        </w:tc>
        <w:tc>
          <w:tcPr>
            <w:tcW w:w="1213" w:type="dxa"/>
            <w:shd w:val="clear" w:color="auto" w:fill="BFCED6"/>
          </w:tcPr>
          <w:p w14:paraId="4E6612F3" w14:textId="1DEAFD73" w:rsidR="00847E82" w:rsidRPr="005B1FEF" w:rsidRDefault="00847E82" w:rsidP="00847E82">
            <w:pPr>
              <w:jc w:val="center"/>
              <w:rPr>
                <w:rFonts w:ascii="VIC" w:hAnsi="VIC"/>
                <w:sz w:val="18"/>
                <w:szCs w:val="18"/>
              </w:rPr>
            </w:pPr>
            <w:r w:rsidRPr="00427725">
              <w:rPr>
                <w:rFonts w:ascii="VIC" w:eastAsia="Verdana" w:hAnsi="VIC"/>
                <w:color w:val="000000"/>
                <w:sz w:val="18"/>
                <w:szCs w:val="18"/>
              </w:rPr>
              <w:t>89 %</w:t>
            </w:r>
          </w:p>
        </w:tc>
        <w:tc>
          <w:tcPr>
            <w:tcW w:w="1213" w:type="dxa"/>
            <w:shd w:val="clear" w:color="auto" w:fill="BFCED6"/>
          </w:tcPr>
          <w:p w14:paraId="3CF1CB58" w14:textId="5B09F27A"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2312CB5C" w14:textId="27A81A06" w:rsidR="00847E82" w:rsidRPr="005B1FEF" w:rsidRDefault="00847E82" w:rsidP="00847E82">
            <w:pPr>
              <w:jc w:val="center"/>
              <w:rPr>
                <w:rFonts w:ascii="VIC" w:hAnsi="VIC"/>
                <w:sz w:val="18"/>
                <w:szCs w:val="18"/>
              </w:rPr>
            </w:pPr>
            <w:r w:rsidRPr="00427725">
              <w:rPr>
                <w:rFonts w:ascii="VIC" w:eastAsia="Verdana" w:hAnsi="VIC"/>
                <w:color w:val="000000"/>
                <w:sz w:val="18"/>
                <w:szCs w:val="18"/>
              </w:rPr>
              <w:t>305.3</w:t>
            </w:r>
          </w:p>
        </w:tc>
        <w:tc>
          <w:tcPr>
            <w:tcW w:w="1212" w:type="dxa"/>
            <w:shd w:val="clear" w:color="auto" w:fill="BFCED6"/>
          </w:tcPr>
          <w:p w14:paraId="23103A7A" w14:textId="76FB1AA3" w:rsidR="00847E82" w:rsidRPr="005B1FEF" w:rsidRDefault="00847E82" w:rsidP="00847E82">
            <w:pPr>
              <w:jc w:val="center"/>
              <w:rPr>
                <w:rFonts w:ascii="VIC" w:hAnsi="VIC"/>
                <w:sz w:val="18"/>
                <w:szCs w:val="18"/>
              </w:rPr>
            </w:pPr>
            <w:r w:rsidRPr="00427725">
              <w:rPr>
                <w:rFonts w:ascii="VIC" w:eastAsia="Verdana" w:hAnsi="VIC"/>
                <w:color w:val="000000"/>
                <w:sz w:val="18"/>
                <w:szCs w:val="18"/>
              </w:rPr>
              <w:t>57 %</w:t>
            </w:r>
          </w:p>
        </w:tc>
        <w:tc>
          <w:tcPr>
            <w:tcW w:w="1213" w:type="dxa"/>
            <w:shd w:val="clear" w:color="auto" w:fill="BFCED6"/>
          </w:tcPr>
          <w:p w14:paraId="40A01AAF" w14:textId="1A39E3D7" w:rsidR="00847E82" w:rsidRPr="005B1FEF" w:rsidRDefault="00847E82" w:rsidP="00847E82">
            <w:pPr>
              <w:jc w:val="center"/>
              <w:rPr>
                <w:rFonts w:ascii="VIC" w:hAnsi="VIC"/>
                <w:sz w:val="18"/>
                <w:szCs w:val="18"/>
              </w:rPr>
            </w:pPr>
            <w:r w:rsidRPr="00427725">
              <w:rPr>
                <w:rFonts w:ascii="VIC" w:eastAsia="Verdana" w:hAnsi="VIC"/>
                <w:color w:val="000000"/>
                <w:sz w:val="18"/>
                <w:szCs w:val="18"/>
              </w:rPr>
              <w:t>86 %</w:t>
            </w:r>
          </w:p>
        </w:tc>
        <w:tc>
          <w:tcPr>
            <w:tcW w:w="1213" w:type="dxa"/>
            <w:shd w:val="clear" w:color="auto" w:fill="BFCED6"/>
          </w:tcPr>
          <w:p w14:paraId="592C8689" w14:textId="39E67610" w:rsidR="00847E82" w:rsidRPr="005B1FEF" w:rsidRDefault="00847E82" w:rsidP="00847E82">
            <w:pPr>
              <w:jc w:val="center"/>
              <w:rPr>
                <w:rFonts w:ascii="VIC" w:hAnsi="VIC"/>
                <w:sz w:val="18"/>
                <w:szCs w:val="18"/>
              </w:rPr>
            </w:pPr>
            <w:r w:rsidRPr="00427725">
              <w:rPr>
                <w:rFonts w:ascii="VIC" w:eastAsia="Verdana" w:hAnsi="VIC"/>
                <w:color w:val="000000"/>
                <w:sz w:val="18"/>
                <w:szCs w:val="18"/>
              </w:rPr>
              <w:t>17.7</w:t>
            </w:r>
          </w:p>
        </w:tc>
        <w:tc>
          <w:tcPr>
            <w:tcW w:w="1213" w:type="dxa"/>
            <w:shd w:val="clear" w:color="auto" w:fill="BFCED6"/>
          </w:tcPr>
          <w:p w14:paraId="1C32233E" w14:textId="594C1E2D" w:rsidR="00847E82" w:rsidRPr="005B1FEF" w:rsidRDefault="00847E82" w:rsidP="00847E82">
            <w:pPr>
              <w:jc w:val="center"/>
              <w:rPr>
                <w:rFonts w:ascii="VIC" w:hAnsi="VIC"/>
                <w:sz w:val="18"/>
                <w:szCs w:val="18"/>
              </w:rPr>
            </w:pPr>
            <w:r w:rsidRPr="00427725">
              <w:rPr>
                <w:rFonts w:ascii="VIC" w:eastAsia="Verdana" w:hAnsi="VIC"/>
                <w:color w:val="000000"/>
                <w:sz w:val="18"/>
                <w:szCs w:val="18"/>
              </w:rPr>
              <w:t>70 %</w:t>
            </w:r>
          </w:p>
        </w:tc>
        <w:tc>
          <w:tcPr>
            <w:tcW w:w="1213" w:type="dxa"/>
            <w:shd w:val="clear" w:color="auto" w:fill="BFCED6"/>
          </w:tcPr>
          <w:p w14:paraId="4A7EC376" w14:textId="582E806F" w:rsidR="00847E82" w:rsidRPr="005B1FEF" w:rsidRDefault="00847E82" w:rsidP="00847E82">
            <w:pPr>
              <w:jc w:val="center"/>
              <w:rPr>
                <w:rFonts w:ascii="VIC" w:hAnsi="VIC"/>
                <w:sz w:val="18"/>
                <w:szCs w:val="18"/>
              </w:rPr>
            </w:pPr>
            <w:r w:rsidRPr="00427725">
              <w:rPr>
                <w:rFonts w:ascii="VIC" w:eastAsia="Verdana" w:hAnsi="VIC"/>
                <w:color w:val="000000"/>
                <w:sz w:val="18"/>
                <w:szCs w:val="18"/>
              </w:rPr>
              <w:t>46 %</w:t>
            </w:r>
          </w:p>
        </w:tc>
      </w:tr>
      <w:tr w:rsidR="00847E82" w:rsidRPr="00A6366B" w14:paraId="2C1EB32B" w14:textId="77777777" w:rsidTr="00EC71A3">
        <w:trPr>
          <w:trHeight w:val="340"/>
        </w:trPr>
        <w:tc>
          <w:tcPr>
            <w:tcW w:w="2135" w:type="dxa"/>
            <w:vMerge/>
            <w:shd w:val="clear" w:color="auto" w:fill="BFCED6"/>
          </w:tcPr>
          <w:p w14:paraId="5D15D1C1"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291CB880" w14:textId="678F7947" w:rsidR="00847E82" w:rsidRPr="00382424" w:rsidRDefault="00847E82" w:rsidP="00847E82">
            <w:pPr>
              <w:pStyle w:val="DHHStabletext"/>
              <w:spacing w:before="0" w:after="0"/>
              <w:rPr>
                <w:rFonts w:ascii="VIC" w:hAnsi="VIC"/>
                <w:w w:val="105"/>
                <w:sz w:val="18"/>
                <w:szCs w:val="18"/>
              </w:rPr>
            </w:pPr>
            <w:r w:rsidRPr="00427725">
              <w:rPr>
                <w:rFonts w:ascii="VIC" w:eastAsia="Verdana" w:hAnsi="VIC"/>
                <w:color w:val="000000"/>
                <w:sz w:val="18"/>
                <w:szCs w:val="18"/>
              </w:rPr>
              <w:t>Middle South (Monash Adult)</w:t>
            </w:r>
          </w:p>
        </w:tc>
        <w:tc>
          <w:tcPr>
            <w:tcW w:w="1212" w:type="dxa"/>
            <w:shd w:val="clear" w:color="auto" w:fill="BFCED6"/>
          </w:tcPr>
          <w:p w14:paraId="4DDEC2BE" w14:textId="062C98A0" w:rsidR="00847E82" w:rsidRPr="005B1FEF" w:rsidRDefault="00847E82" w:rsidP="00847E82">
            <w:pPr>
              <w:jc w:val="center"/>
              <w:rPr>
                <w:rFonts w:ascii="VIC" w:hAnsi="VIC"/>
                <w:sz w:val="18"/>
                <w:szCs w:val="18"/>
              </w:rPr>
            </w:pPr>
            <w:r w:rsidRPr="00427725">
              <w:rPr>
                <w:rFonts w:ascii="VIC" w:eastAsia="Verdana" w:hAnsi="VIC"/>
                <w:color w:val="000000"/>
                <w:sz w:val="18"/>
                <w:szCs w:val="18"/>
              </w:rPr>
              <w:t>1.0</w:t>
            </w:r>
          </w:p>
        </w:tc>
        <w:tc>
          <w:tcPr>
            <w:tcW w:w="1213" w:type="dxa"/>
            <w:shd w:val="clear" w:color="auto" w:fill="BFCED6"/>
          </w:tcPr>
          <w:p w14:paraId="75E1CE5C" w14:textId="77E7E0F4"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BFCED6"/>
          </w:tcPr>
          <w:p w14:paraId="72B6895E" w14:textId="15ADDEA3"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5FC0D55B" w14:textId="4A42DF91" w:rsidR="00847E82" w:rsidRPr="005B1FEF" w:rsidRDefault="00847E82" w:rsidP="00847E82">
            <w:pPr>
              <w:jc w:val="center"/>
              <w:rPr>
                <w:rFonts w:ascii="VIC" w:hAnsi="VIC"/>
                <w:sz w:val="18"/>
                <w:szCs w:val="18"/>
              </w:rPr>
            </w:pPr>
            <w:r w:rsidRPr="00427725">
              <w:rPr>
                <w:rFonts w:ascii="VIC" w:eastAsia="Verdana" w:hAnsi="VIC"/>
                <w:color w:val="000000"/>
                <w:sz w:val="18"/>
                <w:szCs w:val="18"/>
              </w:rPr>
              <w:t>219.5</w:t>
            </w:r>
          </w:p>
        </w:tc>
        <w:tc>
          <w:tcPr>
            <w:tcW w:w="1212" w:type="dxa"/>
            <w:shd w:val="clear" w:color="auto" w:fill="BFCED6"/>
          </w:tcPr>
          <w:p w14:paraId="03C5E7CB" w14:textId="02879B0A" w:rsidR="00847E82" w:rsidRPr="005B1FEF" w:rsidRDefault="00847E82" w:rsidP="00847E82">
            <w:pPr>
              <w:jc w:val="center"/>
              <w:rPr>
                <w:rFonts w:ascii="VIC" w:hAnsi="VIC"/>
                <w:sz w:val="18"/>
                <w:szCs w:val="18"/>
              </w:rPr>
            </w:pPr>
            <w:r w:rsidRPr="00427725">
              <w:rPr>
                <w:rFonts w:ascii="VIC" w:eastAsia="Verdana" w:hAnsi="VIC"/>
                <w:color w:val="000000"/>
                <w:sz w:val="18"/>
                <w:szCs w:val="18"/>
              </w:rPr>
              <w:t>22 %</w:t>
            </w:r>
          </w:p>
        </w:tc>
        <w:tc>
          <w:tcPr>
            <w:tcW w:w="1213" w:type="dxa"/>
            <w:shd w:val="clear" w:color="auto" w:fill="BFCED6"/>
          </w:tcPr>
          <w:p w14:paraId="5A5A0127" w14:textId="27538E8C"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213" w:type="dxa"/>
            <w:shd w:val="clear" w:color="auto" w:fill="BFCED6"/>
          </w:tcPr>
          <w:p w14:paraId="49EB2E07" w14:textId="4B906861" w:rsidR="00847E82" w:rsidRPr="005B1FEF" w:rsidRDefault="00847E82" w:rsidP="00847E82">
            <w:pPr>
              <w:jc w:val="center"/>
              <w:rPr>
                <w:rFonts w:ascii="VIC" w:hAnsi="VIC"/>
                <w:sz w:val="18"/>
                <w:szCs w:val="18"/>
              </w:rPr>
            </w:pPr>
            <w:r w:rsidRPr="00427725">
              <w:rPr>
                <w:rFonts w:ascii="VIC" w:eastAsia="Verdana" w:hAnsi="VIC"/>
                <w:color w:val="000000"/>
                <w:sz w:val="18"/>
                <w:szCs w:val="18"/>
              </w:rPr>
              <w:t>18.0</w:t>
            </w:r>
          </w:p>
        </w:tc>
        <w:tc>
          <w:tcPr>
            <w:tcW w:w="1213" w:type="dxa"/>
            <w:shd w:val="clear" w:color="auto" w:fill="BFCED6"/>
          </w:tcPr>
          <w:p w14:paraId="5E519BDB" w14:textId="7E0121B5" w:rsidR="00847E82" w:rsidRPr="005B1FEF" w:rsidRDefault="00847E82" w:rsidP="00847E82">
            <w:pPr>
              <w:jc w:val="center"/>
              <w:rPr>
                <w:rFonts w:ascii="VIC" w:hAnsi="VIC"/>
                <w:sz w:val="18"/>
                <w:szCs w:val="18"/>
              </w:rPr>
            </w:pPr>
            <w:r w:rsidRPr="00427725">
              <w:rPr>
                <w:rFonts w:ascii="VIC" w:eastAsia="Verdana" w:hAnsi="VIC"/>
                <w:color w:val="000000"/>
                <w:sz w:val="18"/>
                <w:szCs w:val="18"/>
              </w:rPr>
              <w:t>62 %</w:t>
            </w:r>
          </w:p>
        </w:tc>
        <w:tc>
          <w:tcPr>
            <w:tcW w:w="1213" w:type="dxa"/>
            <w:shd w:val="clear" w:color="auto" w:fill="BFCED6"/>
          </w:tcPr>
          <w:p w14:paraId="7BD50E2D" w14:textId="0C77201B" w:rsidR="00847E82" w:rsidRPr="005B1FEF" w:rsidRDefault="00847E82" w:rsidP="00847E82">
            <w:pPr>
              <w:jc w:val="center"/>
              <w:rPr>
                <w:rFonts w:ascii="VIC" w:hAnsi="VIC"/>
                <w:sz w:val="18"/>
                <w:szCs w:val="18"/>
              </w:rPr>
            </w:pPr>
            <w:r w:rsidRPr="00427725">
              <w:rPr>
                <w:rFonts w:ascii="VIC" w:eastAsia="Verdana" w:hAnsi="VIC"/>
                <w:color w:val="000000"/>
                <w:sz w:val="18"/>
                <w:szCs w:val="18"/>
              </w:rPr>
              <w:t>53 %</w:t>
            </w:r>
          </w:p>
        </w:tc>
      </w:tr>
      <w:tr w:rsidR="00847E82" w:rsidRPr="00A6366B" w14:paraId="7C2A0A14" w14:textId="77777777" w:rsidTr="00EC71A3">
        <w:trPr>
          <w:trHeight w:val="340"/>
        </w:trPr>
        <w:tc>
          <w:tcPr>
            <w:tcW w:w="2135" w:type="dxa"/>
            <w:vMerge/>
            <w:shd w:val="clear" w:color="auto" w:fill="BFCED6"/>
          </w:tcPr>
          <w:p w14:paraId="30CC4D24"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28B833B9" w14:textId="0B16698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212" w:type="dxa"/>
            <w:shd w:val="clear" w:color="auto" w:fill="BFCED6"/>
          </w:tcPr>
          <w:p w14:paraId="3DA50B49" w14:textId="75DAC6CA" w:rsidR="00847E82" w:rsidRPr="005B1FEF" w:rsidRDefault="00847E82" w:rsidP="00847E82">
            <w:pPr>
              <w:jc w:val="center"/>
              <w:rPr>
                <w:rFonts w:ascii="VIC" w:hAnsi="VIC"/>
                <w:sz w:val="18"/>
                <w:szCs w:val="18"/>
              </w:rPr>
            </w:pPr>
            <w:r w:rsidRPr="00427725">
              <w:rPr>
                <w:rFonts w:ascii="VIC" w:eastAsia="Verdana" w:hAnsi="VIC"/>
                <w:color w:val="000000"/>
                <w:sz w:val="18"/>
                <w:szCs w:val="18"/>
              </w:rPr>
              <w:t>0.6</w:t>
            </w:r>
          </w:p>
        </w:tc>
        <w:tc>
          <w:tcPr>
            <w:tcW w:w="1213" w:type="dxa"/>
            <w:shd w:val="clear" w:color="auto" w:fill="BFCED6"/>
          </w:tcPr>
          <w:p w14:paraId="7FAEC981" w14:textId="65092B6A"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BFCED6"/>
          </w:tcPr>
          <w:p w14:paraId="6F755FD5" w14:textId="2BD38169"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04EA65E5" w14:textId="6C18754E" w:rsidR="00847E82" w:rsidRPr="005B1FEF" w:rsidRDefault="00847E82" w:rsidP="00847E82">
            <w:pPr>
              <w:jc w:val="center"/>
              <w:rPr>
                <w:rFonts w:ascii="VIC" w:hAnsi="VIC"/>
                <w:sz w:val="18"/>
                <w:szCs w:val="18"/>
              </w:rPr>
            </w:pPr>
            <w:r w:rsidRPr="00427725">
              <w:rPr>
                <w:rFonts w:ascii="VIC" w:eastAsia="Verdana" w:hAnsi="VIC"/>
                <w:color w:val="000000"/>
                <w:sz w:val="18"/>
                <w:szCs w:val="18"/>
              </w:rPr>
              <w:t>260.6</w:t>
            </w:r>
          </w:p>
        </w:tc>
        <w:tc>
          <w:tcPr>
            <w:tcW w:w="1212" w:type="dxa"/>
            <w:shd w:val="clear" w:color="auto" w:fill="BFCED6"/>
          </w:tcPr>
          <w:p w14:paraId="2F53AAE1" w14:textId="01591B37" w:rsidR="00847E82" w:rsidRPr="005B1FEF" w:rsidRDefault="00847E82" w:rsidP="00847E82">
            <w:pPr>
              <w:jc w:val="center"/>
              <w:rPr>
                <w:rFonts w:ascii="VIC" w:hAnsi="VIC"/>
                <w:sz w:val="18"/>
                <w:szCs w:val="18"/>
              </w:rPr>
            </w:pPr>
            <w:r w:rsidRPr="00427725">
              <w:rPr>
                <w:rFonts w:ascii="VIC" w:eastAsia="Verdana" w:hAnsi="VIC"/>
                <w:color w:val="000000"/>
                <w:sz w:val="18"/>
                <w:szCs w:val="18"/>
              </w:rPr>
              <w:t>40 %</w:t>
            </w:r>
          </w:p>
        </w:tc>
        <w:tc>
          <w:tcPr>
            <w:tcW w:w="1213" w:type="dxa"/>
            <w:shd w:val="clear" w:color="auto" w:fill="BFCED6"/>
          </w:tcPr>
          <w:p w14:paraId="37CF456B" w14:textId="5275B36B"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BFCED6"/>
          </w:tcPr>
          <w:p w14:paraId="25A6DEE2" w14:textId="0870F0AF" w:rsidR="00847E82" w:rsidRPr="005B1FEF" w:rsidRDefault="00847E82" w:rsidP="00847E82">
            <w:pPr>
              <w:jc w:val="center"/>
              <w:rPr>
                <w:rFonts w:ascii="VIC" w:hAnsi="VIC"/>
                <w:sz w:val="18"/>
                <w:szCs w:val="18"/>
              </w:rPr>
            </w:pPr>
            <w:r w:rsidRPr="00427725">
              <w:rPr>
                <w:rFonts w:ascii="VIC" w:eastAsia="Verdana" w:hAnsi="VIC"/>
                <w:color w:val="000000"/>
                <w:sz w:val="18"/>
                <w:szCs w:val="18"/>
              </w:rPr>
              <w:t>17.8</w:t>
            </w:r>
          </w:p>
        </w:tc>
        <w:tc>
          <w:tcPr>
            <w:tcW w:w="1213" w:type="dxa"/>
            <w:shd w:val="clear" w:color="auto" w:fill="BFCED6"/>
          </w:tcPr>
          <w:p w14:paraId="0DC142BF" w14:textId="6FCE1C39" w:rsidR="00847E82" w:rsidRPr="005B1FEF" w:rsidRDefault="00847E82" w:rsidP="00847E82">
            <w:pPr>
              <w:jc w:val="center"/>
              <w:rPr>
                <w:rFonts w:ascii="VIC" w:hAnsi="VIC"/>
                <w:sz w:val="18"/>
                <w:szCs w:val="18"/>
              </w:rPr>
            </w:pPr>
            <w:r w:rsidRPr="00427725">
              <w:rPr>
                <w:rFonts w:ascii="VIC" w:eastAsia="Verdana" w:hAnsi="VIC"/>
                <w:color w:val="000000"/>
                <w:sz w:val="18"/>
                <w:szCs w:val="18"/>
              </w:rPr>
              <w:t>66 %</w:t>
            </w:r>
          </w:p>
        </w:tc>
        <w:tc>
          <w:tcPr>
            <w:tcW w:w="1213" w:type="dxa"/>
            <w:shd w:val="clear" w:color="auto" w:fill="BFCED6"/>
          </w:tcPr>
          <w:p w14:paraId="4A2A472B" w14:textId="511DAED1" w:rsidR="00847E82" w:rsidRPr="005B1FEF" w:rsidRDefault="00847E82" w:rsidP="00847E82">
            <w:pPr>
              <w:jc w:val="center"/>
              <w:rPr>
                <w:rFonts w:ascii="VIC" w:hAnsi="VIC"/>
                <w:sz w:val="18"/>
                <w:szCs w:val="18"/>
              </w:rPr>
            </w:pPr>
            <w:r w:rsidRPr="00427725">
              <w:rPr>
                <w:rFonts w:ascii="VIC" w:eastAsia="Verdana" w:hAnsi="VIC"/>
                <w:color w:val="000000"/>
                <w:sz w:val="18"/>
                <w:szCs w:val="18"/>
              </w:rPr>
              <w:t>49 %</w:t>
            </w:r>
          </w:p>
        </w:tc>
      </w:tr>
      <w:tr w:rsidR="00847E82" w:rsidRPr="00A6366B" w14:paraId="7D1851CB" w14:textId="77777777" w:rsidTr="00EC71A3">
        <w:trPr>
          <w:trHeight w:val="340"/>
        </w:trPr>
        <w:tc>
          <w:tcPr>
            <w:tcW w:w="2135" w:type="dxa"/>
          </w:tcPr>
          <w:p w14:paraId="73D18CB6" w14:textId="7558627E"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Peninsula Health</w:t>
            </w:r>
          </w:p>
        </w:tc>
        <w:tc>
          <w:tcPr>
            <w:tcW w:w="2695" w:type="dxa"/>
          </w:tcPr>
          <w:p w14:paraId="49100E3D" w14:textId="2F45961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Peninsula</w:t>
            </w:r>
          </w:p>
        </w:tc>
        <w:tc>
          <w:tcPr>
            <w:tcW w:w="1212" w:type="dxa"/>
          </w:tcPr>
          <w:p w14:paraId="07FF1833" w14:textId="1B9BB7D7" w:rsidR="00847E82" w:rsidRPr="005B1FEF" w:rsidRDefault="00847E82" w:rsidP="00847E82">
            <w:pPr>
              <w:jc w:val="center"/>
              <w:rPr>
                <w:rFonts w:ascii="VIC" w:hAnsi="VIC"/>
                <w:sz w:val="18"/>
                <w:szCs w:val="18"/>
              </w:rPr>
            </w:pPr>
            <w:r w:rsidRPr="00427725">
              <w:rPr>
                <w:rFonts w:ascii="VIC" w:eastAsia="Verdana" w:hAnsi="VIC"/>
                <w:color w:val="000000"/>
                <w:sz w:val="18"/>
                <w:szCs w:val="18"/>
              </w:rPr>
              <w:t>1.2</w:t>
            </w:r>
          </w:p>
        </w:tc>
        <w:tc>
          <w:tcPr>
            <w:tcW w:w="1213" w:type="dxa"/>
          </w:tcPr>
          <w:p w14:paraId="60500E6E" w14:textId="3FE87185"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213" w:type="dxa"/>
          </w:tcPr>
          <w:p w14:paraId="7A466ABF" w14:textId="5357E0EB"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213" w:type="dxa"/>
          </w:tcPr>
          <w:p w14:paraId="7A7A2AF4" w14:textId="6D5C7CE6" w:rsidR="00847E82" w:rsidRPr="005B1FEF" w:rsidRDefault="00847E82" w:rsidP="00847E82">
            <w:pPr>
              <w:jc w:val="center"/>
              <w:rPr>
                <w:rFonts w:ascii="VIC" w:hAnsi="VIC"/>
                <w:sz w:val="18"/>
                <w:szCs w:val="18"/>
              </w:rPr>
            </w:pPr>
            <w:r w:rsidRPr="00427725">
              <w:rPr>
                <w:rFonts w:ascii="VIC" w:eastAsia="Verdana" w:hAnsi="VIC"/>
                <w:color w:val="000000"/>
                <w:sz w:val="18"/>
                <w:szCs w:val="18"/>
              </w:rPr>
              <w:t>587.4</w:t>
            </w:r>
          </w:p>
        </w:tc>
        <w:tc>
          <w:tcPr>
            <w:tcW w:w="1212" w:type="dxa"/>
          </w:tcPr>
          <w:p w14:paraId="3BCEBF5D" w14:textId="1030621E" w:rsidR="00847E82" w:rsidRPr="005B1FEF" w:rsidRDefault="00847E82" w:rsidP="00847E82">
            <w:pPr>
              <w:jc w:val="center"/>
              <w:rPr>
                <w:rFonts w:ascii="VIC" w:hAnsi="VIC"/>
                <w:sz w:val="18"/>
                <w:szCs w:val="18"/>
              </w:rPr>
            </w:pPr>
            <w:r w:rsidRPr="00427725">
              <w:rPr>
                <w:rFonts w:ascii="VIC" w:eastAsia="Verdana" w:hAnsi="VIC"/>
                <w:color w:val="000000"/>
                <w:sz w:val="18"/>
                <w:szCs w:val="18"/>
              </w:rPr>
              <w:t>27 %</w:t>
            </w:r>
          </w:p>
        </w:tc>
        <w:tc>
          <w:tcPr>
            <w:tcW w:w="1213" w:type="dxa"/>
          </w:tcPr>
          <w:p w14:paraId="05901BD8" w14:textId="2B30D55E" w:rsidR="00847E82" w:rsidRPr="005B1FEF" w:rsidRDefault="00847E82" w:rsidP="00847E82">
            <w:pPr>
              <w:jc w:val="center"/>
              <w:rPr>
                <w:rFonts w:ascii="VIC" w:hAnsi="VIC"/>
                <w:sz w:val="18"/>
                <w:szCs w:val="18"/>
              </w:rPr>
            </w:pPr>
            <w:r w:rsidRPr="00427725">
              <w:rPr>
                <w:rFonts w:ascii="VIC" w:eastAsia="Verdana" w:hAnsi="VIC"/>
                <w:color w:val="000000"/>
                <w:sz w:val="18"/>
                <w:szCs w:val="18"/>
              </w:rPr>
              <w:t>89 %</w:t>
            </w:r>
          </w:p>
        </w:tc>
        <w:tc>
          <w:tcPr>
            <w:tcW w:w="1213" w:type="dxa"/>
          </w:tcPr>
          <w:p w14:paraId="0488E4C5" w14:textId="0B764108" w:rsidR="00847E82" w:rsidRPr="005B1FEF" w:rsidRDefault="00847E82" w:rsidP="00847E82">
            <w:pPr>
              <w:jc w:val="center"/>
              <w:rPr>
                <w:rFonts w:ascii="VIC" w:hAnsi="VIC"/>
                <w:sz w:val="18"/>
                <w:szCs w:val="18"/>
              </w:rPr>
            </w:pPr>
            <w:r w:rsidRPr="00427725">
              <w:rPr>
                <w:rFonts w:ascii="VIC" w:eastAsia="Verdana" w:hAnsi="VIC"/>
                <w:color w:val="000000"/>
                <w:sz w:val="18"/>
                <w:szCs w:val="18"/>
              </w:rPr>
              <w:t>16.9</w:t>
            </w:r>
          </w:p>
        </w:tc>
        <w:tc>
          <w:tcPr>
            <w:tcW w:w="1213" w:type="dxa"/>
          </w:tcPr>
          <w:p w14:paraId="12BD0EFE" w14:textId="52A98721" w:rsidR="00847E82" w:rsidRPr="005B1FEF" w:rsidRDefault="00847E82" w:rsidP="00847E82">
            <w:pPr>
              <w:jc w:val="center"/>
              <w:rPr>
                <w:rFonts w:ascii="VIC" w:hAnsi="VIC"/>
                <w:sz w:val="18"/>
                <w:szCs w:val="18"/>
              </w:rPr>
            </w:pPr>
            <w:r w:rsidRPr="00427725">
              <w:rPr>
                <w:rFonts w:ascii="VIC" w:eastAsia="Verdana" w:hAnsi="VIC"/>
                <w:color w:val="000000"/>
                <w:sz w:val="18"/>
                <w:szCs w:val="18"/>
              </w:rPr>
              <w:t>79 %</w:t>
            </w:r>
          </w:p>
        </w:tc>
        <w:tc>
          <w:tcPr>
            <w:tcW w:w="1213" w:type="dxa"/>
          </w:tcPr>
          <w:p w14:paraId="79F4ED4D" w14:textId="4CB1D1CF" w:rsidR="00847E82" w:rsidRPr="005B1FEF" w:rsidRDefault="00847E82" w:rsidP="00847E82">
            <w:pPr>
              <w:jc w:val="center"/>
              <w:rPr>
                <w:rFonts w:ascii="VIC" w:hAnsi="VIC"/>
                <w:sz w:val="18"/>
                <w:szCs w:val="18"/>
              </w:rPr>
            </w:pPr>
            <w:r w:rsidRPr="00427725">
              <w:rPr>
                <w:rFonts w:ascii="VIC" w:eastAsia="Verdana" w:hAnsi="VIC"/>
                <w:color w:val="000000"/>
                <w:sz w:val="18"/>
                <w:szCs w:val="18"/>
              </w:rPr>
              <w:t>38 %</w:t>
            </w:r>
          </w:p>
        </w:tc>
      </w:tr>
      <w:tr w:rsidR="00847E82" w:rsidRPr="00A6366B" w14:paraId="1167B823" w14:textId="77777777" w:rsidTr="00EC71A3">
        <w:trPr>
          <w:trHeight w:val="340"/>
        </w:trPr>
        <w:tc>
          <w:tcPr>
            <w:tcW w:w="2135" w:type="dxa"/>
            <w:shd w:val="clear" w:color="auto" w:fill="BFCED6"/>
          </w:tcPr>
          <w:p w14:paraId="05BDDF9D" w14:textId="68CF06A6"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St Vincent's Hospital</w:t>
            </w:r>
          </w:p>
        </w:tc>
        <w:tc>
          <w:tcPr>
            <w:tcW w:w="2695" w:type="dxa"/>
            <w:shd w:val="clear" w:color="auto" w:fill="BFCED6"/>
          </w:tcPr>
          <w:p w14:paraId="60383A23" w14:textId="335BA00E"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East (St Vincent's)</w:t>
            </w:r>
          </w:p>
        </w:tc>
        <w:tc>
          <w:tcPr>
            <w:tcW w:w="1212" w:type="dxa"/>
            <w:shd w:val="clear" w:color="auto" w:fill="BFCED6"/>
          </w:tcPr>
          <w:p w14:paraId="681B4214" w14:textId="5D18048A" w:rsidR="00847E82" w:rsidRPr="005B1FEF" w:rsidRDefault="00847E82" w:rsidP="00847E82">
            <w:pPr>
              <w:jc w:val="center"/>
              <w:rPr>
                <w:rFonts w:ascii="VIC" w:hAnsi="VIC"/>
                <w:sz w:val="18"/>
                <w:szCs w:val="18"/>
              </w:rPr>
            </w:pPr>
            <w:r w:rsidRPr="00427725">
              <w:rPr>
                <w:rFonts w:ascii="VIC" w:eastAsia="Verdana" w:hAnsi="VIC"/>
                <w:color w:val="000000"/>
                <w:sz w:val="18"/>
                <w:szCs w:val="18"/>
              </w:rPr>
              <w:t>1.1</w:t>
            </w:r>
          </w:p>
        </w:tc>
        <w:tc>
          <w:tcPr>
            <w:tcW w:w="1213" w:type="dxa"/>
            <w:shd w:val="clear" w:color="auto" w:fill="BFCED6"/>
          </w:tcPr>
          <w:p w14:paraId="78C2F2A5" w14:textId="7D72F899" w:rsidR="00847E82" w:rsidRPr="005B1FEF" w:rsidRDefault="00847E82" w:rsidP="00847E82">
            <w:pPr>
              <w:jc w:val="center"/>
              <w:rPr>
                <w:rFonts w:ascii="VIC" w:hAnsi="VIC"/>
                <w:sz w:val="18"/>
                <w:szCs w:val="18"/>
              </w:rPr>
            </w:pPr>
            <w:r w:rsidRPr="00427725">
              <w:rPr>
                <w:rFonts w:ascii="VIC" w:eastAsia="Verdana" w:hAnsi="VIC"/>
                <w:color w:val="000000"/>
                <w:sz w:val="18"/>
                <w:szCs w:val="18"/>
              </w:rPr>
              <w:t>69 %</w:t>
            </w:r>
          </w:p>
        </w:tc>
        <w:tc>
          <w:tcPr>
            <w:tcW w:w="1213" w:type="dxa"/>
            <w:shd w:val="clear" w:color="auto" w:fill="BFCED6"/>
          </w:tcPr>
          <w:p w14:paraId="69E3AE08" w14:textId="3EB7F6F3"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213" w:type="dxa"/>
            <w:shd w:val="clear" w:color="auto" w:fill="BFCED6"/>
          </w:tcPr>
          <w:p w14:paraId="5E98601E" w14:textId="32899B60" w:rsidR="00847E82" w:rsidRPr="005B1FEF" w:rsidRDefault="00847E82" w:rsidP="00847E82">
            <w:pPr>
              <w:jc w:val="center"/>
              <w:rPr>
                <w:rFonts w:ascii="VIC" w:hAnsi="VIC"/>
                <w:sz w:val="18"/>
                <w:szCs w:val="18"/>
              </w:rPr>
            </w:pPr>
            <w:r w:rsidRPr="00427725">
              <w:rPr>
                <w:rFonts w:ascii="VIC" w:eastAsia="Verdana" w:hAnsi="VIC"/>
                <w:color w:val="000000"/>
                <w:sz w:val="18"/>
                <w:szCs w:val="18"/>
              </w:rPr>
              <w:t>278.3</w:t>
            </w:r>
          </w:p>
        </w:tc>
        <w:tc>
          <w:tcPr>
            <w:tcW w:w="1212" w:type="dxa"/>
            <w:shd w:val="clear" w:color="auto" w:fill="BFCED6"/>
          </w:tcPr>
          <w:p w14:paraId="16AC385E" w14:textId="641A7635"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213" w:type="dxa"/>
            <w:shd w:val="clear" w:color="auto" w:fill="BFCED6"/>
          </w:tcPr>
          <w:p w14:paraId="67FB1CFA" w14:textId="6635C244"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213" w:type="dxa"/>
            <w:shd w:val="clear" w:color="auto" w:fill="BFCED6"/>
          </w:tcPr>
          <w:p w14:paraId="279390D1" w14:textId="376AA3F0" w:rsidR="00847E82" w:rsidRPr="005B1FEF" w:rsidRDefault="00847E82" w:rsidP="00847E82">
            <w:pPr>
              <w:jc w:val="center"/>
              <w:rPr>
                <w:rFonts w:ascii="VIC" w:hAnsi="VIC"/>
                <w:sz w:val="18"/>
                <w:szCs w:val="18"/>
              </w:rPr>
            </w:pPr>
            <w:r w:rsidRPr="00427725">
              <w:rPr>
                <w:rFonts w:ascii="VIC" w:eastAsia="Verdana" w:hAnsi="VIC"/>
                <w:color w:val="000000"/>
                <w:sz w:val="18"/>
                <w:szCs w:val="18"/>
              </w:rPr>
              <w:t>17.7</w:t>
            </w:r>
          </w:p>
        </w:tc>
        <w:tc>
          <w:tcPr>
            <w:tcW w:w="1213" w:type="dxa"/>
            <w:shd w:val="clear" w:color="auto" w:fill="BFCED6"/>
          </w:tcPr>
          <w:p w14:paraId="63276E47" w14:textId="112003FC"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213" w:type="dxa"/>
            <w:shd w:val="clear" w:color="auto" w:fill="BFCED6"/>
          </w:tcPr>
          <w:p w14:paraId="7ABE7726" w14:textId="14458D34" w:rsidR="00847E82" w:rsidRPr="005B1FEF" w:rsidRDefault="00847E82" w:rsidP="00847E82">
            <w:pPr>
              <w:jc w:val="center"/>
              <w:rPr>
                <w:rFonts w:ascii="VIC" w:hAnsi="VIC"/>
                <w:sz w:val="18"/>
                <w:szCs w:val="18"/>
              </w:rPr>
            </w:pPr>
            <w:r w:rsidRPr="00427725">
              <w:rPr>
                <w:rFonts w:ascii="VIC" w:eastAsia="Verdana" w:hAnsi="VIC"/>
                <w:color w:val="000000"/>
                <w:sz w:val="18"/>
                <w:szCs w:val="18"/>
              </w:rPr>
              <w:t>55 %</w:t>
            </w:r>
          </w:p>
        </w:tc>
      </w:tr>
      <w:tr w:rsidR="00847E82" w:rsidRPr="00A6366B" w14:paraId="0B1C8314" w14:textId="77777777" w:rsidTr="00EC71A3">
        <w:trPr>
          <w:trHeight w:val="340"/>
        </w:trPr>
        <w:tc>
          <w:tcPr>
            <w:tcW w:w="2135" w:type="dxa"/>
          </w:tcPr>
          <w:p w14:paraId="530FDC8C" w14:textId="71BEF0C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Mercy Health</w:t>
            </w:r>
          </w:p>
        </w:tc>
        <w:tc>
          <w:tcPr>
            <w:tcW w:w="2695" w:type="dxa"/>
          </w:tcPr>
          <w:p w14:paraId="228CCBCA" w14:textId="34186A9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South West (Werribee)</w:t>
            </w:r>
          </w:p>
        </w:tc>
        <w:tc>
          <w:tcPr>
            <w:tcW w:w="1212" w:type="dxa"/>
          </w:tcPr>
          <w:p w14:paraId="0E72D190" w14:textId="27BED876" w:rsidR="00847E82" w:rsidRPr="005B1FEF" w:rsidRDefault="00847E82" w:rsidP="00847E82">
            <w:pPr>
              <w:jc w:val="center"/>
              <w:rPr>
                <w:rFonts w:ascii="VIC" w:hAnsi="VIC"/>
                <w:sz w:val="18"/>
                <w:szCs w:val="18"/>
              </w:rPr>
            </w:pPr>
            <w:r w:rsidRPr="00427725">
              <w:rPr>
                <w:rFonts w:ascii="VIC" w:eastAsia="Verdana" w:hAnsi="VIC"/>
                <w:color w:val="000000"/>
                <w:sz w:val="18"/>
                <w:szCs w:val="18"/>
              </w:rPr>
              <w:t>0.7</w:t>
            </w:r>
          </w:p>
        </w:tc>
        <w:tc>
          <w:tcPr>
            <w:tcW w:w="1213" w:type="dxa"/>
          </w:tcPr>
          <w:p w14:paraId="65DE383C" w14:textId="5F82EF06"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213" w:type="dxa"/>
          </w:tcPr>
          <w:p w14:paraId="1920351C" w14:textId="3D188FF2"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tcPr>
          <w:p w14:paraId="03A22873" w14:textId="72571DCA" w:rsidR="00847E82" w:rsidRPr="005B1FEF" w:rsidRDefault="00847E82" w:rsidP="00847E82">
            <w:pPr>
              <w:jc w:val="center"/>
              <w:rPr>
                <w:rFonts w:ascii="VIC" w:hAnsi="VIC"/>
                <w:sz w:val="18"/>
                <w:szCs w:val="18"/>
              </w:rPr>
            </w:pPr>
            <w:r w:rsidRPr="00427725">
              <w:rPr>
                <w:rFonts w:ascii="VIC" w:eastAsia="Verdana" w:hAnsi="VIC"/>
                <w:color w:val="000000"/>
                <w:sz w:val="18"/>
                <w:szCs w:val="18"/>
              </w:rPr>
              <w:t>488.8</w:t>
            </w:r>
          </w:p>
        </w:tc>
        <w:tc>
          <w:tcPr>
            <w:tcW w:w="1212" w:type="dxa"/>
          </w:tcPr>
          <w:p w14:paraId="7EF67CDF" w14:textId="131EB749" w:rsidR="00847E82" w:rsidRPr="005B1FEF" w:rsidRDefault="00847E82" w:rsidP="00847E82">
            <w:pPr>
              <w:jc w:val="center"/>
              <w:rPr>
                <w:rFonts w:ascii="VIC" w:hAnsi="VIC"/>
                <w:sz w:val="18"/>
                <w:szCs w:val="18"/>
              </w:rPr>
            </w:pPr>
            <w:r w:rsidRPr="00427725">
              <w:rPr>
                <w:rFonts w:ascii="VIC" w:eastAsia="Verdana" w:hAnsi="VIC"/>
                <w:color w:val="000000"/>
                <w:sz w:val="18"/>
                <w:szCs w:val="18"/>
              </w:rPr>
              <w:t>33 %</w:t>
            </w:r>
          </w:p>
        </w:tc>
        <w:tc>
          <w:tcPr>
            <w:tcW w:w="1213" w:type="dxa"/>
          </w:tcPr>
          <w:p w14:paraId="51216096" w14:textId="1C6A2A63"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213" w:type="dxa"/>
          </w:tcPr>
          <w:p w14:paraId="088331CA" w14:textId="2FE8DAA7" w:rsidR="00847E82" w:rsidRPr="005B1FEF" w:rsidRDefault="00847E82" w:rsidP="00847E82">
            <w:pPr>
              <w:jc w:val="center"/>
              <w:rPr>
                <w:rFonts w:ascii="VIC" w:hAnsi="VIC"/>
                <w:sz w:val="18"/>
                <w:szCs w:val="18"/>
              </w:rPr>
            </w:pPr>
            <w:r w:rsidRPr="00427725">
              <w:rPr>
                <w:rFonts w:ascii="VIC" w:eastAsia="Verdana" w:hAnsi="VIC"/>
                <w:color w:val="000000"/>
                <w:sz w:val="18"/>
                <w:szCs w:val="18"/>
              </w:rPr>
              <w:t>16.4</w:t>
            </w:r>
          </w:p>
        </w:tc>
        <w:tc>
          <w:tcPr>
            <w:tcW w:w="1213" w:type="dxa"/>
          </w:tcPr>
          <w:p w14:paraId="2C19B6F3" w14:textId="13190579"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213" w:type="dxa"/>
          </w:tcPr>
          <w:p w14:paraId="718C5454" w14:textId="41F3AD67" w:rsidR="00847E82" w:rsidRPr="005B1FEF" w:rsidRDefault="00847E82" w:rsidP="00847E82">
            <w:pPr>
              <w:jc w:val="center"/>
              <w:rPr>
                <w:rFonts w:ascii="VIC" w:hAnsi="VIC"/>
                <w:sz w:val="18"/>
                <w:szCs w:val="18"/>
              </w:rPr>
            </w:pPr>
            <w:r w:rsidRPr="00427725">
              <w:rPr>
                <w:rFonts w:ascii="VIC" w:eastAsia="Verdana" w:hAnsi="VIC"/>
                <w:color w:val="000000"/>
                <w:sz w:val="18"/>
                <w:szCs w:val="18"/>
              </w:rPr>
              <w:t>48 %</w:t>
            </w:r>
          </w:p>
        </w:tc>
      </w:tr>
      <w:tr w:rsidR="00847E82" w:rsidRPr="00847E82" w14:paraId="31F0BD6D" w14:textId="77777777" w:rsidTr="00EC71A3">
        <w:trPr>
          <w:trHeight w:val="312"/>
        </w:trPr>
        <w:tc>
          <w:tcPr>
            <w:tcW w:w="2135" w:type="dxa"/>
            <w:shd w:val="clear" w:color="auto" w:fill="B1C9E8"/>
          </w:tcPr>
          <w:p w14:paraId="5FDD5C66" w14:textId="6767A4DB"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METRO</w:t>
            </w:r>
          </w:p>
        </w:tc>
        <w:tc>
          <w:tcPr>
            <w:tcW w:w="2695" w:type="dxa"/>
            <w:shd w:val="clear" w:color="auto" w:fill="B1C9E8"/>
          </w:tcPr>
          <w:p w14:paraId="4A2E8F7E" w14:textId="560415A2"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212" w:type="dxa"/>
            <w:shd w:val="clear" w:color="auto" w:fill="B1C9E8"/>
          </w:tcPr>
          <w:p w14:paraId="7743B7D3" w14:textId="75BEDC10"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0.8</w:t>
            </w:r>
          </w:p>
        </w:tc>
        <w:tc>
          <w:tcPr>
            <w:tcW w:w="1213" w:type="dxa"/>
            <w:shd w:val="clear" w:color="auto" w:fill="B1C9E8"/>
          </w:tcPr>
          <w:p w14:paraId="7BF01ECC" w14:textId="360D477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85 %</w:t>
            </w:r>
          </w:p>
        </w:tc>
        <w:tc>
          <w:tcPr>
            <w:tcW w:w="1213" w:type="dxa"/>
            <w:shd w:val="clear" w:color="auto" w:fill="B1C9E8"/>
          </w:tcPr>
          <w:p w14:paraId="45DA6FC5" w14:textId="367AE78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5 %</w:t>
            </w:r>
          </w:p>
        </w:tc>
        <w:tc>
          <w:tcPr>
            <w:tcW w:w="1213" w:type="dxa"/>
            <w:shd w:val="clear" w:color="auto" w:fill="B1C9E8"/>
          </w:tcPr>
          <w:p w14:paraId="67FEB58D" w14:textId="2410532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335.7</w:t>
            </w:r>
          </w:p>
        </w:tc>
        <w:tc>
          <w:tcPr>
            <w:tcW w:w="1212" w:type="dxa"/>
            <w:shd w:val="clear" w:color="auto" w:fill="B1C9E8"/>
          </w:tcPr>
          <w:p w14:paraId="3187CC06" w14:textId="21539CD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34 %</w:t>
            </w:r>
          </w:p>
        </w:tc>
        <w:tc>
          <w:tcPr>
            <w:tcW w:w="1213" w:type="dxa"/>
            <w:shd w:val="clear" w:color="auto" w:fill="B1C9E8"/>
          </w:tcPr>
          <w:p w14:paraId="41AAC7F0" w14:textId="1FB5E15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84 %</w:t>
            </w:r>
          </w:p>
        </w:tc>
        <w:tc>
          <w:tcPr>
            <w:tcW w:w="1213" w:type="dxa"/>
            <w:shd w:val="clear" w:color="auto" w:fill="B1C9E8"/>
          </w:tcPr>
          <w:p w14:paraId="4FC52026" w14:textId="1F92A7A4"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15.4</w:t>
            </w:r>
          </w:p>
        </w:tc>
        <w:tc>
          <w:tcPr>
            <w:tcW w:w="1213" w:type="dxa"/>
            <w:shd w:val="clear" w:color="auto" w:fill="B1C9E8"/>
          </w:tcPr>
          <w:p w14:paraId="586F231A" w14:textId="5835FAAB"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64 %</w:t>
            </w:r>
          </w:p>
        </w:tc>
        <w:tc>
          <w:tcPr>
            <w:tcW w:w="1213" w:type="dxa"/>
            <w:shd w:val="clear" w:color="auto" w:fill="B1C9E8"/>
          </w:tcPr>
          <w:p w14:paraId="3AA2795B" w14:textId="29DE65E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41 %</w:t>
            </w:r>
          </w:p>
        </w:tc>
      </w:tr>
      <w:tr w:rsidR="00847E82" w:rsidRPr="00A6366B" w14:paraId="0402741F" w14:textId="77777777" w:rsidTr="00EC71A3">
        <w:trPr>
          <w:trHeight w:val="340"/>
        </w:trPr>
        <w:tc>
          <w:tcPr>
            <w:tcW w:w="2135" w:type="dxa"/>
            <w:shd w:val="clear" w:color="auto" w:fill="BFCED6"/>
          </w:tcPr>
          <w:p w14:paraId="7AF61C5B" w14:textId="5927ED3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Ballarat Health</w:t>
            </w:r>
          </w:p>
        </w:tc>
        <w:tc>
          <w:tcPr>
            <w:tcW w:w="2695" w:type="dxa"/>
            <w:shd w:val="clear" w:color="auto" w:fill="BFCED6"/>
          </w:tcPr>
          <w:p w14:paraId="4EAAC705" w14:textId="3E83623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Grampians</w:t>
            </w:r>
          </w:p>
        </w:tc>
        <w:tc>
          <w:tcPr>
            <w:tcW w:w="1212" w:type="dxa"/>
            <w:shd w:val="clear" w:color="auto" w:fill="BFCED6"/>
          </w:tcPr>
          <w:p w14:paraId="08A1DD51" w14:textId="515B5D73" w:rsidR="00847E82" w:rsidRPr="005B1FEF" w:rsidRDefault="00847E82" w:rsidP="00847E82">
            <w:pPr>
              <w:jc w:val="center"/>
              <w:rPr>
                <w:rFonts w:ascii="VIC" w:hAnsi="VIC"/>
                <w:sz w:val="18"/>
                <w:szCs w:val="18"/>
              </w:rPr>
            </w:pPr>
            <w:r w:rsidRPr="00427725">
              <w:rPr>
                <w:rFonts w:ascii="VIC" w:eastAsia="Verdana" w:hAnsi="VIC"/>
                <w:color w:val="000000"/>
                <w:sz w:val="18"/>
                <w:szCs w:val="18"/>
              </w:rPr>
              <w:t>0.7</w:t>
            </w:r>
          </w:p>
        </w:tc>
        <w:tc>
          <w:tcPr>
            <w:tcW w:w="1213" w:type="dxa"/>
            <w:shd w:val="clear" w:color="auto" w:fill="BFCED6"/>
          </w:tcPr>
          <w:p w14:paraId="44B41F61" w14:textId="391CE895" w:rsidR="00847E82" w:rsidRPr="005B1FEF" w:rsidRDefault="00847E82" w:rsidP="00847E82">
            <w:pPr>
              <w:jc w:val="center"/>
              <w:rPr>
                <w:rFonts w:ascii="VIC" w:hAnsi="VIC"/>
                <w:sz w:val="18"/>
                <w:szCs w:val="18"/>
              </w:rPr>
            </w:pPr>
            <w:r w:rsidRPr="00427725">
              <w:rPr>
                <w:rFonts w:ascii="VIC" w:eastAsia="Verdana" w:hAnsi="VIC"/>
                <w:color w:val="000000"/>
                <w:sz w:val="18"/>
                <w:szCs w:val="18"/>
              </w:rPr>
              <w:t>39 %</w:t>
            </w:r>
          </w:p>
        </w:tc>
        <w:tc>
          <w:tcPr>
            <w:tcW w:w="1213" w:type="dxa"/>
            <w:shd w:val="clear" w:color="auto" w:fill="BFCED6"/>
          </w:tcPr>
          <w:p w14:paraId="4D24937F" w14:textId="251373DF"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213" w:type="dxa"/>
            <w:shd w:val="clear" w:color="auto" w:fill="BFCED6"/>
          </w:tcPr>
          <w:p w14:paraId="0F3B3F03" w14:textId="76510062" w:rsidR="00847E82" w:rsidRPr="005B1FEF" w:rsidRDefault="00847E82" w:rsidP="00847E82">
            <w:pPr>
              <w:jc w:val="center"/>
              <w:rPr>
                <w:rFonts w:ascii="VIC" w:hAnsi="VIC"/>
                <w:sz w:val="18"/>
                <w:szCs w:val="18"/>
              </w:rPr>
            </w:pPr>
            <w:r w:rsidRPr="00427725">
              <w:rPr>
                <w:rFonts w:ascii="VIC" w:eastAsia="Verdana" w:hAnsi="VIC"/>
                <w:color w:val="000000"/>
                <w:sz w:val="18"/>
                <w:szCs w:val="18"/>
              </w:rPr>
              <w:t>746.6</w:t>
            </w:r>
          </w:p>
        </w:tc>
        <w:tc>
          <w:tcPr>
            <w:tcW w:w="1212" w:type="dxa"/>
            <w:shd w:val="clear" w:color="auto" w:fill="BFCED6"/>
          </w:tcPr>
          <w:p w14:paraId="6EED21B1" w14:textId="1C88AFA8" w:rsidR="00847E82" w:rsidRPr="005B1FEF" w:rsidRDefault="00847E82" w:rsidP="00847E82">
            <w:pPr>
              <w:jc w:val="center"/>
              <w:rPr>
                <w:rFonts w:ascii="VIC" w:hAnsi="VIC"/>
                <w:sz w:val="18"/>
                <w:szCs w:val="18"/>
              </w:rPr>
            </w:pPr>
            <w:r w:rsidRPr="00427725">
              <w:rPr>
                <w:rFonts w:ascii="VIC" w:eastAsia="Verdana" w:hAnsi="VIC"/>
                <w:color w:val="000000"/>
                <w:sz w:val="18"/>
                <w:szCs w:val="18"/>
              </w:rPr>
              <w:t>56 %</w:t>
            </w:r>
          </w:p>
        </w:tc>
        <w:tc>
          <w:tcPr>
            <w:tcW w:w="1213" w:type="dxa"/>
            <w:shd w:val="clear" w:color="auto" w:fill="BFCED6"/>
          </w:tcPr>
          <w:p w14:paraId="1A3267B5" w14:textId="42C783D7" w:rsidR="00847E82" w:rsidRPr="005B1FEF" w:rsidRDefault="00847E82" w:rsidP="00847E82">
            <w:pPr>
              <w:jc w:val="center"/>
              <w:rPr>
                <w:rFonts w:ascii="VIC" w:hAnsi="VIC"/>
                <w:sz w:val="18"/>
                <w:szCs w:val="18"/>
              </w:rPr>
            </w:pPr>
            <w:r w:rsidRPr="00427725">
              <w:rPr>
                <w:rFonts w:ascii="VIC" w:eastAsia="Verdana" w:hAnsi="VIC"/>
                <w:color w:val="000000"/>
                <w:sz w:val="18"/>
                <w:szCs w:val="18"/>
              </w:rPr>
              <w:t>43 %</w:t>
            </w:r>
          </w:p>
        </w:tc>
        <w:tc>
          <w:tcPr>
            <w:tcW w:w="1213" w:type="dxa"/>
            <w:shd w:val="clear" w:color="auto" w:fill="BFCED6"/>
          </w:tcPr>
          <w:p w14:paraId="1AC14D85" w14:textId="7B19B7B4" w:rsidR="00847E82" w:rsidRPr="005B1FEF" w:rsidRDefault="00847E82" w:rsidP="00847E82">
            <w:pPr>
              <w:jc w:val="center"/>
              <w:rPr>
                <w:rFonts w:ascii="VIC" w:hAnsi="VIC"/>
                <w:sz w:val="18"/>
                <w:szCs w:val="18"/>
              </w:rPr>
            </w:pPr>
            <w:r w:rsidRPr="00427725">
              <w:rPr>
                <w:rFonts w:ascii="VIC" w:eastAsia="Verdana" w:hAnsi="VIC"/>
                <w:color w:val="000000"/>
                <w:sz w:val="18"/>
                <w:szCs w:val="18"/>
              </w:rPr>
              <w:t>13.0</w:t>
            </w:r>
          </w:p>
        </w:tc>
        <w:tc>
          <w:tcPr>
            <w:tcW w:w="1213" w:type="dxa"/>
            <w:shd w:val="clear" w:color="auto" w:fill="BFCED6"/>
          </w:tcPr>
          <w:p w14:paraId="04C794BA" w14:textId="24A9641C" w:rsidR="00847E82" w:rsidRPr="005B1FEF" w:rsidRDefault="00847E82" w:rsidP="00847E82">
            <w:pPr>
              <w:jc w:val="center"/>
              <w:rPr>
                <w:rFonts w:ascii="VIC" w:hAnsi="VIC"/>
                <w:sz w:val="18"/>
                <w:szCs w:val="18"/>
              </w:rPr>
            </w:pPr>
            <w:r w:rsidRPr="00427725">
              <w:rPr>
                <w:rFonts w:ascii="VIC" w:eastAsia="Verdana" w:hAnsi="VIC"/>
                <w:color w:val="000000"/>
                <w:sz w:val="18"/>
                <w:szCs w:val="18"/>
              </w:rPr>
              <w:t>36 %</w:t>
            </w:r>
          </w:p>
        </w:tc>
        <w:tc>
          <w:tcPr>
            <w:tcW w:w="1213" w:type="dxa"/>
            <w:shd w:val="clear" w:color="auto" w:fill="BFCED6"/>
          </w:tcPr>
          <w:p w14:paraId="77A159E4" w14:textId="1172596C" w:rsidR="00847E82" w:rsidRPr="005B1FEF" w:rsidRDefault="00847E82" w:rsidP="00847E82">
            <w:pPr>
              <w:jc w:val="center"/>
              <w:rPr>
                <w:rFonts w:ascii="VIC" w:hAnsi="VIC"/>
                <w:sz w:val="18"/>
                <w:szCs w:val="18"/>
              </w:rPr>
            </w:pPr>
            <w:r w:rsidRPr="00427725">
              <w:rPr>
                <w:rFonts w:ascii="VIC" w:eastAsia="Verdana" w:hAnsi="VIC"/>
                <w:color w:val="000000"/>
                <w:sz w:val="18"/>
                <w:szCs w:val="18"/>
              </w:rPr>
              <w:t>21 %</w:t>
            </w:r>
          </w:p>
        </w:tc>
      </w:tr>
      <w:tr w:rsidR="00847E82" w:rsidRPr="00A6366B" w14:paraId="2560D548" w14:textId="77777777" w:rsidTr="00EC71A3">
        <w:trPr>
          <w:trHeight w:val="340"/>
        </w:trPr>
        <w:tc>
          <w:tcPr>
            <w:tcW w:w="2135" w:type="dxa"/>
            <w:shd w:val="clear" w:color="auto" w:fill="FFFFFF" w:themeFill="background1"/>
          </w:tcPr>
          <w:p w14:paraId="6D2D7923" w14:textId="428CBFD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 Health</w:t>
            </w:r>
          </w:p>
        </w:tc>
        <w:tc>
          <w:tcPr>
            <w:tcW w:w="2695" w:type="dxa"/>
            <w:shd w:val="clear" w:color="auto" w:fill="FFFFFF" w:themeFill="background1"/>
          </w:tcPr>
          <w:p w14:paraId="048D368B" w14:textId="65EEBD8B"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w:t>
            </w:r>
          </w:p>
        </w:tc>
        <w:tc>
          <w:tcPr>
            <w:tcW w:w="1212" w:type="dxa"/>
            <w:shd w:val="clear" w:color="auto" w:fill="FFFFFF" w:themeFill="background1"/>
          </w:tcPr>
          <w:p w14:paraId="38722BAB" w14:textId="12EA75E9" w:rsidR="00847E82" w:rsidRPr="005B1FEF" w:rsidRDefault="00847E82" w:rsidP="00847E82">
            <w:pPr>
              <w:jc w:val="center"/>
              <w:rPr>
                <w:rFonts w:ascii="VIC" w:hAnsi="VIC"/>
                <w:sz w:val="18"/>
                <w:szCs w:val="18"/>
              </w:rPr>
            </w:pPr>
            <w:r w:rsidRPr="00427725">
              <w:rPr>
                <w:rFonts w:ascii="VIC" w:eastAsia="Verdana" w:hAnsi="VIC"/>
                <w:color w:val="000000"/>
                <w:sz w:val="18"/>
                <w:szCs w:val="18"/>
              </w:rPr>
              <w:t>0.7</w:t>
            </w:r>
          </w:p>
        </w:tc>
        <w:tc>
          <w:tcPr>
            <w:tcW w:w="1213" w:type="dxa"/>
            <w:shd w:val="clear" w:color="auto" w:fill="FFFFFF" w:themeFill="background1"/>
          </w:tcPr>
          <w:p w14:paraId="0F02094E" w14:textId="47BA1B26"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FFFFFF" w:themeFill="background1"/>
          </w:tcPr>
          <w:p w14:paraId="5C2BA211" w14:textId="49B060CA"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213" w:type="dxa"/>
            <w:shd w:val="clear" w:color="auto" w:fill="FFFFFF" w:themeFill="background1"/>
          </w:tcPr>
          <w:p w14:paraId="10F550E0" w14:textId="0E7DF303" w:rsidR="00847E82" w:rsidRPr="005B1FEF" w:rsidRDefault="00847E82" w:rsidP="00847E82">
            <w:pPr>
              <w:jc w:val="center"/>
              <w:rPr>
                <w:rFonts w:ascii="VIC" w:hAnsi="VIC"/>
                <w:sz w:val="18"/>
                <w:szCs w:val="18"/>
              </w:rPr>
            </w:pPr>
            <w:r w:rsidRPr="00427725">
              <w:rPr>
                <w:rFonts w:ascii="VIC" w:eastAsia="Verdana" w:hAnsi="VIC"/>
                <w:color w:val="000000"/>
                <w:sz w:val="18"/>
                <w:szCs w:val="18"/>
              </w:rPr>
              <w:t>128.6</w:t>
            </w:r>
          </w:p>
        </w:tc>
        <w:tc>
          <w:tcPr>
            <w:tcW w:w="1212" w:type="dxa"/>
            <w:shd w:val="clear" w:color="auto" w:fill="FFFFFF" w:themeFill="background1"/>
          </w:tcPr>
          <w:p w14:paraId="2E2C6E07" w14:textId="10E07476" w:rsidR="00847E82" w:rsidRPr="005B1FEF" w:rsidRDefault="00847E82" w:rsidP="00847E82">
            <w:pPr>
              <w:jc w:val="center"/>
              <w:rPr>
                <w:rFonts w:ascii="VIC" w:hAnsi="VIC"/>
                <w:sz w:val="18"/>
                <w:szCs w:val="18"/>
              </w:rPr>
            </w:pPr>
            <w:r w:rsidRPr="00427725">
              <w:rPr>
                <w:rFonts w:ascii="VIC" w:eastAsia="Verdana" w:hAnsi="VIC"/>
                <w:color w:val="000000"/>
                <w:sz w:val="18"/>
                <w:szCs w:val="18"/>
              </w:rPr>
              <w:t>24 %</w:t>
            </w:r>
          </w:p>
        </w:tc>
        <w:tc>
          <w:tcPr>
            <w:tcW w:w="1213" w:type="dxa"/>
            <w:shd w:val="clear" w:color="auto" w:fill="FFFFFF" w:themeFill="background1"/>
          </w:tcPr>
          <w:p w14:paraId="7985D569" w14:textId="0DE09974"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213" w:type="dxa"/>
            <w:shd w:val="clear" w:color="auto" w:fill="FFFFFF" w:themeFill="background1"/>
          </w:tcPr>
          <w:p w14:paraId="1E59194E" w14:textId="7C6BAEA9" w:rsidR="00847E82" w:rsidRPr="005B1FEF" w:rsidRDefault="00847E82" w:rsidP="00847E82">
            <w:pPr>
              <w:jc w:val="center"/>
              <w:rPr>
                <w:rFonts w:ascii="VIC" w:hAnsi="VIC"/>
                <w:sz w:val="18"/>
                <w:szCs w:val="18"/>
              </w:rPr>
            </w:pPr>
            <w:r w:rsidRPr="00427725">
              <w:rPr>
                <w:rFonts w:ascii="VIC" w:eastAsia="Verdana" w:hAnsi="VIC"/>
                <w:color w:val="000000"/>
                <w:sz w:val="18"/>
                <w:szCs w:val="18"/>
              </w:rPr>
              <w:t>15.4</w:t>
            </w:r>
          </w:p>
        </w:tc>
        <w:tc>
          <w:tcPr>
            <w:tcW w:w="1213" w:type="dxa"/>
            <w:shd w:val="clear" w:color="auto" w:fill="FFFFFF" w:themeFill="background1"/>
          </w:tcPr>
          <w:p w14:paraId="5B2C7810" w14:textId="4A187A16" w:rsidR="00847E82" w:rsidRPr="005B1FEF" w:rsidRDefault="00847E82" w:rsidP="00847E82">
            <w:pPr>
              <w:jc w:val="center"/>
              <w:rPr>
                <w:rFonts w:ascii="VIC" w:hAnsi="VIC"/>
                <w:sz w:val="18"/>
                <w:szCs w:val="18"/>
              </w:rPr>
            </w:pPr>
            <w:r w:rsidRPr="00427725">
              <w:rPr>
                <w:rFonts w:ascii="VIC" w:eastAsia="Verdana" w:hAnsi="VIC"/>
                <w:color w:val="000000"/>
                <w:sz w:val="18"/>
                <w:szCs w:val="18"/>
              </w:rPr>
              <w:t>19 %</w:t>
            </w:r>
          </w:p>
        </w:tc>
        <w:tc>
          <w:tcPr>
            <w:tcW w:w="1213" w:type="dxa"/>
            <w:shd w:val="clear" w:color="auto" w:fill="FFFFFF" w:themeFill="background1"/>
          </w:tcPr>
          <w:p w14:paraId="5406D687" w14:textId="28107F07" w:rsidR="00847E82" w:rsidRPr="005B1FEF" w:rsidRDefault="00847E82" w:rsidP="00847E82">
            <w:pPr>
              <w:jc w:val="center"/>
              <w:rPr>
                <w:rFonts w:ascii="VIC" w:hAnsi="VIC"/>
                <w:sz w:val="18"/>
                <w:szCs w:val="18"/>
              </w:rPr>
            </w:pPr>
            <w:r w:rsidRPr="00427725">
              <w:rPr>
                <w:rFonts w:ascii="VIC" w:eastAsia="Verdana" w:hAnsi="VIC"/>
                <w:color w:val="000000"/>
                <w:sz w:val="18"/>
                <w:szCs w:val="18"/>
              </w:rPr>
              <w:t>57 %</w:t>
            </w:r>
          </w:p>
        </w:tc>
      </w:tr>
      <w:tr w:rsidR="00847E82" w:rsidRPr="00A6366B" w14:paraId="704511E8" w14:textId="77777777" w:rsidTr="00EC71A3">
        <w:trPr>
          <w:trHeight w:val="340"/>
        </w:trPr>
        <w:tc>
          <w:tcPr>
            <w:tcW w:w="2135" w:type="dxa"/>
            <w:shd w:val="clear" w:color="auto" w:fill="BFCED6"/>
          </w:tcPr>
          <w:p w14:paraId="07A1F082" w14:textId="5E8D999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Bendigo Health</w:t>
            </w:r>
          </w:p>
        </w:tc>
        <w:tc>
          <w:tcPr>
            <w:tcW w:w="2695" w:type="dxa"/>
            <w:shd w:val="clear" w:color="auto" w:fill="BFCED6"/>
          </w:tcPr>
          <w:p w14:paraId="6A945303" w14:textId="4F6D9A0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Loddon/Southern Mallee</w:t>
            </w:r>
          </w:p>
        </w:tc>
        <w:tc>
          <w:tcPr>
            <w:tcW w:w="1212" w:type="dxa"/>
            <w:shd w:val="clear" w:color="auto" w:fill="BFCED6"/>
          </w:tcPr>
          <w:p w14:paraId="5741853C" w14:textId="3ABA684A" w:rsidR="00847E82" w:rsidRPr="005B1FEF" w:rsidRDefault="00847E82" w:rsidP="00847E82">
            <w:pPr>
              <w:jc w:val="center"/>
              <w:rPr>
                <w:rFonts w:ascii="VIC" w:hAnsi="VIC"/>
                <w:sz w:val="18"/>
                <w:szCs w:val="18"/>
              </w:rPr>
            </w:pPr>
            <w:r w:rsidRPr="00427725">
              <w:rPr>
                <w:rFonts w:ascii="VIC" w:eastAsia="Verdana" w:hAnsi="VIC"/>
                <w:color w:val="000000"/>
                <w:sz w:val="18"/>
                <w:szCs w:val="18"/>
              </w:rPr>
              <w:t>0.8</w:t>
            </w:r>
          </w:p>
        </w:tc>
        <w:tc>
          <w:tcPr>
            <w:tcW w:w="1213" w:type="dxa"/>
            <w:shd w:val="clear" w:color="auto" w:fill="BFCED6"/>
          </w:tcPr>
          <w:p w14:paraId="07A14543" w14:textId="1C3FBABF" w:rsidR="00847E82" w:rsidRPr="005B1FEF" w:rsidRDefault="00847E82" w:rsidP="00847E82">
            <w:pPr>
              <w:jc w:val="center"/>
              <w:rPr>
                <w:rFonts w:ascii="VIC" w:hAnsi="VIC"/>
                <w:sz w:val="18"/>
                <w:szCs w:val="18"/>
              </w:rPr>
            </w:pPr>
            <w:r w:rsidRPr="00427725">
              <w:rPr>
                <w:rFonts w:ascii="VIC" w:eastAsia="Verdana" w:hAnsi="VIC"/>
                <w:color w:val="000000"/>
                <w:sz w:val="18"/>
                <w:szCs w:val="18"/>
              </w:rPr>
              <w:t>61 %</w:t>
            </w:r>
          </w:p>
        </w:tc>
        <w:tc>
          <w:tcPr>
            <w:tcW w:w="1213" w:type="dxa"/>
            <w:shd w:val="clear" w:color="auto" w:fill="BFCED6"/>
          </w:tcPr>
          <w:p w14:paraId="50EAD57C" w14:textId="53EBFF63"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5C0CCE16" w14:textId="1FB1562E" w:rsidR="00847E82" w:rsidRPr="005B1FEF" w:rsidRDefault="00847E82" w:rsidP="00847E82">
            <w:pPr>
              <w:jc w:val="center"/>
              <w:rPr>
                <w:rFonts w:ascii="VIC" w:hAnsi="VIC"/>
                <w:sz w:val="18"/>
                <w:szCs w:val="18"/>
              </w:rPr>
            </w:pPr>
            <w:r w:rsidRPr="00427725">
              <w:rPr>
                <w:rFonts w:ascii="VIC" w:eastAsia="Verdana" w:hAnsi="VIC"/>
                <w:color w:val="000000"/>
                <w:sz w:val="18"/>
                <w:szCs w:val="18"/>
              </w:rPr>
              <w:t>86.0</w:t>
            </w:r>
          </w:p>
        </w:tc>
        <w:tc>
          <w:tcPr>
            <w:tcW w:w="1212" w:type="dxa"/>
            <w:shd w:val="clear" w:color="auto" w:fill="BFCED6"/>
          </w:tcPr>
          <w:p w14:paraId="724B0C3D" w14:textId="7143D4AF" w:rsidR="00847E82" w:rsidRPr="005B1FEF" w:rsidRDefault="00847E82" w:rsidP="00847E82">
            <w:pPr>
              <w:jc w:val="center"/>
              <w:rPr>
                <w:rFonts w:ascii="VIC" w:hAnsi="VIC"/>
                <w:sz w:val="18"/>
                <w:szCs w:val="18"/>
              </w:rPr>
            </w:pPr>
            <w:r w:rsidRPr="00427725">
              <w:rPr>
                <w:rFonts w:ascii="VIC" w:eastAsia="Verdana" w:hAnsi="VIC"/>
                <w:color w:val="000000"/>
                <w:sz w:val="18"/>
                <w:szCs w:val="18"/>
              </w:rPr>
              <w:t>33 %</w:t>
            </w:r>
          </w:p>
        </w:tc>
        <w:tc>
          <w:tcPr>
            <w:tcW w:w="1213" w:type="dxa"/>
            <w:shd w:val="clear" w:color="auto" w:fill="BFCED6"/>
          </w:tcPr>
          <w:p w14:paraId="44216FBA" w14:textId="524343B2" w:rsidR="00847E82" w:rsidRPr="005B1FEF" w:rsidRDefault="00847E82" w:rsidP="00847E82">
            <w:pPr>
              <w:jc w:val="center"/>
              <w:rPr>
                <w:rFonts w:ascii="VIC" w:hAnsi="VIC"/>
                <w:sz w:val="18"/>
                <w:szCs w:val="18"/>
              </w:rPr>
            </w:pPr>
            <w:r w:rsidRPr="00427725">
              <w:rPr>
                <w:rFonts w:ascii="VIC" w:eastAsia="Verdana" w:hAnsi="VIC"/>
                <w:color w:val="000000"/>
                <w:sz w:val="18"/>
                <w:szCs w:val="18"/>
              </w:rPr>
              <w:t>69 %</w:t>
            </w:r>
          </w:p>
        </w:tc>
        <w:tc>
          <w:tcPr>
            <w:tcW w:w="1213" w:type="dxa"/>
            <w:shd w:val="clear" w:color="auto" w:fill="BFCED6"/>
          </w:tcPr>
          <w:p w14:paraId="51C81E3E" w14:textId="7988E2E5" w:rsidR="00847E82" w:rsidRPr="005B1FEF" w:rsidRDefault="00847E82" w:rsidP="00847E82">
            <w:pPr>
              <w:jc w:val="center"/>
              <w:rPr>
                <w:rFonts w:ascii="VIC" w:hAnsi="VIC"/>
                <w:sz w:val="18"/>
                <w:szCs w:val="18"/>
              </w:rPr>
            </w:pPr>
            <w:r w:rsidRPr="00427725">
              <w:rPr>
                <w:rFonts w:ascii="VIC" w:eastAsia="Verdana" w:hAnsi="VIC"/>
                <w:color w:val="000000"/>
                <w:sz w:val="18"/>
                <w:szCs w:val="18"/>
              </w:rPr>
              <w:t>14.5</w:t>
            </w:r>
          </w:p>
        </w:tc>
        <w:tc>
          <w:tcPr>
            <w:tcW w:w="1213" w:type="dxa"/>
            <w:shd w:val="clear" w:color="auto" w:fill="BFCED6"/>
          </w:tcPr>
          <w:p w14:paraId="053D0B0A" w14:textId="1375663A" w:rsidR="00847E82" w:rsidRPr="005B1FEF" w:rsidRDefault="00847E82" w:rsidP="00847E82">
            <w:pPr>
              <w:jc w:val="center"/>
              <w:rPr>
                <w:rFonts w:ascii="VIC" w:hAnsi="VIC"/>
                <w:sz w:val="18"/>
                <w:szCs w:val="18"/>
              </w:rPr>
            </w:pPr>
            <w:r w:rsidRPr="00427725">
              <w:rPr>
                <w:rFonts w:ascii="VIC" w:eastAsia="Verdana" w:hAnsi="VIC"/>
                <w:color w:val="000000"/>
                <w:sz w:val="18"/>
                <w:szCs w:val="18"/>
              </w:rPr>
              <w:t>38 %</w:t>
            </w:r>
          </w:p>
        </w:tc>
        <w:tc>
          <w:tcPr>
            <w:tcW w:w="1213" w:type="dxa"/>
            <w:shd w:val="clear" w:color="auto" w:fill="BFCED6"/>
          </w:tcPr>
          <w:p w14:paraId="11DD424C" w14:textId="19DF7C70" w:rsidR="00847E82" w:rsidRPr="005B1FEF" w:rsidRDefault="00847E82" w:rsidP="00847E82">
            <w:pPr>
              <w:jc w:val="center"/>
              <w:rPr>
                <w:rFonts w:ascii="VIC" w:hAnsi="VIC"/>
                <w:sz w:val="18"/>
                <w:szCs w:val="18"/>
              </w:rPr>
            </w:pPr>
            <w:r w:rsidRPr="00427725">
              <w:rPr>
                <w:rFonts w:ascii="VIC" w:eastAsia="Verdana" w:hAnsi="VIC"/>
                <w:color w:val="000000"/>
                <w:sz w:val="18"/>
                <w:szCs w:val="18"/>
              </w:rPr>
              <w:t>31 %</w:t>
            </w:r>
          </w:p>
        </w:tc>
      </w:tr>
      <w:tr w:rsidR="00847E82" w:rsidRPr="00A6366B" w14:paraId="447CC3B0" w14:textId="77777777" w:rsidTr="00EC71A3">
        <w:trPr>
          <w:trHeight w:val="340"/>
        </w:trPr>
        <w:tc>
          <w:tcPr>
            <w:tcW w:w="2135" w:type="dxa"/>
            <w:shd w:val="clear" w:color="auto" w:fill="FFFFFF" w:themeFill="background1"/>
          </w:tcPr>
          <w:p w14:paraId="3E4C1322" w14:textId="2C99725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Goulburn Valley Health</w:t>
            </w:r>
          </w:p>
        </w:tc>
        <w:tc>
          <w:tcPr>
            <w:tcW w:w="2695" w:type="dxa"/>
            <w:shd w:val="clear" w:color="auto" w:fill="FFFFFF" w:themeFill="background1"/>
          </w:tcPr>
          <w:p w14:paraId="0786C69D" w14:textId="494633B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Goulburn &amp; Southern</w:t>
            </w:r>
          </w:p>
        </w:tc>
        <w:tc>
          <w:tcPr>
            <w:tcW w:w="1212" w:type="dxa"/>
            <w:shd w:val="clear" w:color="auto" w:fill="FFFFFF" w:themeFill="background1"/>
          </w:tcPr>
          <w:p w14:paraId="587E1E8B" w14:textId="253A5044" w:rsidR="00847E82" w:rsidRPr="005B1FEF" w:rsidRDefault="00847E82" w:rsidP="00847E82">
            <w:pPr>
              <w:jc w:val="center"/>
              <w:rPr>
                <w:rFonts w:ascii="VIC" w:hAnsi="VIC"/>
                <w:sz w:val="18"/>
                <w:szCs w:val="18"/>
              </w:rPr>
            </w:pPr>
            <w:r w:rsidRPr="00427725">
              <w:rPr>
                <w:rFonts w:ascii="VIC" w:eastAsia="Verdana" w:hAnsi="VIC"/>
                <w:color w:val="000000"/>
                <w:sz w:val="18"/>
                <w:szCs w:val="18"/>
              </w:rPr>
              <w:t>1.1</w:t>
            </w:r>
          </w:p>
        </w:tc>
        <w:tc>
          <w:tcPr>
            <w:tcW w:w="1213" w:type="dxa"/>
            <w:shd w:val="clear" w:color="auto" w:fill="FFFFFF" w:themeFill="background1"/>
          </w:tcPr>
          <w:p w14:paraId="7966AC75" w14:textId="49260C4E" w:rsidR="00847E82" w:rsidRPr="005B1FEF" w:rsidRDefault="00847E82" w:rsidP="00847E82">
            <w:pPr>
              <w:jc w:val="center"/>
              <w:rPr>
                <w:rFonts w:ascii="VIC" w:hAnsi="VIC"/>
                <w:sz w:val="18"/>
                <w:szCs w:val="18"/>
              </w:rPr>
            </w:pPr>
            <w:r w:rsidRPr="00427725">
              <w:rPr>
                <w:rFonts w:ascii="VIC" w:eastAsia="Verdana" w:hAnsi="VIC"/>
                <w:color w:val="000000"/>
                <w:sz w:val="18"/>
                <w:szCs w:val="18"/>
              </w:rPr>
              <w:t>101 %</w:t>
            </w:r>
          </w:p>
        </w:tc>
        <w:tc>
          <w:tcPr>
            <w:tcW w:w="1213" w:type="dxa"/>
            <w:shd w:val="clear" w:color="auto" w:fill="FFFFFF" w:themeFill="background1"/>
          </w:tcPr>
          <w:p w14:paraId="72F30F45" w14:textId="53B2F0BD"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FFFFFF" w:themeFill="background1"/>
          </w:tcPr>
          <w:p w14:paraId="719DB330" w14:textId="12CA6BCA" w:rsidR="00847E82" w:rsidRPr="005B1FEF" w:rsidRDefault="00847E82" w:rsidP="00847E82">
            <w:pPr>
              <w:jc w:val="center"/>
              <w:rPr>
                <w:rFonts w:ascii="VIC" w:hAnsi="VIC"/>
                <w:sz w:val="18"/>
                <w:szCs w:val="18"/>
              </w:rPr>
            </w:pPr>
            <w:r w:rsidRPr="00427725">
              <w:rPr>
                <w:rFonts w:ascii="VIC" w:eastAsia="Verdana" w:hAnsi="VIC"/>
                <w:color w:val="000000"/>
                <w:sz w:val="18"/>
                <w:szCs w:val="18"/>
              </w:rPr>
              <w:t>320.2</w:t>
            </w:r>
          </w:p>
        </w:tc>
        <w:tc>
          <w:tcPr>
            <w:tcW w:w="1212" w:type="dxa"/>
            <w:shd w:val="clear" w:color="auto" w:fill="FFFFFF" w:themeFill="background1"/>
          </w:tcPr>
          <w:p w14:paraId="49F032A5" w14:textId="7A95D1C9"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213" w:type="dxa"/>
            <w:shd w:val="clear" w:color="auto" w:fill="FFFFFF" w:themeFill="background1"/>
          </w:tcPr>
          <w:p w14:paraId="1ED3C7AC" w14:textId="609E0F11"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213" w:type="dxa"/>
            <w:shd w:val="clear" w:color="auto" w:fill="FFFFFF" w:themeFill="background1"/>
          </w:tcPr>
          <w:p w14:paraId="3D9FE242" w14:textId="2AB4F38B" w:rsidR="00847E82" w:rsidRPr="005B1FEF" w:rsidRDefault="00847E82" w:rsidP="00847E82">
            <w:pPr>
              <w:jc w:val="center"/>
              <w:rPr>
                <w:rFonts w:ascii="VIC" w:hAnsi="VIC"/>
                <w:sz w:val="18"/>
                <w:szCs w:val="18"/>
              </w:rPr>
            </w:pPr>
            <w:r w:rsidRPr="00427725">
              <w:rPr>
                <w:rFonts w:ascii="VIC" w:eastAsia="Verdana" w:hAnsi="VIC"/>
                <w:color w:val="000000"/>
                <w:sz w:val="18"/>
                <w:szCs w:val="18"/>
              </w:rPr>
              <w:t>16.0</w:t>
            </w:r>
          </w:p>
        </w:tc>
        <w:tc>
          <w:tcPr>
            <w:tcW w:w="1213" w:type="dxa"/>
            <w:shd w:val="clear" w:color="auto" w:fill="FFFFFF" w:themeFill="background1"/>
          </w:tcPr>
          <w:p w14:paraId="39B7D079" w14:textId="7AEFD257" w:rsidR="00847E82" w:rsidRPr="005B1FEF" w:rsidRDefault="00847E82" w:rsidP="00847E82">
            <w:pPr>
              <w:jc w:val="center"/>
              <w:rPr>
                <w:rFonts w:ascii="VIC" w:hAnsi="VIC"/>
                <w:sz w:val="18"/>
                <w:szCs w:val="18"/>
              </w:rPr>
            </w:pPr>
            <w:r w:rsidRPr="00427725">
              <w:rPr>
                <w:rFonts w:ascii="VIC" w:eastAsia="Verdana" w:hAnsi="VIC"/>
                <w:color w:val="000000"/>
                <w:sz w:val="18"/>
                <w:szCs w:val="18"/>
              </w:rPr>
              <w:t>25 %</w:t>
            </w:r>
          </w:p>
        </w:tc>
        <w:tc>
          <w:tcPr>
            <w:tcW w:w="1213" w:type="dxa"/>
            <w:shd w:val="clear" w:color="auto" w:fill="FFFFFF" w:themeFill="background1"/>
          </w:tcPr>
          <w:p w14:paraId="5BC58B45" w14:textId="5D65524F"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r>
      <w:tr w:rsidR="00847E82" w:rsidRPr="00A6366B" w14:paraId="4B5E0B75" w14:textId="77777777" w:rsidTr="00EC71A3">
        <w:trPr>
          <w:trHeight w:val="340"/>
        </w:trPr>
        <w:tc>
          <w:tcPr>
            <w:tcW w:w="2135" w:type="dxa"/>
            <w:shd w:val="clear" w:color="auto" w:fill="BFCED6"/>
          </w:tcPr>
          <w:p w14:paraId="58F4A0A9" w14:textId="6E36C77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Latrobe Regional</w:t>
            </w:r>
          </w:p>
        </w:tc>
        <w:tc>
          <w:tcPr>
            <w:tcW w:w="2695" w:type="dxa"/>
            <w:shd w:val="clear" w:color="auto" w:fill="BFCED6"/>
          </w:tcPr>
          <w:p w14:paraId="3BC46805" w14:textId="6CE1809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Gippsland</w:t>
            </w:r>
          </w:p>
        </w:tc>
        <w:tc>
          <w:tcPr>
            <w:tcW w:w="1212" w:type="dxa"/>
            <w:shd w:val="clear" w:color="auto" w:fill="BFCED6"/>
          </w:tcPr>
          <w:p w14:paraId="78D76A45" w14:textId="220F0CC1" w:rsidR="00847E82" w:rsidRPr="005B1FEF" w:rsidRDefault="00847E82" w:rsidP="00847E82">
            <w:pPr>
              <w:jc w:val="center"/>
              <w:rPr>
                <w:rFonts w:ascii="VIC" w:hAnsi="VIC"/>
                <w:sz w:val="18"/>
                <w:szCs w:val="18"/>
              </w:rPr>
            </w:pPr>
            <w:r w:rsidRPr="00427725">
              <w:rPr>
                <w:rFonts w:ascii="VIC" w:eastAsia="Verdana" w:hAnsi="VIC"/>
                <w:color w:val="000000"/>
                <w:sz w:val="18"/>
                <w:szCs w:val="18"/>
              </w:rPr>
              <w:t>0.9</w:t>
            </w:r>
          </w:p>
        </w:tc>
        <w:tc>
          <w:tcPr>
            <w:tcW w:w="1213" w:type="dxa"/>
            <w:shd w:val="clear" w:color="auto" w:fill="BFCED6"/>
          </w:tcPr>
          <w:p w14:paraId="7B14CCD4" w14:textId="3669112B" w:rsidR="00847E82" w:rsidRPr="005B1FEF" w:rsidRDefault="00847E82" w:rsidP="00847E82">
            <w:pPr>
              <w:jc w:val="center"/>
              <w:rPr>
                <w:rFonts w:ascii="VIC" w:hAnsi="VIC"/>
                <w:sz w:val="18"/>
                <w:szCs w:val="18"/>
              </w:rPr>
            </w:pPr>
            <w:r w:rsidRPr="00427725">
              <w:rPr>
                <w:rFonts w:ascii="VIC" w:eastAsia="Verdana" w:hAnsi="VIC"/>
                <w:color w:val="000000"/>
                <w:sz w:val="18"/>
                <w:szCs w:val="18"/>
              </w:rPr>
              <w:t>92 %</w:t>
            </w:r>
          </w:p>
        </w:tc>
        <w:tc>
          <w:tcPr>
            <w:tcW w:w="1213" w:type="dxa"/>
            <w:shd w:val="clear" w:color="auto" w:fill="BFCED6"/>
          </w:tcPr>
          <w:p w14:paraId="6802D347" w14:textId="77C47C47" w:rsidR="00847E82" w:rsidRPr="005B1FEF" w:rsidRDefault="00847E82" w:rsidP="00847E82">
            <w:pPr>
              <w:jc w:val="center"/>
              <w:rPr>
                <w:rFonts w:ascii="VIC" w:hAnsi="VIC"/>
                <w:sz w:val="18"/>
                <w:szCs w:val="18"/>
              </w:rPr>
            </w:pPr>
            <w:r w:rsidRPr="00427725">
              <w:rPr>
                <w:rFonts w:ascii="VIC" w:eastAsia="Verdana" w:hAnsi="VIC"/>
                <w:color w:val="000000"/>
                <w:sz w:val="18"/>
                <w:szCs w:val="18"/>
              </w:rPr>
              <w:t>15 %</w:t>
            </w:r>
          </w:p>
        </w:tc>
        <w:tc>
          <w:tcPr>
            <w:tcW w:w="1213" w:type="dxa"/>
            <w:shd w:val="clear" w:color="auto" w:fill="BFCED6"/>
          </w:tcPr>
          <w:p w14:paraId="4F704B25" w14:textId="47E0B1F1" w:rsidR="00847E82" w:rsidRPr="005B1FEF" w:rsidRDefault="00847E82" w:rsidP="00847E82">
            <w:pPr>
              <w:jc w:val="center"/>
              <w:rPr>
                <w:rFonts w:ascii="VIC" w:hAnsi="VIC"/>
                <w:sz w:val="18"/>
                <w:szCs w:val="18"/>
              </w:rPr>
            </w:pPr>
            <w:r w:rsidRPr="00427725">
              <w:rPr>
                <w:rFonts w:ascii="VIC" w:eastAsia="Verdana" w:hAnsi="VIC"/>
                <w:color w:val="000000"/>
                <w:sz w:val="18"/>
                <w:szCs w:val="18"/>
              </w:rPr>
              <w:t>161.0</w:t>
            </w:r>
          </w:p>
        </w:tc>
        <w:tc>
          <w:tcPr>
            <w:tcW w:w="1212" w:type="dxa"/>
            <w:shd w:val="clear" w:color="auto" w:fill="BFCED6"/>
          </w:tcPr>
          <w:p w14:paraId="21FFAA0D" w14:textId="12175806" w:rsidR="00847E82" w:rsidRPr="005B1FEF" w:rsidRDefault="00847E82" w:rsidP="00847E82">
            <w:pPr>
              <w:jc w:val="center"/>
              <w:rPr>
                <w:rFonts w:ascii="VIC" w:hAnsi="VIC"/>
                <w:sz w:val="18"/>
                <w:szCs w:val="18"/>
              </w:rPr>
            </w:pPr>
            <w:r w:rsidRPr="00427725">
              <w:rPr>
                <w:rFonts w:ascii="VIC" w:eastAsia="Verdana" w:hAnsi="VIC"/>
                <w:color w:val="000000"/>
                <w:sz w:val="18"/>
                <w:szCs w:val="18"/>
              </w:rPr>
              <w:t>29 %</w:t>
            </w:r>
          </w:p>
        </w:tc>
        <w:tc>
          <w:tcPr>
            <w:tcW w:w="1213" w:type="dxa"/>
            <w:shd w:val="clear" w:color="auto" w:fill="BFCED6"/>
          </w:tcPr>
          <w:p w14:paraId="682B85DE" w14:textId="2498A01E"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shd w:val="clear" w:color="auto" w:fill="BFCED6"/>
          </w:tcPr>
          <w:p w14:paraId="68BB8AFC" w14:textId="0E4372BF" w:rsidR="00847E82" w:rsidRPr="005B1FEF" w:rsidRDefault="00847E82" w:rsidP="00847E82">
            <w:pPr>
              <w:jc w:val="center"/>
              <w:rPr>
                <w:rFonts w:ascii="VIC" w:hAnsi="VIC"/>
                <w:sz w:val="18"/>
                <w:szCs w:val="18"/>
              </w:rPr>
            </w:pPr>
            <w:r w:rsidRPr="00427725">
              <w:rPr>
                <w:rFonts w:ascii="VIC" w:eastAsia="Verdana" w:hAnsi="VIC"/>
                <w:color w:val="000000"/>
                <w:sz w:val="18"/>
                <w:szCs w:val="18"/>
              </w:rPr>
              <w:t>10.2</w:t>
            </w:r>
          </w:p>
        </w:tc>
        <w:tc>
          <w:tcPr>
            <w:tcW w:w="1213" w:type="dxa"/>
            <w:shd w:val="clear" w:color="auto" w:fill="BFCED6"/>
          </w:tcPr>
          <w:p w14:paraId="7DCFD09E" w14:textId="4C95C6AD" w:rsidR="00847E82" w:rsidRPr="005B1FEF" w:rsidRDefault="00847E82" w:rsidP="00847E82">
            <w:pPr>
              <w:jc w:val="center"/>
              <w:rPr>
                <w:rFonts w:ascii="VIC" w:hAnsi="VIC"/>
                <w:sz w:val="18"/>
                <w:szCs w:val="18"/>
              </w:rPr>
            </w:pPr>
            <w:r w:rsidRPr="00427725">
              <w:rPr>
                <w:rFonts w:ascii="VIC" w:eastAsia="Verdana" w:hAnsi="VIC"/>
                <w:color w:val="000000"/>
                <w:sz w:val="18"/>
                <w:szCs w:val="18"/>
              </w:rPr>
              <w:t>76 %</w:t>
            </w:r>
          </w:p>
        </w:tc>
        <w:tc>
          <w:tcPr>
            <w:tcW w:w="1213" w:type="dxa"/>
            <w:shd w:val="clear" w:color="auto" w:fill="BFCED6"/>
          </w:tcPr>
          <w:p w14:paraId="28832CE5" w14:textId="28F3CB04" w:rsidR="00847E82" w:rsidRPr="005B1FEF" w:rsidRDefault="00847E82" w:rsidP="00847E82">
            <w:pPr>
              <w:jc w:val="center"/>
              <w:rPr>
                <w:rFonts w:ascii="VIC" w:hAnsi="VIC"/>
                <w:sz w:val="18"/>
                <w:szCs w:val="18"/>
              </w:rPr>
            </w:pPr>
            <w:r w:rsidRPr="00427725">
              <w:rPr>
                <w:rFonts w:ascii="VIC" w:eastAsia="Verdana" w:hAnsi="VIC"/>
                <w:color w:val="000000"/>
                <w:sz w:val="18"/>
                <w:szCs w:val="18"/>
              </w:rPr>
              <w:t>76 %</w:t>
            </w:r>
          </w:p>
        </w:tc>
      </w:tr>
      <w:tr w:rsidR="00847E82" w:rsidRPr="00A6366B" w14:paraId="23B3D7DA" w14:textId="77777777" w:rsidTr="00EC71A3">
        <w:trPr>
          <w:trHeight w:val="340"/>
        </w:trPr>
        <w:tc>
          <w:tcPr>
            <w:tcW w:w="2135" w:type="dxa"/>
            <w:shd w:val="clear" w:color="auto" w:fill="FFFFFF" w:themeFill="background1"/>
          </w:tcPr>
          <w:p w14:paraId="2B66F437" w14:textId="06DA9E7C"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Albury Wodonga Health</w:t>
            </w:r>
          </w:p>
        </w:tc>
        <w:tc>
          <w:tcPr>
            <w:tcW w:w="2695" w:type="dxa"/>
            <w:shd w:val="clear" w:color="auto" w:fill="FFFFFF" w:themeFill="background1"/>
          </w:tcPr>
          <w:p w14:paraId="27B3AC50" w14:textId="4238565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&amp; Border</w:t>
            </w:r>
          </w:p>
        </w:tc>
        <w:tc>
          <w:tcPr>
            <w:tcW w:w="1212" w:type="dxa"/>
            <w:shd w:val="clear" w:color="auto" w:fill="FFFFFF" w:themeFill="background1"/>
          </w:tcPr>
          <w:p w14:paraId="32E633BC" w14:textId="06555E11" w:rsidR="00847E82" w:rsidRPr="005B1FEF" w:rsidRDefault="00847E82" w:rsidP="00847E82">
            <w:pPr>
              <w:jc w:val="center"/>
              <w:rPr>
                <w:rFonts w:ascii="VIC" w:hAnsi="VIC"/>
                <w:sz w:val="18"/>
                <w:szCs w:val="18"/>
              </w:rPr>
            </w:pPr>
            <w:r w:rsidRPr="00427725">
              <w:rPr>
                <w:rFonts w:ascii="VIC" w:eastAsia="Verdana" w:hAnsi="VIC"/>
                <w:color w:val="000000"/>
                <w:sz w:val="18"/>
                <w:szCs w:val="18"/>
              </w:rPr>
              <w:t>3.4</w:t>
            </w:r>
          </w:p>
        </w:tc>
        <w:tc>
          <w:tcPr>
            <w:tcW w:w="1213" w:type="dxa"/>
            <w:shd w:val="clear" w:color="auto" w:fill="FFFFFF" w:themeFill="background1"/>
          </w:tcPr>
          <w:p w14:paraId="445B6F64" w14:textId="14065B77"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shd w:val="clear" w:color="auto" w:fill="FFFFFF" w:themeFill="background1"/>
          </w:tcPr>
          <w:p w14:paraId="02CD1CBC" w14:textId="52EF9AED"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213" w:type="dxa"/>
            <w:shd w:val="clear" w:color="auto" w:fill="FFFFFF" w:themeFill="background1"/>
          </w:tcPr>
          <w:p w14:paraId="11D3FDC4" w14:textId="4D1766DD" w:rsidR="00847E82" w:rsidRPr="005B1FEF" w:rsidRDefault="00847E82" w:rsidP="00847E82">
            <w:pPr>
              <w:jc w:val="center"/>
              <w:rPr>
                <w:rFonts w:ascii="VIC" w:hAnsi="VIC"/>
                <w:sz w:val="18"/>
                <w:szCs w:val="18"/>
              </w:rPr>
            </w:pPr>
            <w:r w:rsidRPr="00427725">
              <w:rPr>
                <w:rFonts w:ascii="VIC" w:eastAsia="Verdana" w:hAnsi="VIC"/>
                <w:color w:val="000000"/>
                <w:sz w:val="18"/>
                <w:szCs w:val="18"/>
              </w:rPr>
              <w:t>1,015.8</w:t>
            </w:r>
          </w:p>
        </w:tc>
        <w:tc>
          <w:tcPr>
            <w:tcW w:w="1212" w:type="dxa"/>
            <w:shd w:val="clear" w:color="auto" w:fill="FFFFFF" w:themeFill="background1"/>
          </w:tcPr>
          <w:p w14:paraId="0CBAF4CB" w14:textId="15D2144A"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213" w:type="dxa"/>
            <w:shd w:val="clear" w:color="auto" w:fill="FFFFFF" w:themeFill="background1"/>
          </w:tcPr>
          <w:p w14:paraId="7B4DB6C8" w14:textId="376112DB"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shd w:val="clear" w:color="auto" w:fill="FFFFFF" w:themeFill="background1"/>
          </w:tcPr>
          <w:p w14:paraId="6F6A08D8" w14:textId="221D2956" w:rsidR="00847E82" w:rsidRPr="005B1FEF" w:rsidRDefault="00847E82" w:rsidP="00847E82">
            <w:pPr>
              <w:jc w:val="center"/>
              <w:rPr>
                <w:rFonts w:ascii="VIC" w:hAnsi="VIC"/>
                <w:sz w:val="18"/>
                <w:szCs w:val="18"/>
              </w:rPr>
            </w:pPr>
            <w:r w:rsidRPr="00427725">
              <w:rPr>
                <w:rFonts w:ascii="VIC" w:eastAsia="Verdana" w:hAnsi="VIC"/>
                <w:color w:val="000000"/>
                <w:sz w:val="18"/>
                <w:szCs w:val="18"/>
              </w:rPr>
              <w:t>12.2</w:t>
            </w:r>
          </w:p>
        </w:tc>
        <w:tc>
          <w:tcPr>
            <w:tcW w:w="1213" w:type="dxa"/>
            <w:shd w:val="clear" w:color="auto" w:fill="FFFFFF" w:themeFill="background1"/>
          </w:tcPr>
          <w:p w14:paraId="51E23FC7" w14:textId="53C7908C"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shd w:val="clear" w:color="auto" w:fill="FFFFFF" w:themeFill="background1"/>
          </w:tcPr>
          <w:p w14:paraId="6FB59220" w14:textId="2A012F91" w:rsidR="00847E82" w:rsidRPr="005B1FEF" w:rsidRDefault="00847E82" w:rsidP="00847E82">
            <w:pPr>
              <w:jc w:val="center"/>
              <w:rPr>
                <w:rFonts w:ascii="VIC" w:hAnsi="VIC"/>
                <w:sz w:val="18"/>
                <w:szCs w:val="18"/>
              </w:rPr>
            </w:pPr>
            <w:r w:rsidRPr="00427725">
              <w:rPr>
                <w:rFonts w:ascii="VIC" w:eastAsia="Verdana" w:hAnsi="VIC"/>
                <w:color w:val="000000"/>
                <w:sz w:val="18"/>
                <w:szCs w:val="18"/>
              </w:rPr>
              <w:t>71 %</w:t>
            </w:r>
          </w:p>
        </w:tc>
      </w:tr>
      <w:tr w:rsidR="00847E82" w:rsidRPr="00847E82" w14:paraId="17EEE0DD" w14:textId="77777777" w:rsidTr="00EC71A3">
        <w:trPr>
          <w:trHeight w:val="312"/>
        </w:trPr>
        <w:tc>
          <w:tcPr>
            <w:tcW w:w="2135" w:type="dxa"/>
            <w:shd w:val="clear" w:color="auto" w:fill="B1C9E8"/>
          </w:tcPr>
          <w:p w14:paraId="64952D6C" w14:textId="7F417E8F"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RURAL</w:t>
            </w:r>
          </w:p>
        </w:tc>
        <w:tc>
          <w:tcPr>
            <w:tcW w:w="2695" w:type="dxa"/>
            <w:shd w:val="clear" w:color="auto" w:fill="B1C9E8"/>
          </w:tcPr>
          <w:p w14:paraId="49FC6A04" w14:textId="5A01466A"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212" w:type="dxa"/>
            <w:shd w:val="clear" w:color="auto" w:fill="B1C9E8"/>
          </w:tcPr>
          <w:p w14:paraId="737BF6DD" w14:textId="7DF72805"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1.0</w:t>
            </w:r>
          </w:p>
        </w:tc>
        <w:tc>
          <w:tcPr>
            <w:tcW w:w="1213" w:type="dxa"/>
            <w:shd w:val="clear" w:color="auto" w:fill="B1C9E8"/>
          </w:tcPr>
          <w:p w14:paraId="75BA6D33" w14:textId="0DC74E04"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74 %</w:t>
            </w:r>
          </w:p>
        </w:tc>
        <w:tc>
          <w:tcPr>
            <w:tcW w:w="1213" w:type="dxa"/>
            <w:shd w:val="clear" w:color="auto" w:fill="B1C9E8"/>
          </w:tcPr>
          <w:p w14:paraId="0BFC338B" w14:textId="3208AF3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7 %</w:t>
            </w:r>
          </w:p>
        </w:tc>
        <w:tc>
          <w:tcPr>
            <w:tcW w:w="1213" w:type="dxa"/>
            <w:shd w:val="clear" w:color="auto" w:fill="B1C9E8"/>
          </w:tcPr>
          <w:p w14:paraId="65521244" w14:textId="1236C0E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457.0</w:t>
            </w:r>
          </w:p>
        </w:tc>
        <w:tc>
          <w:tcPr>
            <w:tcW w:w="1212" w:type="dxa"/>
            <w:shd w:val="clear" w:color="auto" w:fill="B1C9E8"/>
          </w:tcPr>
          <w:p w14:paraId="1893B271" w14:textId="599405C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21 %</w:t>
            </w:r>
          </w:p>
        </w:tc>
        <w:tc>
          <w:tcPr>
            <w:tcW w:w="1213" w:type="dxa"/>
            <w:shd w:val="clear" w:color="auto" w:fill="B1C9E8"/>
          </w:tcPr>
          <w:p w14:paraId="75315690" w14:textId="1EAFBB81"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82 %</w:t>
            </w:r>
          </w:p>
        </w:tc>
        <w:tc>
          <w:tcPr>
            <w:tcW w:w="1213" w:type="dxa"/>
            <w:shd w:val="clear" w:color="auto" w:fill="B1C9E8"/>
          </w:tcPr>
          <w:p w14:paraId="00D2D764" w14:textId="56B90D84"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13.1</w:t>
            </w:r>
          </w:p>
        </w:tc>
        <w:tc>
          <w:tcPr>
            <w:tcW w:w="1213" w:type="dxa"/>
            <w:shd w:val="clear" w:color="auto" w:fill="B1C9E8"/>
          </w:tcPr>
          <w:p w14:paraId="339DBB38" w14:textId="14487000"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53 %</w:t>
            </w:r>
          </w:p>
        </w:tc>
        <w:tc>
          <w:tcPr>
            <w:tcW w:w="1213" w:type="dxa"/>
            <w:shd w:val="clear" w:color="auto" w:fill="B1C9E8"/>
          </w:tcPr>
          <w:p w14:paraId="45242D69" w14:textId="39FD6AD2"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53 %</w:t>
            </w:r>
          </w:p>
        </w:tc>
      </w:tr>
      <w:tr w:rsidR="00847E82" w:rsidRPr="008D13A2" w14:paraId="0F29555D" w14:textId="77777777" w:rsidTr="00EC71A3">
        <w:trPr>
          <w:trHeight w:val="312"/>
        </w:trPr>
        <w:tc>
          <w:tcPr>
            <w:tcW w:w="2135" w:type="dxa"/>
            <w:shd w:val="clear" w:color="auto" w:fill="244C5A"/>
          </w:tcPr>
          <w:p w14:paraId="7B9FC9BF" w14:textId="413342F3"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695" w:type="dxa"/>
            <w:shd w:val="clear" w:color="auto" w:fill="244C5A"/>
          </w:tcPr>
          <w:p w14:paraId="3C0BABB5" w14:textId="110B0D77"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1212" w:type="dxa"/>
            <w:shd w:val="clear" w:color="auto" w:fill="244C5A"/>
          </w:tcPr>
          <w:p w14:paraId="26C71A65" w14:textId="701041C7"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0.9</w:t>
            </w:r>
          </w:p>
        </w:tc>
        <w:tc>
          <w:tcPr>
            <w:tcW w:w="1213" w:type="dxa"/>
            <w:shd w:val="clear" w:color="auto" w:fill="244C5A"/>
          </w:tcPr>
          <w:p w14:paraId="3F4C4DCA" w14:textId="3AB86E4C"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82 %</w:t>
            </w:r>
          </w:p>
        </w:tc>
        <w:tc>
          <w:tcPr>
            <w:tcW w:w="1213" w:type="dxa"/>
            <w:shd w:val="clear" w:color="auto" w:fill="244C5A"/>
          </w:tcPr>
          <w:p w14:paraId="6D510197" w14:textId="506C2EF4"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6 %</w:t>
            </w:r>
          </w:p>
        </w:tc>
        <w:tc>
          <w:tcPr>
            <w:tcW w:w="1213" w:type="dxa"/>
            <w:shd w:val="clear" w:color="auto" w:fill="244C5A"/>
          </w:tcPr>
          <w:p w14:paraId="57B6FB6F" w14:textId="61521C35"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366.3</w:t>
            </w:r>
          </w:p>
        </w:tc>
        <w:tc>
          <w:tcPr>
            <w:tcW w:w="1212" w:type="dxa"/>
            <w:shd w:val="clear" w:color="auto" w:fill="244C5A"/>
          </w:tcPr>
          <w:p w14:paraId="21D8BBA6" w14:textId="261107BB"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31 %</w:t>
            </w:r>
          </w:p>
        </w:tc>
        <w:tc>
          <w:tcPr>
            <w:tcW w:w="1213" w:type="dxa"/>
            <w:shd w:val="clear" w:color="auto" w:fill="244C5A"/>
          </w:tcPr>
          <w:p w14:paraId="12A39F7B" w14:textId="766248AD"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83 %</w:t>
            </w:r>
          </w:p>
        </w:tc>
        <w:tc>
          <w:tcPr>
            <w:tcW w:w="1213" w:type="dxa"/>
            <w:shd w:val="clear" w:color="auto" w:fill="244C5A"/>
          </w:tcPr>
          <w:p w14:paraId="2A29F2CC" w14:textId="338B1A72"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14.8</w:t>
            </w:r>
          </w:p>
        </w:tc>
        <w:tc>
          <w:tcPr>
            <w:tcW w:w="1213" w:type="dxa"/>
            <w:shd w:val="clear" w:color="auto" w:fill="244C5A"/>
          </w:tcPr>
          <w:p w14:paraId="26545008" w14:textId="7A825C28"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62 %</w:t>
            </w:r>
          </w:p>
        </w:tc>
        <w:tc>
          <w:tcPr>
            <w:tcW w:w="1213" w:type="dxa"/>
            <w:shd w:val="clear" w:color="auto" w:fill="244C5A"/>
          </w:tcPr>
          <w:p w14:paraId="0B8F072B" w14:textId="76165514"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44 %</w:t>
            </w:r>
          </w:p>
        </w:tc>
      </w:tr>
    </w:tbl>
    <w:p w14:paraId="68F4E4EA" w14:textId="28DF4CE1" w:rsidR="00BF031D" w:rsidRPr="00D31B5F" w:rsidRDefault="00BF031D">
      <w:pPr>
        <w:rPr>
          <w:sz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31B5F" w:rsidRPr="00A6366B" w14:paraId="523DF4C9" w14:textId="77777777" w:rsidTr="003330EE">
        <w:trPr>
          <w:trHeight w:val="1062"/>
          <w:tblHeader/>
        </w:trPr>
        <w:tc>
          <w:tcPr>
            <w:tcW w:w="4830" w:type="dxa"/>
            <w:gridSpan w:val="2"/>
            <w:shd w:val="clear" w:color="auto" w:fill="FFFFFF"/>
            <w:vAlign w:val="bottom"/>
          </w:tcPr>
          <w:p w14:paraId="5AD7347C" w14:textId="5AD605CF" w:rsidR="00D31B5F" w:rsidRPr="00592F37" w:rsidRDefault="00D31B5F" w:rsidP="003330EE">
            <w:pPr>
              <w:pStyle w:val="Heading1"/>
              <w:spacing w:before="0" w:line="240" w:lineRule="auto"/>
              <w:rPr>
                <w:color w:val="244C5A"/>
                <w:sz w:val="28"/>
                <w:szCs w:val="28"/>
              </w:rPr>
            </w:pPr>
            <w:bookmarkStart w:id="7" w:name="_Toc37867219"/>
            <w:r>
              <w:rPr>
                <w:color w:val="244C5A"/>
                <w:sz w:val="22"/>
                <w:szCs w:val="28"/>
              </w:rPr>
              <w:lastRenderedPageBreak/>
              <w:t>Residential (CCU)</w:t>
            </w:r>
            <w:r w:rsidRPr="00052DAD">
              <w:rPr>
                <w:color w:val="244C5A"/>
                <w:sz w:val="22"/>
                <w:szCs w:val="28"/>
              </w:rPr>
              <w:br w:type="textWrapping" w:clear="all"/>
            </w:r>
            <w:r w:rsidR="005406C4">
              <w:rPr>
                <w:color w:val="244C5A"/>
                <w:sz w:val="22"/>
                <w:szCs w:val="28"/>
              </w:rPr>
              <w:t>2019–20 Q1–Q</w:t>
            </w:r>
            <w:r w:rsidR="0056356A">
              <w:rPr>
                <w:color w:val="244C5A"/>
                <w:sz w:val="22"/>
                <w:szCs w:val="28"/>
              </w:rPr>
              <w:t>3</w:t>
            </w:r>
            <w:bookmarkEnd w:id="7"/>
          </w:p>
        </w:tc>
        <w:tc>
          <w:tcPr>
            <w:tcW w:w="1212" w:type="dxa"/>
            <w:shd w:val="clear" w:color="auto" w:fill="FFFFFF"/>
            <w:vAlign w:val="bottom"/>
          </w:tcPr>
          <w:p w14:paraId="0D056E9D" w14:textId="77777777" w:rsidR="00D31B5F" w:rsidRPr="00E67EC5" w:rsidRDefault="00D31B5F" w:rsidP="003330EE">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2471304A" w14:textId="77777777" w:rsidR="00D31B5F" w:rsidRPr="00E67EC5" w:rsidRDefault="00D31B5F" w:rsidP="003330EE">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255643A7" w14:textId="77777777" w:rsidR="00D31B5F" w:rsidRPr="00E67EC5" w:rsidRDefault="00D31B5F" w:rsidP="003330EE">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96E1D0E" w14:textId="7D6A4CB2" w:rsidR="00D31B5F" w:rsidRPr="00E67EC5" w:rsidRDefault="00D31B5F" w:rsidP="003330EE">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105D958E" w14:textId="3BEC8E96" w:rsidR="00D31B5F" w:rsidRPr="00E67EC5" w:rsidRDefault="00D31B5F" w:rsidP="003330EE">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713F189D" w14:textId="77777777" w:rsidR="00D31B5F" w:rsidRPr="00E67EC5" w:rsidRDefault="00D31B5F" w:rsidP="003330EE">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1CA02970" w14:textId="77777777" w:rsidR="00D31B5F" w:rsidRPr="00E67EC5" w:rsidRDefault="00D31B5F" w:rsidP="003330EE">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p>
        </w:tc>
        <w:tc>
          <w:tcPr>
            <w:tcW w:w="1213" w:type="dxa"/>
            <w:shd w:val="clear" w:color="auto" w:fill="FFFFFF"/>
            <w:vAlign w:val="bottom"/>
          </w:tcPr>
          <w:p w14:paraId="47625E77" w14:textId="77777777" w:rsidR="00D31B5F" w:rsidRPr="00E67EC5" w:rsidRDefault="00D31B5F" w:rsidP="003330EE">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p>
        </w:tc>
        <w:tc>
          <w:tcPr>
            <w:tcW w:w="1213" w:type="dxa"/>
            <w:shd w:val="clear" w:color="auto" w:fill="FFFFFF"/>
            <w:vAlign w:val="bottom"/>
          </w:tcPr>
          <w:p w14:paraId="23CEDE96" w14:textId="77777777" w:rsidR="00D31B5F" w:rsidRPr="00E67EC5" w:rsidRDefault="00D31B5F" w:rsidP="003330EE">
            <w:pPr>
              <w:pStyle w:val="VAHItablecolhead"/>
              <w:rPr>
                <w:rFonts w:eastAsia="Verdana"/>
                <w:color w:val="244C5A"/>
                <w:sz w:val="16"/>
              </w:rPr>
            </w:pPr>
            <w:r w:rsidRPr="00E67EC5">
              <w:rPr>
                <w:sz w:val="16"/>
              </w:rPr>
              <w:t>BASIS32 completed</w:t>
            </w:r>
          </w:p>
        </w:tc>
      </w:tr>
      <w:tr w:rsidR="00847E82" w:rsidRPr="00A6366B" w14:paraId="3D858C74" w14:textId="77777777" w:rsidTr="003330EE">
        <w:trPr>
          <w:trHeight w:val="340"/>
        </w:trPr>
        <w:tc>
          <w:tcPr>
            <w:tcW w:w="2135" w:type="dxa"/>
            <w:shd w:val="clear" w:color="auto" w:fill="BFCED6"/>
          </w:tcPr>
          <w:p w14:paraId="2DE4AA1F" w14:textId="6DD75BC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Alfred Health</w:t>
            </w:r>
          </w:p>
        </w:tc>
        <w:tc>
          <w:tcPr>
            <w:tcW w:w="2695" w:type="dxa"/>
            <w:shd w:val="clear" w:color="auto" w:fill="BFCED6"/>
          </w:tcPr>
          <w:p w14:paraId="385F3EB4" w14:textId="528D3096"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South East (The Alfred)</w:t>
            </w:r>
          </w:p>
        </w:tc>
        <w:tc>
          <w:tcPr>
            <w:tcW w:w="1212" w:type="dxa"/>
            <w:shd w:val="clear" w:color="auto" w:fill="BFCED6"/>
          </w:tcPr>
          <w:p w14:paraId="38F55842" w14:textId="0D8DD6EB" w:rsidR="00847E82" w:rsidRPr="005B1FEF" w:rsidRDefault="00847E82" w:rsidP="00847E82">
            <w:pPr>
              <w:jc w:val="center"/>
              <w:rPr>
                <w:rFonts w:ascii="VIC" w:hAnsi="VIC"/>
                <w:sz w:val="18"/>
                <w:szCs w:val="18"/>
              </w:rPr>
            </w:pPr>
            <w:r w:rsidRPr="00427725">
              <w:rPr>
                <w:rFonts w:ascii="VIC" w:eastAsia="Verdana" w:hAnsi="VIC"/>
                <w:color w:val="000000"/>
                <w:sz w:val="18"/>
                <w:szCs w:val="18"/>
              </w:rPr>
              <w:t>2.6</w:t>
            </w:r>
          </w:p>
        </w:tc>
        <w:tc>
          <w:tcPr>
            <w:tcW w:w="1213" w:type="dxa"/>
            <w:shd w:val="clear" w:color="auto" w:fill="BFCED6"/>
          </w:tcPr>
          <w:p w14:paraId="37479FCA" w14:textId="157AA27B"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BFCED6"/>
          </w:tcPr>
          <w:p w14:paraId="51C9CA9E" w14:textId="1CB80980"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456EFF1E" w14:textId="5B512B8C" w:rsidR="00847E82" w:rsidRPr="005B1FEF" w:rsidRDefault="00847E82" w:rsidP="00847E82">
            <w:pPr>
              <w:jc w:val="center"/>
              <w:rPr>
                <w:rFonts w:ascii="VIC" w:hAnsi="VIC"/>
                <w:sz w:val="18"/>
                <w:szCs w:val="18"/>
              </w:rPr>
            </w:pPr>
            <w:r w:rsidRPr="00427725">
              <w:rPr>
                <w:rFonts w:ascii="VIC" w:eastAsia="Verdana" w:hAnsi="VIC"/>
                <w:color w:val="000000"/>
                <w:sz w:val="18"/>
                <w:szCs w:val="18"/>
              </w:rPr>
              <w:t>222.1</w:t>
            </w:r>
          </w:p>
        </w:tc>
        <w:tc>
          <w:tcPr>
            <w:tcW w:w="1212" w:type="dxa"/>
            <w:shd w:val="clear" w:color="auto" w:fill="BFCED6"/>
          </w:tcPr>
          <w:p w14:paraId="4E3DF511" w14:textId="54006E9A" w:rsidR="00847E82" w:rsidRPr="005B1FEF" w:rsidRDefault="00847E82" w:rsidP="00847E82">
            <w:pPr>
              <w:jc w:val="center"/>
              <w:rPr>
                <w:rFonts w:ascii="VIC" w:hAnsi="VIC"/>
                <w:sz w:val="18"/>
                <w:szCs w:val="18"/>
              </w:rPr>
            </w:pPr>
            <w:r w:rsidRPr="00427725">
              <w:rPr>
                <w:rFonts w:ascii="VIC" w:eastAsia="Verdana" w:hAnsi="VIC"/>
                <w:color w:val="000000"/>
                <w:sz w:val="18"/>
                <w:szCs w:val="18"/>
              </w:rPr>
              <w:t>40 %</w:t>
            </w:r>
          </w:p>
        </w:tc>
        <w:tc>
          <w:tcPr>
            <w:tcW w:w="1213" w:type="dxa"/>
            <w:shd w:val="clear" w:color="auto" w:fill="BFCED6"/>
          </w:tcPr>
          <w:p w14:paraId="39EF7ED8" w14:textId="2F9FF47F"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213" w:type="dxa"/>
            <w:shd w:val="clear" w:color="auto" w:fill="BFCED6"/>
          </w:tcPr>
          <w:p w14:paraId="33E1ED00" w14:textId="26736ADB" w:rsidR="00847E82" w:rsidRPr="005B1FEF" w:rsidRDefault="00847E82" w:rsidP="00847E82">
            <w:pPr>
              <w:jc w:val="center"/>
              <w:rPr>
                <w:rFonts w:ascii="VIC" w:hAnsi="VIC"/>
                <w:sz w:val="18"/>
                <w:szCs w:val="18"/>
              </w:rPr>
            </w:pPr>
            <w:r w:rsidRPr="00427725">
              <w:rPr>
                <w:rFonts w:ascii="VIC" w:eastAsia="Verdana" w:hAnsi="VIC"/>
                <w:color w:val="000000"/>
                <w:sz w:val="18"/>
                <w:szCs w:val="18"/>
              </w:rPr>
              <w:t>12.3</w:t>
            </w:r>
          </w:p>
        </w:tc>
        <w:tc>
          <w:tcPr>
            <w:tcW w:w="1213" w:type="dxa"/>
            <w:shd w:val="clear" w:color="auto" w:fill="BFCED6"/>
          </w:tcPr>
          <w:p w14:paraId="7D4DEC3E" w14:textId="34D7084F"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shd w:val="clear" w:color="auto" w:fill="BFCED6"/>
          </w:tcPr>
          <w:p w14:paraId="316CFF29" w14:textId="386693BE" w:rsidR="00847E82" w:rsidRPr="005B1FEF" w:rsidRDefault="00847E82" w:rsidP="00847E82">
            <w:pPr>
              <w:jc w:val="center"/>
              <w:rPr>
                <w:rFonts w:ascii="VIC" w:hAnsi="VIC"/>
                <w:sz w:val="18"/>
                <w:szCs w:val="18"/>
              </w:rPr>
            </w:pPr>
            <w:r w:rsidRPr="00427725">
              <w:rPr>
                <w:rFonts w:ascii="VIC" w:eastAsia="Verdana" w:hAnsi="VIC"/>
                <w:color w:val="000000"/>
                <w:sz w:val="18"/>
                <w:szCs w:val="18"/>
              </w:rPr>
              <w:t>51 %</w:t>
            </w:r>
          </w:p>
        </w:tc>
      </w:tr>
      <w:tr w:rsidR="00847E82" w:rsidRPr="00A6366B" w14:paraId="11F01390" w14:textId="77777777" w:rsidTr="003330EE">
        <w:trPr>
          <w:trHeight w:val="340"/>
        </w:trPr>
        <w:tc>
          <w:tcPr>
            <w:tcW w:w="2135" w:type="dxa"/>
          </w:tcPr>
          <w:p w14:paraId="476A1FB2" w14:textId="4C5BBA3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Austin Health</w:t>
            </w:r>
          </w:p>
        </w:tc>
        <w:tc>
          <w:tcPr>
            <w:tcW w:w="2695" w:type="dxa"/>
          </w:tcPr>
          <w:p w14:paraId="4D4EDC89" w14:textId="118085C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(Austin)</w:t>
            </w:r>
          </w:p>
        </w:tc>
        <w:tc>
          <w:tcPr>
            <w:tcW w:w="1212" w:type="dxa"/>
          </w:tcPr>
          <w:p w14:paraId="656F4AAF" w14:textId="0A97CAD4" w:rsidR="00847E82" w:rsidRPr="005B1FEF" w:rsidRDefault="00847E82" w:rsidP="00847E82">
            <w:pPr>
              <w:jc w:val="center"/>
              <w:rPr>
                <w:rFonts w:ascii="VIC" w:hAnsi="VIC"/>
                <w:sz w:val="18"/>
                <w:szCs w:val="18"/>
              </w:rPr>
            </w:pPr>
            <w:r w:rsidRPr="00427725">
              <w:rPr>
                <w:rFonts w:ascii="VIC" w:eastAsia="Verdana" w:hAnsi="VIC"/>
                <w:color w:val="000000"/>
                <w:sz w:val="18"/>
                <w:szCs w:val="18"/>
              </w:rPr>
              <w:t>5.5</w:t>
            </w:r>
          </w:p>
        </w:tc>
        <w:tc>
          <w:tcPr>
            <w:tcW w:w="1213" w:type="dxa"/>
          </w:tcPr>
          <w:p w14:paraId="79911062" w14:textId="7C4CE3B4" w:rsidR="00847E82" w:rsidRPr="005B1FEF" w:rsidRDefault="00847E82" w:rsidP="00847E82">
            <w:pPr>
              <w:jc w:val="center"/>
              <w:rPr>
                <w:rFonts w:ascii="VIC" w:hAnsi="VIC"/>
                <w:sz w:val="18"/>
                <w:szCs w:val="18"/>
              </w:rPr>
            </w:pPr>
            <w:r w:rsidRPr="00427725">
              <w:rPr>
                <w:rFonts w:ascii="VIC" w:eastAsia="Verdana" w:hAnsi="VIC"/>
                <w:color w:val="000000"/>
                <w:sz w:val="18"/>
                <w:szCs w:val="18"/>
              </w:rPr>
              <w:t>78 %</w:t>
            </w:r>
          </w:p>
        </w:tc>
        <w:tc>
          <w:tcPr>
            <w:tcW w:w="1213" w:type="dxa"/>
          </w:tcPr>
          <w:p w14:paraId="4D2E869F" w14:textId="2CC8758A" w:rsidR="00847E82" w:rsidRPr="005B1FEF" w:rsidRDefault="00847E82" w:rsidP="00847E82">
            <w:pPr>
              <w:jc w:val="center"/>
              <w:rPr>
                <w:rFonts w:ascii="VIC" w:hAnsi="VIC"/>
                <w:sz w:val="18"/>
                <w:szCs w:val="18"/>
              </w:rPr>
            </w:pPr>
            <w:r w:rsidRPr="00427725">
              <w:rPr>
                <w:rFonts w:ascii="VIC" w:eastAsia="Verdana" w:hAnsi="VIC"/>
                <w:color w:val="000000"/>
                <w:sz w:val="18"/>
                <w:szCs w:val="18"/>
              </w:rPr>
              <w:t>21 %</w:t>
            </w:r>
          </w:p>
        </w:tc>
        <w:tc>
          <w:tcPr>
            <w:tcW w:w="1213" w:type="dxa"/>
          </w:tcPr>
          <w:p w14:paraId="0CEF67E4" w14:textId="2152006F" w:rsidR="00847E82" w:rsidRPr="005B1FEF" w:rsidRDefault="00847E82" w:rsidP="00847E82">
            <w:pPr>
              <w:jc w:val="center"/>
              <w:rPr>
                <w:rFonts w:ascii="VIC" w:hAnsi="VIC"/>
                <w:sz w:val="18"/>
                <w:szCs w:val="18"/>
              </w:rPr>
            </w:pPr>
            <w:r w:rsidRPr="00427725">
              <w:rPr>
                <w:rFonts w:ascii="VIC" w:eastAsia="Verdana" w:hAnsi="VIC"/>
                <w:color w:val="000000"/>
                <w:sz w:val="18"/>
                <w:szCs w:val="18"/>
              </w:rPr>
              <w:t>452.9</w:t>
            </w:r>
          </w:p>
        </w:tc>
        <w:tc>
          <w:tcPr>
            <w:tcW w:w="1212" w:type="dxa"/>
          </w:tcPr>
          <w:p w14:paraId="57715F68" w14:textId="61E758DF"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213" w:type="dxa"/>
          </w:tcPr>
          <w:p w14:paraId="336600DC" w14:textId="034945D9"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213" w:type="dxa"/>
          </w:tcPr>
          <w:p w14:paraId="6B3BB6DC" w14:textId="2D093959" w:rsidR="00847E82" w:rsidRPr="005B1FEF" w:rsidRDefault="00847E82" w:rsidP="00847E82">
            <w:pPr>
              <w:jc w:val="center"/>
              <w:rPr>
                <w:rFonts w:ascii="VIC" w:hAnsi="VIC"/>
                <w:sz w:val="18"/>
                <w:szCs w:val="18"/>
              </w:rPr>
            </w:pPr>
            <w:r w:rsidRPr="00427725">
              <w:rPr>
                <w:rFonts w:ascii="VIC" w:eastAsia="Verdana" w:hAnsi="VIC"/>
                <w:color w:val="000000"/>
                <w:sz w:val="18"/>
                <w:szCs w:val="18"/>
              </w:rPr>
              <w:t>11.2</w:t>
            </w:r>
          </w:p>
        </w:tc>
        <w:tc>
          <w:tcPr>
            <w:tcW w:w="1213" w:type="dxa"/>
          </w:tcPr>
          <w:p w14:paraId="6CE305F0" w14:textId="55E9E8EB" w:rsidR="00847E82" w:rsidRPr="005B1FEF" w:rsidRDefault="00847E82" w:rsidP="00847E82">
            <w:pPr>
              <w:jc w:val="center"/>
              <w:rPr>
                <w:rFonts w:ascii="VIC" w:hAnsi="VIC"/>
                <w:sz w:val="18"/>
                <w:szCs w:val="18"/>
              </w:rPr>
            </w:pPr>
            <w:r w:rsidRPr="00427725">
              <w:rPr>
                <w:rFonts w:ascii="VIC" w:eastAsia="Verdana" w:hAnsi="VIC"/>
                <w:color w:val="000000"/>
                <w:sz w:val="18"/>
                <w:szCs w:val="18"/>
              </w:rPr>
              <w:t>61 %</w:t>
            </w:r>
          </w:p>
        </w:tc>
        <w:tc>
          <w:tcPr>
            <w:tcW w:w="1213" w:type="dxa"/>
          </w:tcPr>
          <w:p w14:paraId="5C67B74E" w14:textId="09996B32" w:rsidR="00847E82" w:rsidRPr="005B1FEF" w:rsidRDefault="00847E82" w:rsidP="00847E82">
            <w:pPr>
              <w:jc w:val="center"/>
              <w:rPr>
                <w:rFonts w:ascii="VIC" w:hAnsi="VIC"/>
                <w:sz w:val="18"/>
                <w:szCs w:val="18"/>
              </w:rPr>
            </w:pPr>
            <w:r w:rsidRPr="00427725">
              <w:rPr>
                <w:rFonts w:ascii="VIC" w:eastAsia="Verdana" w:hAnsi="VIC"/>
                <w:color w:val="000000"/>
                <w:sz w:val="18"/>
                <w:szCs w:val="18"/>
              </w:rPr>
              <w:t>52 %</w:t>
            </w:r>
          </w:p>
        </w:tc>
      </w:tr>
      <w:tr w:rsidR="00847E82" w:rsidRPr="00A6366B" w14:paraId="5786A601" w14:textId="77777777" w:rsidTr="003330EE">
        <w:trPr>
          <w:trHeight w:val="340"/>
        </w:trPr>
        <w:tc>
          <w:tcPr>
            <w:tcW w:w="2135" w:type="dxa"/>
            <w:vMerge w:val="restart"/>
            <w:shd w:val="clear" w:color="auto" w:fill="BFCED6"/>
          </w:tcPr>
          <w:p w14:paraId="422B4830" w14:textId="1565BC0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Eastern Health</w:t>
            </w:r>
          </w:p>
        </w:tc>
        <w:tc>
          <w:tcPr>
            <w:tcW w:w="2695" w:type="dxa"/>
            <w:shd w:val="clear" w:color="auto" w:fill="BFCED6"/>
          </w:tcPr>
          <w:p w14:paraId="117D4137" w14:textId="31F4C65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Central East (Box Hill)</w:t>
            </w:r>
          </w:p>
        </w:tc>
        <w:tc>
          <w:tcPr>
            <w:tcW w:w="1212" w:type="dxa"/>
            <w:shd w:val="clear" w:color="auto" w:fill="BFCED6"/>
          </w:tcPr>
          <w:p w14:paraId="0D3BA46A" w14:textId="1669ED9F" w:rsidR="00847E82" w:rsidRPr="005B1FEF" w:rsidRDefault="00847E82" w:rsidP="00847E82">
            <w:pPr>
              <w:jc w:val="center"/>
              <w:rPr>
                <w:rFonts w:ascii="VIC" w:hAnsi="VIC"/>
                <w:sz w:val="18"/>
                <w:szCs w:val="18"/>
              </w:rPr>
            </w:pPr>
            <w:r w:rsidRPr="00427725">
              <w:rPr>
                <w:rFonts w:ascii="VIC" w:eastAsia="Verdana" w:hAnsi="VIC"/>
                <w:color w:val="000000"/>
                <w:sz w:val="18"/>
                <w:szCs w:val="18"/>
              </w:rPr>
              <w:t>2.5</w:t>
            </w:r>
          </w:p>
        </w:tc>
        <w:tc>
          <w:tcPr>
            <w:tcW w:w="1213" w:type="dxa"/>
            <w:shd w:val="clear" w:color="auto" w:fill="BFCED6"/>
          </w:tcPr>
          <w:p w14:paraId="441F2A49" w14:textId="78CDA375"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213" w:type="dxa"/>
            <w:shd w:val="clear" w:color="auto" w:fill="BFCED6"/>
          </w:tcPr>
          <w:p w14:paraId="7AA5F9B3" w14:textId="0404B046"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4C69374C" w14:textId="42EB2F24" w:rsidR="00847E82" w:rsidRPr="005B1FEF" w:rsidRDefault="00847E82" w:rsidP="00847E82">
            <w:pPr>
              <w:jc w:val="center"/>
              <w:rPr>
                <w:rFonts w:ascii="VIC" w:hAnsi="VIC"/>
                <w:sz w:val="18"/>
                <w:szCs w:val="18"/>
              </w:rPr>
            </w:pPr>
            <w:r w:rsidRPr="00427725">
              <w:rPr>
                <w:rFonts w:ascii="VIC" w:eastAsia="Verdana" w:hAnsi="VIC"/>
                <w:color w:val="000000"/>
                <w:sz w:val="18"/>
                <w:szCs w:val="18"/>
              </w:rPr>
              <w:t>227.0</w:t>
            </w:r>
          </w:p>
        </w:tc>
        <w:tc>
          <w:tcPr>
            <w:tcW w:w="1212" w:type="dxa"/>
            <w:shd w:val="clear" w:color="auto" w:fill="BFCED6"/>
          </w:tcPr>
          <w:p w14:paraId="7B7B2E68" w14:textId="537C5D61" w:rsidR="00847E82" w:rsidRPr="005B1FEF" w:rsidRDefault="00847E82" w:rsidP="00847E82">
            <w:pPr>
              <w:jc w:val="center"/>
              <w:rPr>
                <w:rFonts w:ascii="VIC" w:hAnsi="VIC"/>
                <w:sz w:val="18"/>
                <w:szCs w:val="18"/>
              </w:rPr>
            </w:pPr>
            <w:r w:rsidRPr="00427725">
              <w:rPr>
                <w:rFonts w:ascii="VIC" w:eastAsia="Verdana" w:hAnsi="VIC"/>
                <w:color w:val="000000"/>
                <w:sz w:val="18"/>
                <w:szCs w:val="18"/>
              </w:rPr>
              <w:t>40 %</w:t>
            </w:r>
          </w:p>
        </w:tc>
        <w:tc>
          <w:tcPr>
            <w:tcW w:w="1213" w:type="dxa"/>
            <w:shd w:val="clear" w:color="auto" w:fill="BFCED6"/>
          </w:tcPr>
          <w:p w14:paraId="3FB036C7" w14:textId="65174241"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BFCED6"/>
          </w:tcPr>
          <w:p w14:paraId="663258D1" w14:textId="4855A6A8" w:rsidR="00847E82" w:rsidRPr="005B1FEF" w:rsidRDefault="00847E82" w:rsidP="00847E82">
            <w:pPr>
              <w:jc w:val="center"/>
              <w:rPr>
                <w:rFonts w:ascii="VIC" w:hAnsi="VIC"/>
                <w:sz w:val="18"/>
                <w:szCs w:val="18"/>
              </w:rPr>
            </w:pPr>
            <w:r w:rsidRPr="00427725">
              <w:rPr>
                <w:rFonts w:ascii="VIC" w:eastAsia="Verdana" w:hAnsi="VIC"/>
                <w:color w:val="000000"/>
                <w:sz w:val="18"/>
                <w:szCs w:val="18"/>
              </w:rPr>
              <w:t>19.5</w:t>
            </w:r>
          </w:p>
        </w:tc>
        <w:tc>
          <w:tcPr>
            <w:tcW w:w="1213" w:type="dxa"/>
            <w:shd w:val="clear" w:color="auto" w:fill="BFCED6"/>
          </w:tcPr>
          <w:p w14:paraId="348632AD" w14:textId="18E75C37" w:rsidR="00847E82" w:rsidRPr="005B1FEF" w:rsidRDefault="00847E82" w:rsidP="00847E82">
            <w:pPr>
              <w:jc w:val="center"/>
              <w:rPr>
                <w:rFonts w:ascii="VIC" w:hAnsi="VIC"/>
                <w:sz w:val="18"/>
                <w:szCs w:val="18"/>
              </w:rPr>
            </w:pPr>
            <w:r w:rsidRPr="00427725">
              <w:rPr>
                <w:rFonts w:ascii="VIC" w:eastAsia="Verdana" w:hAnsi="VIC"/>
                <w:color w:val="000000"/>
                <w:sz w:val="18"/>
                <w:szCs w:val="18"/>
              </w:rPr>
              <w:t>47 %</w:t>
            </w:r>
          </w:p>
        </w:tc>
        <w:tc>
          <w:tcPr>
            <w:tcW w:w="1213" w:type="dxa"/>
            <w:shd w:val="clear" w:color="auto" w:fill="BFCED6"/>
          </w:tcPr>
          <w:p w14:paraId="1B52EE24" w14:textId="7EC97402" w:rsidR="00847E82" w:rsidRPr="005B1FEF" w:rsidRDefault="00847E82" w:rsidP="00847E82">
            <w:pPr>
              <w:jc w:val="center"/>
              <w:rPr>
                <w:rFonts w:ascii="VIC" w:hAnsi="VIC"/>
                <w:sz w:val="18"/>
                <w:szCs w:val="18"/>
              </w:rPr>
            </w:pPr>
            <w:r w:rsidRPr="00427725">
              <w:rPr>
                <w:rFonts w:ascii="VIC" w:eastAsia="Verdana" w:hAnsi="VIC"/>
                <w:color w:val="000000"/>
                <w:sz w:val="18"/>
                <w:szCs w:val="18"/>
              </w:rPr>
              <w:t>35 %</w:t>
            </w:r>
          </w:p>
        </w:tc>
      </w:tr>
      <w:tr w:rsidR="00847E82" w:rsidRPr="00A6366B" w14:paraId="4AE1ECEE" w14:textId="77777777" w:rsidTr="003330EE">
        <w:trPr>
          <w:trHeight w:val="340"/>
        </w:trPr>
        <w:tc>
          <w:tcPr>
            <w:tcW w:w="2135" w:type="dxa"/>
            <w:vMerge/>
            <w:shd w:val="clear" w:color="auto" w:fill="BFCED6"/>
          </w:tcPr>
          <w:p w14:paraId="639B66C7"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5BC2C824" w14:textId="3803CFE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Outer East (Maroondah)</w:t>
            </w:r>
          </w:p>
        </w:tc>
        <w:tc>
          <w:tcPr>
            <w:tcW w:w="1212" w:type="dxa"/>
            <w:shd w:val="clear" w:color="auto" w:fill="BFCED6"/>
          </w:tcPr>
          <w:p w14:paraId="5A8503D7" w14:textId="054BA3CB" w:rsidR="00847E82" w:rsidRPr="005B1FEF" w:rsidRDefault="00847E82" w:rsidP="00847E82">
            <w:pPr>
              <w:jc w:val="center"/>
              <w:rPr>
                <w:rFonts w:ascii="VIC" w:hAnsi="VIC"/>
                <w:sz w:val="18"/>
                <w:szCs w:val="18"/>
              </w:rPr>
            </w:pPr>
            <w:r w:rsidRPr="00427725">
              <w:rPr>
                <w:rFonts w:ascii="VIC" w:eastAsia="Verdana" w:hAnsi="VIC"/>
                <w:color w:val="000000"/>
                <w:sz w:val="18"/>
                <w:szCs w:val="18"/>
              </w:rPr>
              <w:t>2.0</w:t>
            </w:r>
          </w:p>
        </w:tc>
        <w:tc>
          <w:tcPr>
            <w:tcW w:w="1213" w:type="dxa"/>
            <w:shd w:val="clear" w:color="auto" w:fill="BFCED6"/>
          </w:tcPr>
          <w:p w14:paraId="3BF12520" w14:textId="41D7522D"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213" w:type="dxa"/>
            <w:shd w:val="clear" w:color="auto" w:fill="BFCED6"/>
          </w:tcPr>
          <w:p w14:paraId="2D2A042F" w14:textId="7C78615C"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3FEF4475" w14:textId="313BFE88" w:rsidR="00847E82" w:rsidRPr="005B1FEF" w:rsidRDefault="00847E82" w:rsidP="00847E82">
            <w:pPr>
              <w:jc w:val="center"/>
              <w:rPr>
                <w:rFonts w:ascii="VIC" w:hAnsi="VIC"/>
                <w:sz w:val="18"/>
                <w:szCs w:val="18"/>
              </w:rPr>
            </w:pPr>
            <w:r w:rsidRPr="00427725">
              <w:rPr>
                <w:rFonts w:ascii="VIC" w:eastAsia="Verdana" w:hAnsi="VIC"/>
                <w:color w:val="000000"/>
                <w:sz w:val="18"/>
                <w:szCs w:val="18"/>
              </w:rPr>
              <w:t>357.1</w:t>
            </w:r>
          </w:p>
        </w:tc>
        <w:tc>
          <w:tcPr>
            <w:tcW w:w="1212" w:type="dxa"/>
            <w:shd w:val="clear" w:color="auto" w:fill="BFCED6"/>
          </w:tcPr>
          <w:p w14:paraId="59221DFC" w14:textId="65A087D6" w:rsidR="00847E82" w:rsidRPr="005B1FEF" w:rsidRDefault="00847E82" w:rsidP="00847E82">
            <w:pPr>
              <w:jc w:val="center"/>
              <w:rPr>
                <w:rFonts w:ascii="VIC" w:hAnsi="VIC"/>
                <w:sz w:val="18"/>
                <w:szCs w:val="18"/>
              </w:rPr>
            </w:pPr>
            <w:r w:rsidRPr="00427725">
              <w:rPr>
                <w:rFonts w:ascii="VIC" w:eastAsia="Verdana" w:hAnsi="VIC"/>
                <w:color w:val="000000"/>
                <w:sz w:val="18"/>
                <w:szCs w:val="18"/>
              </w:rPr>
              <w:t>19 %</w:t>
            </w:r>
          </w:p>
        </w:tc>
        <w:tc>
          <w:tcPr>
            <w:tcW w:w="1213" w:type="dxa"/>
            <w:shd w:val="clear" w:color="auto" w:fill="BFCED6"/>
          </w:tcPr>
          <w:p w14:paraId="0CE53274" w14:textId="5A88142D" w:rsidR="00847E82" w:rsidRPr="005B1FEF" w:rsidRDefault="00847E82" w:rsidP="00847E82">
            <w:pPr>
              <w:jc w:val="center"/>
              <w:rPr>
                <w:rFonts w:ascii="VIC" w:hAnsi="VIC"/>
                <w:sz w:val="18"/>
                <w:szCs w:val="18"/>
              </w:rPr>
            </w:pPr>
            <w:r w:rsidRPr="00427725">
              <w:rPr>
                <w:rFonts w:ascii="VIC" w:eastAsia="Verdana" w:hAnsi="VIC"/>
                <w:color w:val="000000"/>
                <w:sz w:val="18"/>
                <w:szCs w:val="18"/>
              </w:rPr>
              <w:t>74 %</w:t>
            </w:r>
          </w:p>
        </w:tc>
        <w:tc>
          <w:tcPr>
            <w:tcW w:w="1213" w:type="dxa"/>
            <w:shd w:val="clear" w:color="auto" w:fill="BFCED6"/>
          </w:tcPr>
          <w:p w14:paraId="4FCD40D1" w14:textId="317AF0B8" w:rsidR="00847E82" w:rsidRPr="005B1FEF" w:rsidRDefault="00847E82" w:rsidP="00847E82">
            <w:pPr>
              <w:jc w:val="center"/>
              <w:rPr>
                <w:rFonts w:ascii="VIC" w:hAnsi="VIC"/>
                <w:sz w:val="18"/>
                <w:szCs w:val="18"/>
              </w:rPr>
            </w:pPr>
            <w:r w:rsidRPr="00427725">
              <w:rPr>
                <w:rFonts w:ascii="VIC" w:eastAsia="Verdana" w:hAnsi="VIC"/>
                <w:color w:val="000000"/>
                <w:sz w:val="18"/>
                <w:szCs w:val="18"/>
              </w:rPr>
              <w:t>17.1</w:t>
            </w:r>
          </w:p>
        </w:tc>
        <w:tc>
          <w:tcPr>
            <w:tcW w:w="1213" w:type="dxa"/>
            <w:shd w:val="clear" w:color="auto" w:fill="BFCED6"/>
          </w:tcPr>
          <w:p w14:paraId="103C6001" w14:textId="54718BAC" w:rsidR="00847E82" w:rsidRPr="005B1FEF" w:rsidRDefault="00847E82" w:rsidP="00847E82">
            <w:pPr>
              <w:jc w:val="center"/>
              <w:rPr>
                <w:rFonts w:ascii="VIC" w:hAnsi="VIC"/>
                <w:sz w:val="18"/>
                <w:szCs w:val="18"/>
              </w:rPr>
            </w:pPr>
            <w:r w:rsidRPr="00427725">
              <w:rPr>
                <w:rFonts w:ascii="VIC" w:eastAsia="Verdana" w:hAnsi="VIC"/>
                <w:color w:val="000000"/>
                <w:sz w:val="18"/>
                <w:szCs w:val="18"/>
              </w:rPr>
              <w:t>71 %</w:t>
            </w:r>
          </w:p>
        </w:tc>
        <w:tc>
          <w:tcPr>
            <w:tcW w:w="1213" w:type="dxa"/>
            <w:shd w:val="clear" w:color="auto" w:fill="BFCED6"/>
          </w:tcPr>
          <w:p w14:paraId="773BC42D" w14:textId="2308349B"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r>
      <w:tr w:rsidR="00847E82" w:rsidRPr="00A6366B" w14:paraId="6EA01E05" w14:textId="77777777" w:rsidTr="003330EE">
        <w:trPr>
          <w:trHeight w:val="340"/>
        </w:trPr>
        <w:tc>
          <w:tcPr>
            <w:tcW w:w="2135" w:type="dxa"/>
            <w:vMerge/>
            <w:shd w:val="clear" w:color="auto" w:fill="BFCED6"/>
          </w:tcPr>
          <w:p w14:paraId="584B4698"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5AE010C8" w14:textId="2A5FE4FE"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212" w:type="dxa"/>
            <w:shd w:val="clear" w:color="auto" w:fill="BFCED6"/>
          </w:tcPr>
          <w:p w14:paraId="60F0A125" w14:textId="3BE0A9CF" w:rsidR="00847E82" w:rsidRPr="005B1FEF" w:rsidRDefault="00847E82" w:rsidP="00847E82">
            <w:pPr>
              <w:jc w:val="center"/>
              <w:rPr>
                <w:rFonts w:ascii="VIC" w:hAnsi="VIC"/>
                <w:sz w:val="18"/>
                <w:szCs w:val="18"/>
              </w:rPr>
            </w:pPr>
            <w:r w:rsidRPr="00427725">
              <w:rPr>
                <w:rFonts w:ascii="VIC" w:eastAsia="Verdana" w:hAnsi="VIC"/>
                <w:color w:val="000000"/>
                <w:sz w:val="18"/>
                <w:szCs w:val="18"/>
              </w:rPr>
              <w:t>2.2</w:t>
            </w:r>
          </w:p>
        </w:tc>
        <w:tc>
          <w:tcPr>
            <w:tcW w:w="1213" w:type="dxa"/>
            <w:shd w:val="clear" w:color="auto" w:fill="BFCED6"/>
          </w:tcPr>
          <w:p w14:paraId="0A62F624" w14:textId="34DF3341"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213" w:type="dxa"/>
            <w:shd w:val="clear" w:color="auto" w:fill="BFCED6"/>
          </w:tcPr>
          <w:p w14:paraId="1189738F" w14:textId="71BE2245"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6122FC6E" w14:textId="2635B338" w:rsidR="00847E82" w:rsidRPr="005B1FEF" w:rsidRDefault="00847E82" w:rsidP="00847E82">
            <w:pPr>
              <w:jc w:val="center"/>
              <w:rPr>
                <w:rFonts w:ascii="VIC" w:hAnsi="VIC"/>
                <w:sz w:val="18"/>
                <w:szCs w:val="18"/>
              </w:rPr>
            </w:pPr>
            <w:r w:rsidRPr="00427725">
              <w:rPr>
                <w:rFonts w:ascii="VIC" w:eastAsia="Verdana" w:hAnsi="VIC"/>
                <w:color w:val="000000"/>
                <w:sz w:val="18"/>
                <w:szCs w:val="18"/>
              </w:rPr>
              <w:t>289.9</w:t>
            </w:r>
          </w:p>
        </w:tc>
        <w:tc>
          <w:tcPr>
            <w:tcW w:w="1212" w:type="dxa"/>
            <w:shd w:val="clear" w:color="auto" w:fill="BFCED6"/>
          </w:tcPr>
          <w:p w14:paraId="163AECBE" w14:textId="75293273" w:rsidR="00847E82" w:rsidRPr="005B1FEF" w:rsidRDefault="00847E82" w:rsidP="00847E82">
            <w:pPr>
              <w:jc w:val="center"/>
              <w:rPr>
                <w:rFonts w:ascii="VIC" w:hAnsi="VIC"/>
                <w:sz w:val="18"/>
                <w:szCs w:val="18"/>
              </w:rPr>
            </w:pPr>
            <w:r w:rsidRPr="00427725">
              <w:rPr>
                <w:rFonts w:ascii="VIC" w:eastAsia="Verdana" w:hAnsi="VIC"/>
                <w:color w:val="000000"/>
                <w:sz w:val="18"/>
                <w:szCs w:val="18"/>
              </w:rPr>
              <w:t>29 %</w:t>
            </w:r>
          </w:p>
        </w:tc>
        <w:tc>
          <w:tcPr>
            <w:tcW w:w="1213" w:type="dxa"/>
            <w:shd w:val="clear" w:color="auto" w:fill="BFCED6"/>
          </w:tcPr>
          <w:p w14:paraId="6D98F443" w14:textId="48814E14" w:rsidR="00847E82" w:rsidRPr="005B1FEF" w:rsidRDefault="00847E82" w:rsidP="00847E82">
            <w:pPr>
              <w:jc w:val="center"/>
              <w:rPr>
                <w:rFonts w:ascii="VIC" w:hAnsi="VIC"/>
                <w:sz w:val="18"/>
                <w:szCs w:val="18"/>
              </w:rPr>
            </w:pPr>
            <w:r w:rsidRPr="00427725">
              <w:rPr>
                <w:rFonts w:ascii="VIC" w:eastAsia="Verdana" w:hAnsi="VIC"/>
                <w:color w:val="000000"/>
                <w:sz w:val="18"/>
                <w:szCs w:val="18"/>
              </w:rPr>
              <w:t>80 %</w:t>
            </w:r>
          </w:p>
        </w:tc>
        <w:tc>
          <w:tcPr>
            <w:tcW w:w="1213" w:type="dxa"/>
            <w:shd w:val="clear" w:color="auto" w:fill="BFCED6"/>
          </w:tcPr>
          <w:p w14:paraId="1FDF93DF" w14:textId="239D291D" w:rsidR="00847E82" w:rsidRPr="005B1FEF" w:rsidRDefault="00847E82" w:rsidP="00847E82">
            <w:pPr>
              <w:jc w:val="center"/>
              <w:rPr>
                <w:rFonts w:ascii="VIC" w:hAnsi="VIC"/>
                <w:sz w:val="18"/>
                <w:szCs w:val="18"/>
              </w:rPr>
            </w:pPr>
            <w:r w:rsidRPr="00427725">
              <w:rPr>
                <w:rFonts w:ascii="VIC" w:eastAsia="Verdana" w:hAnsi="VIC"/>
                <w:color w:val="000000"/>
                <w:sz w:val="18"/>
                <w:szCs w:val="18"/>
              </w:rPr>
              <w:t>18.4</w:t>
            </w:r>
          </w:p>
        </w:tc>
        <w:tc>
          <w:tcPr>
            <w:tcW w:w="1213" w:type="dxa"/>
            <w:shd w:val="clear" w:color="auto" w:fill="BFCED6"/>
          </w:tcPr>
          <w:p w14:paraId="5F388A48" w14:textId="5F3EFAD3" w:rsidR="00847E82" w:rsidRPr="005B1FEF" w:rsidRDefault="00847E82" w:rsidP="00847E82">
            <w:pPr>
              <w:jc w:val="center"/>
              <w:rPr>
                <w:rFonts w:ascii="VIC" w:hAnsi="VIC"/>
                <w:sz w:val="18"/>
                <w:szCs w:val="18"/>
              </w:rPr>
            </w:pPr>
            <w:r w:rsidRPr="00427725">
              <w:rPr>
                <w:rFonts w:ascii="VIC" w:eastAsia="Verdana" w:hAnsi="VIC"/>
                <w:color w:val="000000"/>
                <w:sz w:val="18"/>
                <w:szCs w:val="18"/>
              </w:rPr>
              <w:t>59 %</w:t>
            </w:r>
          </w:p>
        </w:tc>
        <w:tc>
          <w:tcPr>
            <w:tcW w:w="1213" w:type="dxa"/>
            <w:shd w:val="clear" w:color="auto" w:fill="BFCED6"/>
          </w:tcPr>
          <w:p w14:paraId="171DD5CF" w14:textId="0E2960D3" w:rsidR="00847E82" w:rsidRPr="005B1FEF" w:rsidRDefault="00847E82" w:rsidP="00847E82">
            <w:pPr>
              <w:jc w:val="center"/>
              <w:rPr>
                <w:rFonts w:ascii="VIC" w:hAnsi="VIC"/>
                <w:sz w:val="18"/>
                <w:szCs w:val="18"/>
              </w:rPr>
            </w:pPr>
            <w:r w:rsidRPr="00427725">
              <w:rPr>
                <w:rFonts w:ascii="VIC" w:eastAsia="Verdana" w:hAnsi="VIC"/>
                <w:color w:val="000000"/>
                <w:sz w:val="18"/>
                <w:szCs w:val="18"/>
              </w:rPr>
              <w:t>26 %</w:t>
            </w:r>
          </w:p>
        </w:tc>
      </w:tr>
      <w:tr w:rsidR="00847E82" w:rsidRPr="00A6366B" w14:paraId="5686E7FB" w14:textId="77777777" w:rsidTr="003330EE">
        <w:trPr>
          <w:trHeight w:val="340"/>
        </w:trPr>
        <w:tc>
          <w:tcPr>
            <w:tcW w:w="2135" w:type="dxa"/>
            <w:vMerge w:val="restart"/>
          </w:tcPr>
          <w:p w14:paraId="0FAC8C06" w14:textId="5838533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Melbourne Health</w:t>
            </w:r>
          </w:p>
        </w:tc>
        <w:tc>
          <w:tcPr>
            <w:tcW w:w="2695" w:type="dxa"/>
          </w:tcPr>
          <w:p w14:paraId="69846C5D" w14:textId="62FD8586"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West (RMH)</w:t>
            </w:r>
          </w:p>
        </w:tc>
        <w:tc>
          <w:tcPr>
            <w:tcW w:w="1212" w:type="dxa"/>
          </w:tcPr>
          <w:p w14:paraId="183E0FBE" w14:textId="32F855C6" w:rsidR="00847E82" w:rsidRPr="005B1FEF" w:rsidRDefault="00847E82" w:rsidP="00847E82">
            <w:pPr>
              <w:jc w:val="center"/>
              <w:rPr>
                <w:rFonts w:ascii="VIC" w:hAnsi="VIC"/>
                <w:sz w:val="18"/>
                <w:szCs w:val="18"/>
              </w:rPr>
            </w:pPr>
            <w:r w:rsidRPr="00427725">
              <w:rPr>
                <w:rFonts w:ascii="VIC" w:eastAsia="Verdana" w:hAnsi="VIC"/>
                <w:color w:val="000000"/>
                <w:sz w:val="18"/>
                <w:szCs w:val="18"/>
              </w:rPr>
              <w:t>2.8</w:t>
            </w:r>
          </w:p>
        </w:tc>
        <w:tc>
          <w:tcPr>
            <w:tcW w:w="1213" w:type="dxa"/>
          </w:tcPr>
          <w:p w14:paraId="1FEEAB57" w14:textId="7BFF5C93"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222FEEBE" w14:textId="0E8F76D4"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213" w:type="dxa"/>
          </w:tcPr>
          <w:p w14:paraId="23E6A31A" w14:textId="30CE6D92" w:rsidR="00847E82" w:rsidRPr="005B1FEF" w:rsidRDefault="00847E82" w:rsidP="00847E82">
            <w:pPr>
              <w:jc w:val="center"/>
              <w:rPr>
                <w:rFonts w:ascii="VIC" w:hAnsi="VIC"/>
                <w:sz w:val="18"/>
                <w:szCs w:val="18"/>
              </w:rPr>
            </w:pPr>
            <w:r w:rsidRPr="00427725">
              <w:rPr>
                <w:rFonts w:ascii="VIC" w:eastAsia="Verdana" w:hAnsi="VIC"/>
                <w:color w:val="000000"/>
                <w:sz w:val="18"/>
                <w:szCs w:val="18"/>
              </w:rPr>
              <w:t>442.4</w:t>
            </w:r>
          </w:p>
        </w:tc>
        <w:tc>
          <w:tcPr>
            <w:tcW w:w="1212" w:type="dxa"/>
          </w:tcPr>
          <w:p w14:paraId="620BD923" w14:textId="7A4E499C" w:rsidR="00847E82" w:rsidRPr="005B1FEF" w:rsidRDefault="00847E82" w:rsidP="00847E82">
            <w:pPr>
              <w:jc w:val="center"/>
              <w:rPr>
                <w:rFonts w:ascii="VIC" w:hAnsi="VIC"/>
                <w:sz w:val="18"/>
                <w:szCs w:val="18"/>
              </w:rPr>
            </w:pPr>
            <w:r w:rsidRPr="00427725">
              <w:rPr>
                <w:rFonts w:ascii="VIC" w:eastAsia="Verdana" w:hAnsi="VIC"/>
                <w:color w:val="000000"/>
                <w:sz w:val="18"/>
                <w:szCs w:val="18"/>
              </w:rPr>
              <w:t>50 %</w:t>
            </w:r>
          </w:p>
        </w:tc>
        <w:tc>
          <w:tcPr>
            <w:tcW w:w="1213" w:type="dxa"/>
          </w:tcPr>
          <w:p w14:paraId="7B95F27F" w14:textId="286AE221" w:rsidR="00847E82" w:rsidRPr="005B1FEF" w:rsidRDefault="00847E82" w:rsidP="00847E82">
            <w:pPr>
              <w:jc w:val="center"/>
              <w:rPr>
                <w:rFonts w:ascii="VIC" w:hAnsi="VIC"/>
                <w:sz w:val="18"/>
                <w:szCs w:val="18"/>
              </w:rPr>
            </w:pPr>
            <w:r w:rsidRPr="00427725">
              <w:rPr>
                <w:rFonts w:ascii="VIC" w:eastAsia="Verdana" w:hAnsi="VIC"/>
                <w:color w:val="000000"/>
                <w:sz w:val="18"/>
                <w:szCs w:val="18"/>
              </w:rPr>
              <w:t>62 %</w:t>
            </w:r>
          </w:p>
        </w:tc>
        <w:tc>
          <w:tcPr>
            <w:tcW w:w="1213" w:type="dxa"/>
          </w:tcPr>
          <w:p w14:paraId="4284E9B9" w14:textId="2771DA97" w:rsidR="00847E82" w:rsidRPr="005B1FEF" w:rsidRDefault="00847E82" w:rsidP="00847E82">
            <w:pPr>
              <w:jc w:val="center"/>
              <w:rPr>
                <w:rFonts w:ascii="VIC" w:hAnsi="VIC"/>
                <w:sz w:val="18"/>
                <w:szCs w:val="18"/>
              </w:rPr>
            </w:pPr>
            <w:r w:rsidRPr="00427725">
              <w:rPr>
                <w:rFonts w:ascii="VIC" w:eastAsia="Verdana" w:hAnsi="VIC"/>
                <w:color w:val="000000"/>
                <w:sz w:val="18"/>
                <w:szCs w:val="18"/>
              </w:rPr>
              <w:t>14.1</w:t>
            </w:r>
          </w:p>
        </w:tc>
        <w:tc>
          <w:tcPr>
            <w:tcW w:w="1213" w:type="dxa"/>
          </w:tcPr>
          <w:p w14:paraId="00073427" w14:textId="55DB9B16" w:rsidR="00847E82" w:rsidRPr="005B1FEF" w:rsidRDefault="00847E82" w:rsidP="00847E82">
            <w:pPr>
              <w:jc w:val="center"/>
              <w:rPr>
                <w:rFonts w:ascii="VIC" w:hAnsi="VIC"/>
                <w:sz w:val="18"/>
                <w:szCs w:val="18"/>
              </w:rPr>
            </w:pPr>
            <w:r w:rsidRPr="00427725">
              <w:rPr>
                <w:rFonts w:ascii="VIC" w:eastAsia="Verdana" w:hAnsi="VIC"/>
                <w:color w:val="000000"/>
                <w:sz w:val="18"/>
                <w:szCs w:val="18"/>
              </w:rPr>
              <w:t>54 %</w:t>
            </w:r>
          </w:p>
        </w:tc>
        <w:tc>
          <w:tcPr>
            <w:tcW w:w="1213" w:type="dxa"/>
          </w:tcPr>
          <w:p w14:paraId="2F687CC2" w14:textId="64D978BA" w:rsidR="00847E82" w:rsidRPr="005B1FEF" w:rsidRDefault="00847E82" w:rsidP="00847E82">
            <w:pPr>
              <w:jc w:val="center"/>
              <w:rPr>
                <w:rFonts w:ascii="VIC" w:hAnsi="VIC"/>
                <w:sz w:val="18"/>
                <w:szCs w:val="18"/>
              </w:rPr>
            </w:pPr>
            <w:r w:rsidRPr="00427725">
              <w:rPr>
                <w:rFonts w:ascii="VIC" w:eastAsia="Verdana" w:hAnsi="VIC"/>
                <w:color w:val="000000"/>
                <w:sz w:val="18"/>
                <w:szCs w:val="18"/>
              </w:rPr>
              <w:t>41 %</w:t>
            </w:r>
          </w:p>
        </w:tc>
      </w:tr>
      <w:tr w:rsidR="00847E82" w:rsidRPr="00A6366B" w14:paraId="6D918A02" w14:textId="77777777" w:rsidTr="003330EE">
        <w:trPr>
          <w:trHeight w:val="340"/>
        </w:trPr>
        <w:tc>
          <w:tcPr>
            <w:tcW w:w="2135" w:type="dxa"/>
            <w:vMerge/>
          </w:tcPr>
          <w:p w14:paraId="107E76EE" w14:textId="77777777" w:rsidR="00847E82" w:rsidRPr="00382424" w:rsidRDefault="00847E82" w:rsidP="00847E82">
            <w:pPr>
              <w:pStyle w:val="DHHStabletext"/>
              <w:spacing w:before="0" w:after="0"/>
              <w:rPr>
                <w:rFonts w:ascii="VIC" w:hAnsi="VIC"/>
                <w:sz w:val="18"/>
                <w:szCs w:val="18"/>
              </w:rPr>
            </w:pPr>
          </w:p>
        </w:tc>
        <w:tc>
          <w:tcPr>
            <w:tcW w:w="2695" w:type="dxa"/>
          </w:tcPr>
          <w:p w14:paraId="5EA54DC5" w14:textId="4A0B0B6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Mid West (Sunshine)</w:t>
            </w:r>
          </w:p>
        </w:tc>
        <w:tc>
          <w:tcPr>
            <w:tcW w:w="1212" w:type="dxa"/>
          </w:tcPr>
          <w:p w14:paraId="06A55915" w14:textId="24C2364E" w:rsidR="00847E82" w:rsidRPr="005B1FEF" w:rsidRDefault="00847E82" w:rsidP="00847E82">
            <w:pPr>
              <w:jc w:val="center"/>
              <w:rPr>
                <w:rFonts w:ascii="VIC" w:hAnsi="VIC"/>
                <w:sz w:val="18"/>
                <w:szCs w:val="18"/>
              </w:rPr>
            </w:pPr>
            <w:r w:rsidRPr="00427725">
              <w:rPr>
                <w:rFonts w:ascii="VIC" w:eastAsia="Verdana" w:hAnsi="VIC"/>
                <w:color w:val="000000"/>
                <w:sz w:val="18"/>
                <w:szCs w:val="18"/>
              </w:rPr>
              <w:t>2.3</w:t>
            </w:r>
          </w:p>
        </w:tc>
        <w:tc>
          <w:tcPr>
            <w:tcW w:w="1213" w:type="dxa"/>
          </w:tcPr>
          <w:p w14:paraId="10573E4B" w14:textId="49AA22C8"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213" w:type="dxa"/>
          </w:tcPr>
          <w:p w14:paraId="7DFD778B" w14:textId="1F052155"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213" w:type="dxa"/>
          </w:tcPr>
          <w:p w14:paraId="7FE00774" w14:textId="22DC8915" w:rsidR="00847E82" w:rsidRPr="005B1FEF" w:rsidRDefault="00847E82" w:rsidP="00847E82">
            <w:pPr>
              <w:jc w:val="center"/>
              <w:rPr>
                <w:rFonts w:ascii="VIC" w:hAnsi="VIC"/>
                <w:sz w:val="18"/>
                <w:szCs w:val="18"/>
              </w:rPr>
            </w:pPr>
            <w:r w:rsidRPr="00427725">
              <w:rPr>
                <w:rFonts w:ascii="VIC" w:eastAsia="Verdana" w:hAnsi="VIC"/>
                <w:color w:val="000000"/>
                <w:sz w:val="18"/>
                <w:szCs w:val="18"/>
              </w:rPr>
              <w:t>194.1</w:t>
            </w:r>
          </w:p>
        </w:tc>
        <w:tc>
          <w:tcPr>
            <w:tcW w:w="1212" w:type="dxa"/>
          </w:tcPr>
          <w:p w14:paraId="508AE600" w14:textId="01839DE2" w:rsidR="00847E82" w:rsidRPr="005B1FEF" w:rsidRDefault="00847E82" w:rsidP="00847E82">
            <w:pPr>
              <w:jc w:val="center"/>
              <w:rPr>
                <w:rFonts w:ascii="VIC" w:hAnsi="VIC"/>
                <w:sz w:val="18"/>
                <w:szCs w:val="18"/>
              </w:rPr>
            </w:pPr>
            <w:r w:rsidRPr="00427725">
              <w:rPr>
                <w:rFonts w:ascii="VIC" w:eastAsia="Verdana" w:hAnsi="VIC"/>
                <w:color w:val="000000"/>
                <w:sz w:val="18"/>
                <w:szCs w:val="18"/>
              </w:rPr>
              <w:t>32 %</w:t>
            </w:r>
          </w:p>
        </w:tc>
        <w:tc>
          <w:tcPr>
            <w:tcW w:w="1213" w:type="dxa"/>
          </w:tcPr>
          <w:p w14:paraId="7BA66763" w14:textId="314CA3DF" w:rsidR="00847E82" w:rsidRPr="005B1FEF" w:rsidRDefault="00847E82" w:rsidP="00847E82">
            <w:pPr>
              <w:jc w:val="center"/>
              <w:rPr>
                <w:rFonts w:ascii="VIC" w:hAnsi="VIC"/>
                <w:sz w:val="18"/>
                <w:szCs w:val="18"/>
              </w:rPr>
            </w:pPr>
            <w:r w:rsidRPr="00427725">
              <w:rPr>
                <w:rFonts w:ascii="VIC" w:eastAsia="Verdana" w:hAnsi="VIC"/>
                <w:color w:val="000000"/>
                <w:sz w:val="18"/>
                <w:szCs w:val="18"/>
              </w:rPr>
              <w:t>89 %</w:t>
            </w:r>
          </w:p>
        </w:tc>
        <w:tc>
          <w:tcPr>
            <w:tcW w:w="1213" w:type="dxa"/>
          </w:tcPr>
          <w:p w14:paraId="39D9358E" w14:textId="64376166" w:rsidR="00847E82" w:rsidRPr="005B1FEF" w:rsidRDefault="00847E82" w:rsidP="00847E82">
            <w:pPr>
              <w:jc w:val="center"/>
              <w:rPr>
                <w:rFonts w:ascii="VIC" w:hAnsi="VIC"/>
                <w:sz w:val="18"/>
                <w:szCs w:val="18"/>
              </w:rPr>
            </w:pPr>
            <w:r w:rsidRPr="00427725">
              <w:rPr>
                <w:rFonts w:ascii="VIC" w:eastAsia="Verdana" w:hAnsi="VIC"/>
                <w:color w:val="000000"/>
                <w:sz w:val="18"/>
                <w:szCs w:val="18"/>
              </w:rPr>
              <w:t>14.1</w:t>
            </w:r>
          </w:p>
        </w:tc>
        <w:tc>
          <w:tcPr>
            <w:tcW w:w="1213" w:type="dxa"/>
          </w:tcPr>
          <w:p w14:paraId="5CE85456" w14:textId="3BA08505" w:rsidR="00847E82" w:rsidRPr="005B1FEF" w:rsidRDefault="00847E82" w:rsidP="00847E82">
            <w:pPr>
              <w:jc w:val="center"/>
              <w:rPr>
                <w:rFonts w:ascii="VIC" w:hAnsi="VIC"/>
                <w:sz w:val="18"/>
                <w:szCs w:val="18"/>
              </w:rPr>
            </w:pPr>
            <w:r w:rsidRPr="00427725">
              <w:rPr>
                <w:rFonts w:ascii="VIC" w:eastAsia="Verdana" w:hAnsi="VIC"/>
                <w:color w:val="000000"/>
                <w:sz w:val="18"/>
                <w:szCs w:val="18"/>
              </w:rPr>
              <w:t>29 %</w:t>
            </w:r>
          </w:p>
        </w:tc>
        <w:tc>
          <w:tcPr>
            <w:tcW w:w="1213" w:type="dxa"/>
          </w:tcPr>
          <w:p w14:paraId="57F85995" w14:textId="181BF5D3" w:rsidR="00847E82" w:rsidRPr="005B1FEF" w:rsidRDefault="00847E82" w:rsidP="00847E82">
            <w:pPr>
              <w:jc w:val="center"/>
              <w:rPr>
                <w:rFonts w:ascii="VIC" w:hAnsi="VIC"/>
                <w:sz w:val="18"/>
                <w:szCs w:val="18"/>
              </w:rPr>
            </w:pPr>
            <w:r w:rsidRPr="00427725">
              <w:rPr>
                <w:rFonts w:ascii="VIC" w:eastAsia="Verdana" w:hAnsi="VIC"/>
                <w:color w:val="000000"/>
                <w:sz w:val="18"/>
                <w:szCs w:val="18"/>
              </w:rPr>
              <w:t>22 %</w:t>
            </w:r>
          </w:p>
        </w:tc>
      </w:tr>
      <w:tr w:rsidR="00847E82" w:rsidRPr="00A6366B" w14:paraId="3FE52CB8" w14:textId="77777777" w:rsidTr="003330EE">
        <w:trPr>
          <w:trHeight w:val="340"/>
        </w:trPr>
        <w:tc>
          <w:tcPr>
            <w:tcW w:w="2135" w:type="dxa"/>
            <w:vMerge/>
          </w:tcPr>
          <w:p w14:paraId="0368699D" w14:textId="77777777" w:rsidR="00847E82" w:rsidRPr="00382424" w:rsidRDefault="00847E82" w:rsidP="00847E82">
            <w:pPr>
              <w:pStyle w:val="DHHStabletext"/>
              <w:spacing w:before="0" w:after="0"/>
              <w:rPr>
                <w:rFonts w:ascii="VIC" w:hAnsi="VIC"/>
                <w:sz w:val="18"/>
                <w:szCs w:val="18"/>
              </w:rPr>
            </w:pPr>
          </w:p>
        </w:tc>
        <w:tc>
          <w:tcPr>
            <w:tcW w:w="2695" w:type="dxa"/>
          </w:tcPr>
          <w:p w14:paraId="57A85B50" w14:textId="6A51747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West (Broadmeadows)</w:t>
            </w:r>
          </w:p>
        </w:tc>
        <w:tc>
          <w:tcPr>
            <w:tcW w:w="1212" w:type="dxa"/>
          </w:tcPr>
          <w:p w14:paraId="70C3FD80" w14:textId="51EEBF18" w:rsidR="00847E82" w:rsidRPr="005B1FEF" w:rsidRDefault="00847E82" w:rsidP="00847E82">
            <w:pPr>
              <w:jc w:val="center"/>
              <w:rPr>
                <w:rFonts w:ascii="VIC" w:hAnsi="VIC"/>
                <w:sz w:val="18"/>
                <w:szCs w:val="18"/>
              </w:rPr>
            </w:pPr>
            <w:r w:rsidRPr="00427725">
              <w:rPr>
                <w:rFonts w:ascii="VIC" w:eastAsia="Verdana" w:hAnsi="VIC"/>
                <w:color w:val="000000"/>
                <w:sz w:val="18"/>
                <w:szCs w:val="18"/>
              </w:rPr>
              <w:t>2.5</w:t>
            </w:r>
          </w:p>
        </w:tc>
        <w:tc>
          <w:tcPr>
            <w:tcW w:w="1213" w:type="dxa"/>
          </w:tcPr>
          <w:p w14:paraId="29E117DB" w14:textId="4F25D3D5"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213" w:type="dxa"/>
          </w:tcPr>
          <w:p w14:paraId="3B5CE5E1" w14:textId="793C8398"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213" w:type="dxa"/>
          </w:tcPr>
          <w:p w14:paraId="75EBC0DA" w14:textId="219149AB" w:rsidR="00847E82" w:rsidRPr="005B1FEF" w:rsidRDefault="00847E82" w:rsidP="00847E82">
            <w:pPr>
              <w:jc w:val="center"/>
              <w:rPr>
                <w:rFonts w:ascii="VIC" w:hAnsi="VIC"/>
                <w:sz w:val="18"/>
                <w:szCs w:val="18"/>
              </w:rPr>
            </w:pPr>
            <w:r w:rsidRPr="00427725">
              <w:rPr>
                <w:rFonts w:ascii="VIC" w:eastAsia="Verdana" w:hAnsi="VIC"/>
                <w:color w:val="000000"/>
                <w:sz w:val="18"/>
                <w:szCs w:val="18"/>
              </w:rPr>
              <w:t>228.8</w:t>
            </w:r>
          </w:p>
        </w:tc>
        <w:tc>
          <w:tcPr>
            <w:tcW w:w="1212" w:type="dxa"/>
          </w:tcPr>
          <w:p w14:paraId="70525C69" w14:textId="5DC3EAE1" w:rsidR="00847E82" w:rsidRPr="005B1FEF" w:rsidRDefault="00847E82" w:rsidP="00847E82">
            <w:pPr>
              <w:jc w:val="center"/>
              <w:rPr>
                <w:rFonts w:ascii="VIC" w:hAnsi="VIC"/>
                <w:sz w:val="18"/>
                <w:szCs w:val="18"/>
              </w:rPr>
            </w:pPr>
            <w:r w:rsidRPr="00427725">
              <w:rPr>
                <w:rFonts w:ascii="VIC" w:eastAsia="Verdana" w:hAnsi="VIC"/>
                <w:color w:val="000000"/>
                <w:sz w:val="18"/>
                <w:szCs w:val="18"/>
              </w:rPr>
              <w:t>39 %</w:t>
            </w:r>
          </w:p>
        </w:tc>
        <w:tc>
          <w:tcPr>
            <w:tcW w:w="1213" w:type="dxa"/>
          </w:tcPr>
          <w:p w14:paraId="22B013AB" w14:textId="401697B3"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213" w:type="dxa"/>
          </w:tcPr>
          <w:p w14:paraId="57EF53C6" w14:textId="3DC67F53" w:rsidR="00847E82" w:rsidRPr="005B1FEF" w:rsidRDefault="00847E82" w:rsidP="00847E82">
            <w:pPr>
              <w:jc w:val="center"/>
              <w:rPr>
                <w:rFonts w:ascii="VIC" w:hAnsi="VIC"/>
                <w:sz w:val="18"/>
                <w:szCs w:val="18"/>
              </w:rPr>
            </w:pPr>
            <w:r w:rsidRPr="00427725">
              <w:rPr>
                <w:rFonts w:ascii="VIC" w:eastAsia="Verdana" w:hAnsi="VIC"/>
                <w:color w:val="000000"/>
                <w:sz w:val="18"/>
                <w:szCs w:val="18"/>
              </w:rPr>
              <w:t>10.8</w:t>
            </w:r>
          </w:p>
        </w:tc>
        <w:tc>
          <w:tcPr>
            <w:tcW w:w="1213" w:type="dxa"/>
          </w:tcPr>
          <w:p w14:paraId="136DA5CE" w14:textId="030F7011"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213" w:type="dxa"/>
          </w:tcPr>
          <w:p w14:paraId="707E7F43" w14:textId="024AF8A6" w:rsidR="00847E82" w:rsidRPr="005B1FEF" w:rsidRDefault="00847E82" w:rsidP="00847E82">
            <w:pPr>
              <w:jc w:val="center"/>
              <w:rPr>
                <w:rFonts w:ascii="VIC" w:hAnsi="VIC"/>
                <w:sz w:val="18"/>
                <w:szCs w:val="18"/>
              </w:rPr>
            </w:pPr>
            <w:r w:rsidRPr="00427725">
              <w:rPr>
                <w:rFonts w:ascii="VIC" w:eastAsia="Verdana" w:hAnsi="VIC"/>
                <w:color w:val="000000"/>
                <w:sz w:val="18"/>
                <w:szCs w:val="18"/>
              </w:rPr>
              <w:t>78 %</w:t>
            </w:r>
          </w:p>
        </w:tc>
      </w:tr>
      <w:tr w:rsidR="00847E82" w:rsidRPr="00A6366B" w14:paraId="269A3932" w14:textId="77777777" w:rsidTr="003330EE">
        <w:trPr>
          <w:trHeight w:val="340"/>
        </w:trPr>
        <w:tc>
          <w:tcPr>
            <w:tcW w:w="2135" w:type="dxa"/>
            <w:vMerge/>
          </w:tcPr>
          <w:p w14:paraId="55F16097" w14:textId="77777777" w:rsidR="00847E82" w:rsidRPr="00382424" w:rsidRDefault="00847E82" w:rsidP="00847E82">
            <w:pPr>
              <w:pStyle w:val="DHHStabletext"/>
              <w:spacing w:before="0" w:after="0"/>
              <w:rPr>
                <w:rFonts w:ascii="VIC" w:hAnsi="VIC"/>
                <w:sz w:val="18"/>
                <w:szCs w:val="18"/>
              </w:rPr>
            </w:pPr>
          </w:p>
        </w:tc>
        <w:tc>
          <w:tcPr>
            <w:tcW w:w="2695" w:type="dxa"/>
          </w:tcPr>
          <w:p w14:paraId="28136137" w14:textId="3733BBE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Northern</w:t>
            </w:r>
          </w:p>
        </w:tc>
        <w:tc>
          <w:tcPr>
            <w:tcW w:w="1212" w:type="dxa"/>
          </w:tcPr>
          <w:p w14:paraId="0A854517" w14:textId="56BB4481" w:rsidR="00847E82" w:rsidRPr="005B1FEF" w:rsidRDefault="00847E82" w:rsidP="00847E82">
            <w:pPr>
              <w:jc w:val="center"/>
              <w:rPr>
                <w:rFonts w:ascii="VIC" w:hAnsi="VIC"/>
                <w:sz w:val="18"/>
                <w:szCs w:val="18"/>
              </w:rPr>
            </w:pPr>
            <w:r w:rsidRPr="00427725">
              <w:rPr>
                <w:rFonts w:ascii="VIC" w:eastAsia="Verdana" w:hAnsi="VIC"/>
                <w:color w:val="000000"/>
                <w:sz w:val="18"/>
                <w:szCs w:val="18"/>
              </w:rPr>
              <w:t>2.4</w:t>
            </w:r>
          </w:p>
        </w:tc>
        <w:tc>
          <w:tcPr>
            <w:tcW w:w="1213" w:type="dxa"/>
          </w:tcPr>
          <w:p w14:paraId="35B8291F" w14:textId="693FDF1B"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750E52B7" w14:textId="525EEB45"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tcPr>
          <w:p w14:paraId="4188291F" w14:textId="1E749574" w:rsidR="00847E82" w:rsidRPr="005B1FEF" w:rsidRDefault="00847E82" w:rsidP="00847E82">
            <w:pPr>
              <w:jc w:val="center"/>
              <w:rPr>
                <w:rFonts w:ascii="VIC" w:hAnsi="VIC"/>
                <w:sz w:val="18"/>
                <w:szCs w:val="18"/>
              </w:rPr>
            </w:pPr>
            <w:r w:rsidRPr="00427725">
              <w:rPr>
                <w:rFonts w:ascii="VIC" w:eastAsia="Verdana" w:hAnsi="VIC"/>
                <w:color w:val="000000"/>
                <w:sz w:val="18"/>
                <w:szCs w:val="18"/>
              </w:rPr>
              <w:t>592.3</w:t>
            </w:r>
          </w:p>
        </w:tc>
        <w:tc>
          <w:tcPr>
            <w:tcW w:w="1212" w:type="dxa"/>
          </w:tcPr>
          <w:p w14:paraId="1F9E60CE" w14:textId="79963F61" w:rsidR="00847E82" w:rsidRPr="005B1FEF" w:rsidRDefault="00847E82" w:rsidP="00847E82">
            <w:pPr>
              <w:jc w:val="center"/>
              <w:rPr>
                <w:rFonts w:ascii="VIC" w:hAnsi="VIC"/>
                <w:sz w:val="18"/>
                <w:szCs w:val="18"/>
              </w:rPr>
            </w:pPr>
            <w:r w:rsidRPr="00427725">
              <w:rPr>
                <w:rFonts w:ascii="VIC" w:eastAsia="Verdana" w:hAnsi="VIC"/>
                <w:color w:val="000000"/>
                <w:sz w:val="18"/>
                <w:szCs w:val="18"/>
              </w:rPr>
              <w:t>55 %</w:t>
            </w:r>
          </w:p>
        </w:tc>
        <w:tc>
          <w:tcPr>
            <w:tcW w:w="1213" w:type="dxa"/>
          </w:tcPr>
          <w:p w14:paraId="19F490CF" w14:textId="140A6DF1"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213" w:type="dxa"/>
          </w:tcPr>
          <w:p w14:paraId="56642419" w14:textId="6F287A35" w:rsidR="00847E82" w:rsidRPr="005B1FEF" w:rsidRDefault="00847E82" w:rsidP="00847E82">
            <w:pPr>
              <w:jc w:val="center"/>
              <w:rPr>
                <w:rFonts w:ascii="VIC" w:hAnsi="VIC"/>
                <w:sz w:val="18"/>
                <w:szCs w:val="18"/>
              </w:rPr>
            </w:pPr>
            <w:r w:rsidRPr="00427725">
              <w:rPr>
                <w:rFonts w:ascii="VIC" w:eastAsia="Verdana" w:hAnsi="VIC"/>
                <w:color w:val="000000"/>
                <w:sz w:val="18"/>
                <w:szCs w:val="18"/>
              </w:rPr>
              <w:t>13.2</w:t>
            </w:r>
          </w:p>
        </w:tc>
        <w:tc>
          <w:tcPr>
            <w:tcW w:w="1213" w:type="dxa"/>
          </w:tcPr>
          <w:p w14:paraId="5AC9B72F" w14:textId="7EE54447" w:rsidR="00847E82" w:rsidRPr="005B1FEF" w:rsidRDefault="00847E82" w:rsidP="00847E82">
            <w:pPr>
              <w:jc w:val="center"/>
              <w:rPr>
                <w:rFonts w:ascii="VIC" w:hAnsi="VIC"/>
                <w:sz w:val="18"/>
                <w:szCs w:val="18"/>
              </w:rPr>
            </w:pPr>
            <w:r w:rsidRPr="00427725">
              <w:rPr>
                <w:rFonts w:ascii="VIC" w:eastAsia="Verdana" w:hAnsi="VIC"/>
                <w:color w:val="000000"/>
                <w:sz w:val="18"/>
                <w:szCs w:val="18"/>
              </w:rPr>
              <w:t>49 %</w:t>
            </w:r>
          </w:p>
        </w:tc>
        <w:tc>
          <w:tcPr>
            <w:tcW w:w="1213" w:type="dxa"/>
          </w:tcPr>
          <w:p w14:paraId="078579B1" w14:textId="3C794FE7" w:rsidR="00847E82" w:rsidRPr="005B1FEF" w:rsidRDefault="00847E82" w:rsidP="00847E82">
            <w:pPr>
              <w:jc w:val="center"/>
              <w:rPr>
                <w:rFonts w:ascii="VIC" w:hAnsi="VIC"/>
                <w:sz w:val="18"/>
                <w:szCs w:val="18"/>
              </w:rPr>
            </w:pPr>
            <w:r w:rsidRPr="00427725">
              <w:rPr>
                <w:rFonts w:ascii="VIC" w:eastAsia="Verdana" w:hAnsi="VIC"/>
                <w:color w:val="000000"/>
                <w:sz w:val="18"/>
                <w:szCs w:val="18"/>
              </w:rPr>
              <w:t>30 %</w:t>
            </w:r>
          </w:p>
        </w:tc>
      </w:tr>
      <w:tr w:rsidR="00847E82" w:rsidRPr="00A6366B" w14:paraId="44600401" w14:textId="77777777" w:rsidTr="003330EE">
        <w:trPr>
          <w:trHeight w:val="340"/>
        </w:trPr>
        <w:tc>
          <w:tcPr>
            <w:tcW w:w="2135" w:type="dxa"/>
            <w:vMerge/>
          </w:tcPr>
          <w:p w14:paraId="0590E7FE" w14:textId="77777777" w:rsidR="00847E82" w:rsidRPr="00382424" w:rsidRDefault="00847E82" w:rsidP="00847E82">
            <w:pPr>
              <w:pStyle w:val="DHHStabletext"/>
              <w:spacing w:before="0" w:after="0"/>
              <w:rPr>
                <w:rFonts w:ascii="VIC" w:hAnsi="VIC"/>
                <w:sz w:val="18"/>
                <w:szCs w:val="18"/>
              </w:rPr>
            </w:pPr>
          </w:p>
        </w:tc>
        <w:tc>
          <w:tcPr>
            <w:tcW w:w="2695" w:type="dxa"/>
          </w:tcPr>
          <w:p w14:paraId="2320B0ED" w14:textId="03A11AC6"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212" w:type="dxa"/>
          </w:tcPr>
          <w:p w14:paraId="383029AC" w14:textId="568CBF92" w:rsidR="00847E82" w:rsidRPr="005B1FEF" w:rsidRDefault="00847E82" w:rsidP="00847E82">
            <w:pPr>
              <w:jc w:val="center"/>
              <w:rPr>
                <w:rFonts w:ascii="VIC" w:hAnsi="VIC"/>
                <w:sz w:val="18"/>
                <w:szCs w:val="18"/>
              </w:rPr>
            </w:pPr>
            <w:r w:rsidRPr="00427725">
              <w:rPr>
                <w:rFonts w:ascii="VIC" w:eastAsia="Verdana" w:hAnsi="VIC"/>
                <w:color w:val="000000"/>
                <w:sz w:val="18"/>
                <w:szCs w:val="18"/>
              </w:rPr>
              <w:t>2.5</w:t>
            </w:r>
          </w:p>
        </w:tc>
        <w:tc>
          <w:tcPr>
            <w:tcW w:w="1213" w:type="dxa"/>
          </w:tcPr>
          <w:p w14:paraId="2ABB8074" w14:textId="709E333B"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763BBB3A" w14:textId="00204D8E"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213" w:type="dxa"/>
          </w:tcPr>
          <w:p w14:paraId="6C8A9F25" w14:textId="724C0272" w:rsidR="00847E82" w:rsidRPr="005B1FEF" w:rsidRDefault="00847E82" w:rsidP="00847E82">
            <w:pPr>
              <w:jc w:val="center"/>
              <w:rPr>
                <w:rFonts w:ascii="VIC" w:hAnsi="VIC"/>
                <w:sz w:val="18"/>
                <w:szCs w:val="18"/>
              </w:rPr>
            </w:pPr>
            <w:r w:rsidRPr="00427725">
              <w:rPr>
                <w:rFonts w:ascii="VIC" w:eastAsia="Verdana" w:hAnsi="VIC"/>
                <w:color w:val="000000"/>
                <w:sz w:val="18"/>
                <w:szCs w:val="18"/>
              </w:rPr>
              <w:t>345.3</w:t>
            </w:r>
          </w:p>
        </w:tc>
        <w:tc>
          <w:tcPr>
            <w:tcW w:w="1212" w:type="dxa"/>
          </w:tcPr>
          <w:p w14:paraId="1D08510B" w14:textId="6906C2A7" w:rsidR="00847E82" w:rsidRPr="005B1FEF" w:rsidRDefault="00847E82" w:rsidP="00847E82">
            <w:pPr>
              <w:jc w:val="center"/>
              <w:rPr>
                <w:rFonts w:ascii="VIC" w:hAnsi="VIC"/>
                <w:sz w:val="18"/>
                <w:szCs w:val="18"/>
              </w:rPr>
            </w:pPr>
            <w:r w:rsidRPr="00427725">
              <w:rPr>
                <w:rFonts w:ascii="VIC" w:eastAsia="Verdana" w:hAnsi="VIC"/>
                <w:color w:val="000000"/>
                <w:sz w:val="18"/>
                <w:szCs w:val="18"/>
              </w:rPr>
              <w:t>43 %</w:t>
            </w:r>
          </w:p>
        </w:tc>
        <w:tc>
          <w:tcPr>
            <w:tcW w:w="1213" w:type="dxa"/>
          </w:tcPr>
          <w:p w14:paraId="6319DD8C" w14:textId="436676D4"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213" w:type="dxa"/>
          </w:tcPr>
          <w:p w14:paraId="725539CB" w14:textId="4CE98E03" w:rsidR="00847E82" w:rsidRPr="005B1FEF" w:rsidRDefault="00847E82" w:rsidP="00847E82">
            <w:pPr>
              <w:jc w:val="center"/>
              <w:rPr>
                <w:rFonts w:ascii="VIC" w:hAnsi="VIC"/>
                <w:sz w:val="18"/>
                <w:szCs w:val="18"/>
              </w:rPr>
            </w:pPr>
            <w:r w:rsidRPr="00427725">
              <w:rPr>
                <w:rFonts w:ascii="VIC" w:eastAsia="Verdana" w:hAnsi="VIC"/>
                <w:color w:val="000000"/>
                <w:sz w:val="18"/>
                <w:szCs w:val="18"/>
              </w:rPr>
              <w:t>13.0</w:t>
            </w:r>
          </w:p>
        </w:tc>
        <w:tc>
          <w:tcPr>
            <w:tcW w:w="1213" w:type="dxa"/>
          </w:tcPr>
          <w:p w14:paraId="4A971D34" w14:textId="36F9F19E" w:rsidR="00847E82" w:rsidRPr="005B1FEF" w:rsidRDefault="00847E82" w:rsidP="00847E82">
            <w:pPr>
              <w:jc w:val="center"/>
              <w:rPr>
                <w:rFonts w:ascii="VIC" w:hAnsi="VIC"/>
                <w:sz w:val="18"/>
                <w:szCs w:val="18"/>
              </w:rPr>
            </w:pPr>
            <w:r w:rsidRPr="00427725">
              <w:rPr>
                <w:rFonts w:ascii="VIC" w:eastAsia="Verdana" w:hAnsi="VIC"/>
                <w:color w:val="000000"/>
                <w:sz w:val="18"/>
                <w:szCs w:val="18"/>
              </w:rPr>
              <w:t>52 %</w:t>
            </w:r>
          </w:p>
        </w:tc>
        <w:tc>
          <w:tcPr>
            <w:tcW w:w="1213" w:type="dxa"/>
          </w:tcPr>
          <w:p w14:paraId="2248227E" w14:textId="2DB6FCC9" w:rsidR="00847E82" w:rsidRPr="005B1FEF" w:rsidRDefault="00847E82" w:rsidP="00847E82">
            <w:pPr>
              <w:jc w:val="center"/>
              <w:rPr>
                <w:rFonts w:ascii="VIC" w:hAnsi="VIC"/>
                <w:sz w:val="18"/>
                <w:szCs w:val="18"/>
              </w:rPr>
            </w:pPr>
            <w:r w:rsidRPr="00427725">
              <w:rPr>
                <w:rFonts w:ascii="VIC" w:eastAsia="Verdana" w:hAnsi="VIC"/>
                <w:color w:val="000000"/>
                <w:sz w:val="18"/>
                <w:szCs w:val="18"/>
              </w:rPr>
              <w:t>42 %</w:t>
            </w:r>
          </w:p>
        </w:tc>
      </w:tr>
      <w:tr w:rsidR="00847E82" w:rsidRPr="00A6366B" w14:paraId="59CCA529" w14:textId="77777777" w:rsidTr="003330EE">
        <w:trPr>
          <w:trHeight w:val="340"/>
        </w:trPr>
        <w:tc>
          <w:tcPr>
            <w:tcW w:w="2135" w:type="dxa"/>
            <w:vMerge w:val="restart"/>
            <w:shd w:val="clear" w:color="auto" w:fill="BFCED6"/>
          </w:tcPr>
          <w:p w14:paraId="3286781A" w14:textId="5AF001F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Monash Health</w:t>
            </w:r>
          </w:p>
        </w:tc>
        <w:tc>
          <w:tcPr>
            <w:tcW w:w="2695" w:type="dxa"/>
            <w:shd w:val="clear" w:color="auto" w:fill="BFCED6"/>
          </w:tcPr>
          <w:p w14:paraId="6BBA39D6" w14:textId="5F690D0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Dandenong</w:t>
            </w:r>
          </w:p>
        </w:tc>
        <w:tc>
          <w:tcPr>
            <w:tcW w:w="1212" w:type="dxa"/>
            <w:shd w:val="clear" w:color="auto" w:fill="BFCED6"/>
          </w:tcPr>
          <w:p w14:paraId="6249B004" w14:textId="5C24AFC3" w:rsidR="00847E82" w:rsidRPr="005B1FEF" w:rsidRDefault="00847E82" w:rsidP="00847E82">
            <w:pPr>
              <w:jc w:val="center"/>
              <w:rPr>
                <w:rFonts w:ascii="VIC" w:hAnsi="VIC"/>
                <w:sz w:val="18"/>
                <w:szCs w:val="18"/>
              </w:rPr>
            </w:pPr>
            <w:r w:rsidRPr="00427725">
              <w:rPr>
                <w:rFonts w:ascii="VIC" w:eastAsia="Verdana" w:hAnsi="VIC"/>
                <w:color w:val="000000"/>
                <w:sz w:val="18"/>
                <w:szCs w:val="18"/>
              </w:rPr>
              <w:t>2.9</w:t>
            </w:r>
          </w:p>
        </w:tc>
        <w:tc>
          <w:tcPr>
            <w:tcW w:w="1213" w:type="dxa"/>
            <w:shd w:val="clear" w:color="auto" w:fill="BFCED6"/>
          </w:tcPr>
          <w:p w14:paraId="3FF26B3C" w14:textId="0677A1DD" w:rsidR="00847E82" w:rsidRPr="005B1FEF" w:rsidRDefault="00847E82" w:rsidP="00847E82">
            <w:pPr>
              <w:jc w:val="center"/>
              <w:rPr>
                <w:rFonts w:ascii="VIC" w:hAnsi="VIC"/>
                <w:sz w:val="18"/>
                <w:szCs w:val="18"/>
              </w:rPr>
            </w:pPr>
            <w:r w:rsidRPr="00427725">
              <w:rPr>
                <w:rFonts w:ascii="VIC" w:eastAsia="Verdana" w:hAnsi="VIC"/>
                <w:color w:val="000000"/>
                <w:sz w:val="18"/>
                <w:szCs w:val="18"/>
              </w:rPr>
              <w:t>92 %</w:t>
            </w:r>
          </w:p>
        </w:tc>
        <w:tc>
          <w:tcPr>
            <w:tcW w:w="1213" w:type="dxa"/>
            <w:shd w:val="clear" w:color="auto" w:fill="BFCED6"/>
          </w:tcPr>
          <w:p w14:paraId="5208B835" w14:textId="36893C7B"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338FBA2C" w14:textId="49E20011" w:rsidR="00847E82" w:rsidRPr="005B1FEF" w:rsidRDefault="00847E82" w:rsidP="00847E82">
            <w:pPr>
              <w:jc w:val="center"/>
              <w:rPr>
                <w:rFonts w:ascii="VIC" w:hAnsi="VIC"/>
                <w:sz w:val="18"/>
                <w:szCs w:val="18"/>
              </w:rPr>
            </w:pPr>
            <w:r w:rsidRPr="00427725">
              <w:rPr>
                <w:rFonts w:ascii="VIC" w:eastAsia="Verdana" w:hAnsi="VIC"/>
                <w:color w:val="000000"/>
                <w:sz w:val="18"/>
                <w:szCs w:val="18"/>
              </w:rPr>
              <w:t>352.1</w:t>
            </w:r>
          </w:p>
        </w:tc>
        <w:tc>
          <w:tcPr>
            <w:tcW w:w="1212" w:type="dxa"/>
            <w:shd w:val="clear" w:color="auto" w:fill="BFCED6"/>
          </w:tcPr>
          <w:p w14:paraId="2BE5F98F" w14:textId="7E296DA7" w:rsidR="00847E82" w:rsidRPr="005B1FEF" w:rsidRDefault="00847E82" w:rsidP="00847E82">
            <w:pPr>
              <w:jc w:val="center"/>
              <w:rPr>
                <w:rFonts w:ascii="VIC" w:hAnsi="VIC"/>
                <w:sz w:val="18"/>
                <w:szCs w:val="18"/>
              </w:rPr>
            </w:pPr>
            <w:r w:rsidRPr="00427725">
              <w:rPr>
                <w:rFonts w:ascii="VIC" w:eastAsia="Verdana" w:hAnsi="VIC"/>
                <w:color w:val="000000"/>
                <w:sz w:val="18"/>
                <w:szCs w:val="18"/>
              </w:rPr>
              <w:t>62 %</w:t>
            </w:r>
          </w:p>
        </w:tc>
        <w:tc>
          <w:tcPr>
            <w:tcW w:w="1213" w:type="dxa"/>
            <w:shd w:val="clear" w:color="auto" w:fill="BFCED6"/>
          </w:tcPr>
          <w:p w14:paraId="30A3B90B" w14:textId="1660ABF0" w:rsidR="00847E82" w:rsidRPr="005B1FEF" w:rsidRDefault="00847E82" w:rsidP="00847E82">
            <w:pPr>
              <w:jc w:val="center"/>
              <w:rPr>
                <w:rFonts w:ascii="VIC" w:hAnsi="VIC"/>
                <w:sz w:val="18"/>
                <w:szCs w:val="18"/>
              </w:rPr>
            </w:pPr>
            <w:r w:rsidRPr="00427725">
              <w:rPr>
                <w:rFonts w:ascii="VIC" w:eastAsia="Verdana" w:hAnsi="VIC"/>
                <w:color w:val="000000"/>
                <w:sz w:val="18"/>
                <w:szCs w:val="18"/>
              </w:rPr>
              <w:t>87 %</w:t>
            </w:r>
          </w:p>
        </w:tc>
        <w:tc>
          <w:tcPr>
            <w:tcW w:w="1213" w:type="dxa"/>
            <w:shd w:val="clear" w:color="auto" w:fill="BFCED6"/>
          </w:tcPr>
          <w:p w14:paraId="13FEA986" w14:textId="15B0CADD" w:rsidR="00847E82" w:rsidRPr="005B1FEF" w:rsidRDefault="00847E82" w:rsidP="00847E82">
            <w:pPr>
              <w:jc w:val="center"/>
              <w:rPr>
                <w:rFonts w:ascii="VIC" w:hAnsi="VIC"/>
                <w:sz w:val="18"/>
                <w:szCs w:val="18"/>
              </w:rPr>
            </w:pPr>
            <w:r w:rsidRPr="00427725">
              <w:rPr>
                <w:rFonts w:ascii="VIC" w:eastAsia="Verdana" w:hAnsi="VIC"/>
                <w:color w:val="000000"/>
                <w:sz w:val="18"/>
                <w:szCs w:val="18"/>
              </w:rPr>
              <w:t>20.2</w:t>
            </w:r>
          </w:p>
        </w:tc>
        <w:tc>
          <w:tcPr>
            <w:tcW w:w="1213" w:type="dxa"/>
            <w:shd w:val="clear" w:color="auto" w:fill="BFCED6"/>
          </w:tcPr>
          <w:p w14:paraId="2BBA3AF2" w14:textId="3A634E5C" w:rsidR="00847E82" w:rsidRPr="005B1FEF" w:rsidRDefault="00847E82" w:rsidP="00847E82">
            <w:pPr>
              <w:jc w:val="center"/>
              <w:rPr>
                <w:rFonts w:ascii="VIC" w:hAnsi="VIC"/>
                <w:sz w:val="18"/>
                <w:szCs w:val="18"/>
              </w:rPr>
            </w:pPr>
            <w:r w:rsidRPr="00427725">
              <w:rPr>
                <w:rFonts w:ascii="VIC" w:eastAsia="Verdana" w:hAnsi="VIC"/>
                <w:color w:val="000000"/>
                <w:sz w:val="18"/>
                <w:szCs w:val="18"/>
              </w:rPr>
              <w:t>73 %</w:t>
            </w:r>
          </w:p>
        </w:tc>
        <w:tc>
          <w:tcPr>
            <w:tcW w:w="1213" w:type="dxa"/>
            <w:shd w:val="clear" w:color="auto" w:fill="BFCED6"/>
          </w:tcPr>
          <w:p w14:paraId="22741169" w14:textId="0EC2039B" w:rsidR="00847E82" w:rsidRPr="005B1FEF" w:rsidRDefault="00847E82" w:rsidP="00847E82">
            <w:pPr>
              <w:jc w:val="center"/>
              <w:rPr>
                <w:rFonts w:ascii="VIC" w:hAnsi="VIC"/>
                <w:sz w:val="18"/>
                <w:szCs w:val="18"/>
              </w:rPr>
            </w:pPr>
            <w:r w:rsidRPr="00427725">
              <w:rPr>
                <w:rFonts w:ascii="VIC" w:eastAsia="Verdana" w:hAnsi="VIC"/>
                <w:color w:val="000000"/>
                <w:sz w:val="18"/>
                <w:szCs w:val="18"/>
              </w:rPr>
              <w:t>50 %</w:t>
            </w:r>
          </w:p>
        </w:tc>
      </w:tr>
      <w:tr w:rsidR="00847E82" w:rsidRPr="00A6366B" w14:paraId="4C13DF75" w14:textId="77777777" w:rsidTr="003330EE">
        <w:trPr>
          <w:trHeight w:val="340"/>
        </w:trPr>
        <w:tc>
          <w:tcPr>
            <w:tcW w:w="2135" w:type="dxa"/>
            <w:vMerge/>
            <w:shd w:val="clear" w:color="auto" w:fill="BFCED6"/>
          </w:tcPr>
          <w:p w14:paraId="1AE902B1"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7819103F" w14:textId="5B19CE64" w:rsidR="00847E82" w:rsidRPr="00382424" w:rsidRDefault="00847E82" w:rsidP="00847E82">
            <w:pPr>
              <w:pStyle w:val="DHHStabletext"/>
              <w:spacing w:before="0" w:after="0"/>
              <w:rPr>
                <w:rFonts w:ascii="VIC" w:hAnsi="VIC"/>
                <w:w w:val="105"/>
                <w:sz w:val="18"/>
                <w:szCs w:val="18"/>
              </w:rPr>
            </w:pPr>
            <w:r w:rsidRPr="00427725">
              <w:rPr>
                <w:rFonts w:ascii="VIC" w:eastAsia="Verdana" w:hAnsi="VIC"/>
                <w:color w:val="000000"/>
                <w:sz w:val="18"/>
                <w:szCs w:val="18"/>
              </w:rPr>
              <w:t>Middle South (Monash Adult)</w:t>
            </w:r>
          </w:p>
        </w:tc>
        <w:tc>
          <w:tcPr>
            <w:tcW w:w="1212" w:type="dxa"/>
            <w:shd w:val="clear" w:color="auto" w:fill="BFCED6"/>
          </w:tcPr>
          <w:p w14:paraId="749139D1" w14:textId="080FADE5" w:rsidR="00847E82" w:rsidRPr="005B1FEF" w:rsidRDefault="00847E82" w:rsidP="00847E82">
            <w:pPr>
              <w:jc w:val="center"/>
              <w:rPr>
                <w:rFonts w:ascii="VIC" w:hAnsi="VIC"/>
                <w:sz w:val="18"/>
                <w:szCs w:val="18"/>
              </w:rPr>
            </w:pPr>
            <w:r w:rsidRPr="00427725">
              <w:rPr>
                <w:rFonts w:ascii="VIC" w:eastAsia="Verdana" w:hAnsi="VIC"/>
                <w:color w:val="000000"/>
                <w:sz w:val="18"/>
                <w:szCs w:val="18"/>
              </w:rPr>
              <w:t>2.9</w:t>
            </w:r>
          </w:p>
        </w:tc>
        <w:tc>
          <w:tcPr>
            <w:tcW w:w="1213" w:type="dxa"/>
            <w:shd w:val="clear" w:color="auto" w:fill="BFCED6"/>
          </w:tcPr>
          <w:p w14:paraId="02640DBA" w14:textId="5C8EDC51"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shd w:val="clear" w:color="auto" w:fill="BFCED6"/>
          </w:tcPr>
          <w:p w14:paraId="536F435A" w14:textId="6FA6FD1E"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6E77C908" w14:textId="7449651A" w:rsidR="00847E82" w:rsidRPr="005B1FEF" w:rsidRDefault="00847E82" w:rsidP="00847E82">
            <w:pPr>
              <w:jc w:val="center"/>
              <w:rPr>
                <w:rFonts w:ascii="VIC" w:hAnsi="VIC"/>
                <w:sz w:val="18"/>
                <w:szCs w:val="18"/>
              </w:rPr>
            </w:pPr>
            <w:r w:rsidRPr="00427725">
              <w:rPr>
                <w:rFonts w:ascii="VIC" w:eastAsia="Verdana" w:hAnsi="VIC"/>
                <w:color w:val="000000"/>
                <w:sz w:val="18"/>
                <w:szCs w:val="18"/>
              </w:rPr>
              <w:t>280.6</w:t>
            </w:r>
          </w:p>
        </w:tc>
        <w:tc>
          <w:tcPr>
            <w:tcW w:w="1212" w:type="dxa"/>
            <w:shd w:val="clear" w:color="auto" w:fill="BFCED6"/>
          </w:tcPr>
          <w:p w14:paraId="046839FC" w14:textId="3EB8845E" w:rsidR="00847E82" w:rsidRPr="005B1FEF" w:rsidRDefault="00847E82" w:rsidP="00847E82">
            <w:pPr>
              <w:jc w:val="center"/>
              <w:rPr>
                <w:rFonts w:ascii="VIC" w:hAnsi="VIC"/>
                <w:sz w:val="18"/>
                <w:szCs w:val="18"/>
              </w:rPr>
            </w:pPr>
            <w:r w:rsidRPr="00427725">
              <w:rPr>
                <w:rFonts w:ascii="VIC" w:eastAsia="Verdana" w:hAnsi="VIC"/>
                <w:color w:val="000000"/>
                <w:sz w:val="18"/>
                <w:szCs w:val="18"/>
              </w:rPr>
              <w:t>29 %</w:t>
            </w:r>
          </w:p>
        </w:tc>
        <w:tc>
          <w:tcPr>
            <w:tcW w:w="1213" w:type="dxa"/>
            <w:shd w:val="clear" w:color="auto" w:fill="BFCED6"/>
          </w:tcPr>
          <w:p w14:paraId="2D85389D" w14:textId="47BACF9B"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213" w:type="dxa"/>
            <w:shd w:val="clear" w:color="auto" w:fill="BFCED6"/>
          </w:tcPr>
          <w:p w14:paraId="6AD99E1F" w14:textId="64BB55C2" w:rsidR="00847E82" w:rsidRPr="005B1FEF" w:rsidRDefault="00847E82" w:rsidP="00847E82">
            <w:pPr>
              <w:jc w:val="center"/>
              <w:rPr>
                <w:rFonts w:ascii="VIC" w:hAnsi="VIC"/>
                <w:sz w:val="18"/>
                <w:szCs w:val="18"/>
              </w:rPr>
            </w:pPr>
            <w:r w:rsidRPr="00427725">
              <w:rPr>
                <w:rFonts w:ascii="VIC" w:eastAsia="Verdana" w:hAnsi="VIC"/>
                <w:color w:val="000000"/>
                <w:sz w:val="18"/>
                <w:szCs w:val="18"/>
              </w:rPr>
              <w:t>19.0</w:t>
            </w:r>
          </w:p>
        </w:tc>
        <w:tc>
          <w:tcPr>
            <w:tcW w:w="1213" w:type="dxa"/>
            <w:shd w:val="clear" w:color="auto" w:fill="BFCED6"/>
          </w:tcPr>
          <w:p w14:paraId="39940938" w14:textId="01D5D543" w:rsidR="00847E82" w:rsidRPr="005B1FEF" w:rsidRDefault="00847E82" w:rsidP="00847E82">
            <w:pPr>
              <w:jc w:val="center"/>
              <w:rPr>
                <w:rFonts w:ascii="VIC" w:hAnsi="VIC"/>
                <w:sz w:val="18"/>
                <w:szCs w:val="18"/>
              </w:rPr>
            </w:pPr>
            <w:r w:rsidRPr="00427725">
              <w:rPr>
                <w:rFonts w:ascii="VIC" w:eastAsia="Verdana" w:hAnsi="VIC"/>
                <w:color w:val="000000"/>
                <w:sz w:val="18"/>
                <w:szCs w:val="18"/>
              </w:rPr>
              <w:t>74 %</w:t>
            </w:r>
          </w:p>
        </w:tc>
        <w:tc>
          <w:tcPr>
            <w:tcW w:w="1213" w:type="dxa"/>
            <w:shd w:val="clear" w:color="auto" w:fill="BFCED6"/>
          </w:tcPr>
          <w:p w14:paraId="7F3269DA" w14:textId="03632065" w:rsidR="00847E82" w:rsidRPr="005B1FEF" w:rsidRDefault="00847E82" w:rsidP="00847E82">
            <w:pPr>
              <w:jc w:val="center"/>
              <w:rPr>
                <w:rFonts w:ascii="VIC" w:hAnsi="VIC"/>
                <w:sz w:val="18"/>
                <w:szCs w:val="18"/>
              </w:rPr>
            </w:pPr>
            <w:r w:rsidRPr="00427725">
              <w:rPr>
                <w:rFonts w:ascii="VIC" w:eastAsia="Verdana" w:hAnsi="VIC"/>
                <w:color w:val="000000"/>
                <w:sz w:val="18"/>
                <w:szCs w:val="18"/>
              </w:rPr>
              <w:t>59 %</w:t>
            </w:r>
          </w:p>
        </w:tc>
      </w:tr>
      <w:tr w:rsidR="00847E82" w:rsidRPr="00A6366B" w14:paraId="0EEE3330" w14:textId="77777777" w:rsidTr="003330EE">
        <w:trPr>
          <w:trHeight w:val="340"/>
        </w:trPr>
        <w:tc>
          <w:tcPr>
            <w:tcW w:w="2135" w:type="dxa"/>
            <w:vMerge/>
            <w:shd w:val="clear" w:color="auto" w:fill="BFCED6"/>
          </w:tcPr>
          <w:p w14:paraId="317070BC"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41A19EFC" w14:textId="4B1DD2AB"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212" w:type="dxa"/>
            <w:shd w:val="clear" w:color="auto" w:fill="BFCED6"/>
          </w:tcPr>
          <w:p w14:paraId="705CF659" w14:textId="5227CE41" w:rsidR="00847E82" w:rsidRPr="005B1FEF" w:rsidRDefault="00847E82" w:rsidP="00847E82">
            <w:pPr>
              <w:jc w:val="center"/>
              <w:rPr>
                <w:rFonts w:ascii="VIC" w:hAnsi="VIC"/>
                <w:sz w:val="18"/>
                <w:szCs w:val="18"/>
              </w:rPr>
            </w:pPr>
            <w:r w:rsidRPr="00427725">
              <w:rPr>
                <w:rFonts w:ascii="VIC" w:eastAsia="Verdana" w:hAnsi="VIC"/>
                <w:color w:val="000000"/>
                <w:sz w:val="18"/>
                <w:szCs w:val="18"/>
              </w:rPr>
              <w:t>1.9</w:t>
            </w:r>
          </w:p>
        </w:tc>
        <w:tc>
          <w:tcPr>
            <w:tcW w:w="1213" w:type="dxa"/>
            <w:shd w:val="clear" w:color="auto" w:fill="BFCED6"/>
          </w:tcPr>
          <w:p w14:paraId="39639524" w14:textId="5C206848"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213" w:type="dxa"/>
            <w:shd w:val="clear" w:color="auto" w:fill="BFCED6"/>
          </w:tcPr>
          <w:p w14:paraId="3C5D53A1" w14:textId="624D75BC"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635E2140" w14:textId="50AA967F" w:rsidR="00847E82" w:rsidRPr="005B1FEF" w:rsidRDefault="00847E82" w:rsidP="00847E82">
            <w:pPr>
              <w:jc w:val="center"/>
              <w:rPr>
                <w:rFonts w:ascii="VIC" w:hAnsi="VIC"/>
                <w:sz w:val="18"/>
                <w:szCs w:val="18"/>
              </w:rPr>
            </w:pPr>
            <w:r w:rsidRPr="00427725">
              <w:rPr>
                <w:rFonts w:ascii="VIC" w:eastAsia="Verdana" w:hAnsi="VIC"/>
                <w:color w:val="000000"/>
                <w:sz w:val="18"/>
                <w:szCs w:val="18"/>
              </w:rPr>
              <w:t>317.5</w:t>
            </w:r>
          </w:p>
        </w:tc>
        <w:tc>
          <w:tcPr>
            <w:tcW w:w="1212" w:type="dxa"/>
            <w:shd w:val="clear" w:color="auto" w:fill="BFCED6"/>
          </w:tcPr>
          <w:p w14:paraId="2D2E8551" w14:textId="3B5C60E0" w:rsidR="00847E82" w:rsidRPr="005B1FEF" w:rsidRDefault="00847E82" w:rsidP="00847E82">
            <w:pPr>
              <w:jc w:val="center"/>
              <w:rPr>
                <w:rFonts w:ascii="VIC" w:hAnsi="VIC"/>
                <w:sz w:val="18"/>
                <w:szCs w:val="18"/>
              </w:rPr>
            </w:pPr>
            <w:r w:rsidRPr="00427725">
              <w:rPr>
                <w:rFonts w:ascii="VIC" w:eastAsia="Verdana" w:hAnsi="VIC"/>
                <w:color w:val="000000"/>
                <w:sz w:val="18"/>
                <w:szCs w:val="18"/>
              </w:rPr>
              <w:t>48 %</w:t>
            </w:r>
          </w:p>
        </w:tc>
        <w:tc>
          <w:tcPr>
            <w:tcW w:w="1213" w:type="dxa"/>
            <w:shd w:val="clear" w:color="auto" w:fill="BFCED6"/>
          </w:tcPr>
          <w:p w14:paraId="6CBD51EF" w14:textId="61FD49F0"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shd w:val="clear" w:color="auto" w:fill="BFCED6"/>
          </w:tcPr>
          <w:p w14:paraId="35FD320A" w14:textId="4D0A70DA" w:rsidR="00847E82" w:rsidRPr="005B1FEF" w:rsidRDefault="00847E82" w:rsidP="00847E82">
            <w:pPr>
              <w:jc w:val="center"/>
              <w:rPr>
                <w:rFonts w:ascii="VIC" w:hAnsi="VIC"/>
                <w:sz w:val="18"/>
                <w:szCs w:val="18"/>
              </w:rPr>
            </w:pPr>
            <w:r w:rsidRPr="00427725">
              <w:rPr>
                <w:rFonts w:ascii="VIC" w:eastAsia="Verdana" w:hAnsi="VIC"/>
                <w:color w:val="000000"/>
                <w:sz w:val="18"/>
                <w:szCs w:val="18"/>
              </w:rPr>
              <w:t>19.8</w:t>
            </w:r>
          </w:p>
        </w:tc>
        <w:tc>
          <w:tcPr>
            <w:tcW w:w="1213" w:type="dxa"/>
            <w:shd w:val="clear" w:color="auto" w:fill="BFCED6"/>
          </w:tcPr>
          <w:p w14:paraId="4D7578FB" w14:textId="24982DEB" w:rsidR="00847E82" w:rsidRPr="005B1FEF" w:rsidRDefault="00847E82" w:rsidP="00847E82">
            <w:pPr>
              <w:jc w:val="center"/>
              <w:rPr>
                <w:rFonts w:ascii="VIC" w:hAnsi="VIC"/>
                <w:sz w:val="18"/>
                <w:szCs w:val="18"/>
              </w:rPr>
            </w:pPr>
            <w:r w:rsidRPr="00427725">
              <w:rPr>
                <w:rFonts w:ascii="VIC" w:eastAsia="Verdana" w:hAnsi="VIC"/>
                <w:color w:val="000000"/>
                <w:sz w:val="18"/>
                <w:szCs w:val="18"/>
              </w:rPr>
              <w:t>74 %</w:t>
            </w:r>
          </w:p>
        </w:tc>
        <w:tc>
          <w:tcPr>
            <w:tcW w:w="1213" w:type="dxa"/>
            <w:shd w:val="clear" w:color="auto" w:fill="BFCED6"/>
          </w:tcPr>
          <w:p w14:paraId="2EAF1CBC" w14:textId="7D265839" w:rsidR="00847E82" w:rsidRPr="005B1FEF" w:rsidRDefault="00847E82" w:rsidP="00847E82">
            <w:pPr>
              <w:jc w:val="center"/>
              <w:rPr>
                <w:rFonts w:ascii="VIC" w:hAnsi="VIC"/>
                <w:sz w:val="18"/>
                <w:szCs w:val="18"/>
              </w:rPr>
            </w:pPr>
            <w:r w:rsidRPr="00427725">
              <w:rPr>
                <w:rFonts w:ascii="VIC" w:eastAsia="Verdana" w:hAnsi="VIC"/>
                <w:color w:val="000000"/>
                <w:sz w:val="18"/>
                <w:szCs w:val="18"/>
              </w:rPr>
              <w:t>54 %</w:t>
            </w:r>
          </w:p>
        </w:tc>
      </w:tr>
      <w:tr w:rsidR="00847E82" w:rsidRPr="00A6366B" w14:paraId="736D18C9" w14:textId="77777777" w:rsidTr="003330EE">
        <w:trPr>
          <w:trHeight w:val="340"/>
        </w:trPr>
        <w:tc>
          <w:tcPr>
            <w:tcW w:w="2135" w:type="dxa"/>
          </w:tcPr>
          <w:p w14:paraId="632E7893" w14:textId="5FAE89A9"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Peninsula Health</w:t>
            </w:r>
          </w:p>
        </w:tc>
        <w:tc>
          <w:tcPr>
            <w:tcW w:w="2695" w:type="dxa"/>
          </w:tcPr>
          <w:p w14:paraId="08D48BD4" w14:textId="58EFAA0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Peninsula</w:t>
            </w:r>
          </w:p>
        </w:tc>
        <w:tc>
          <w:tcPr>
            <w:tcW w:w="1212" w:type="dxa"/>
          </w:tcPr>
          <w:p w14:paraId="5D04F11F" w14:textId="7D59D7DA" w:rsidR="00847E82" w:rsidRPr="005B1FEF" w:rsidRDefault="00847E82" w:rsidP="00847E82">
            <w:pPr>
              <w:jc w:val="center"/>
              <w:rPr>
                <w:rFonts w:ascii="VIC" w:hAnsi="VIC"/>
                <w:sz w:val="18"/>
                <w:szCs w:val="18"/>
              </w:rPr>
            </w:pPr>
            <w:r w:rsidRPr="00427725">
              <w:rPr>
                <w:rFonts w:ascii="VIC" w:eastAsia="Verdana" w:hAnsi="VIC"/>
                <w:color w:val="000000"/>
                <w:sz w:val="18"/>
                <w:szCs w:val="18"/>
              </w:rPr>
              <w:t>3.5</w:t>
            </w:r>
          </w:p>
        </w:tc>
        <w:tc>
          <w:tcPr>
            <w:tcW w:w="1213" w:type="dxa"/>
          </w:tcPr>
          <w:p w14:paraId="21A31971" w14:textId="7ABAD12F" w:rsidR="00847E82" w:rsidRPr="005B1FEF" w:rsidRDefault="00847E82" w:rsidP="00847E82">
            <w:pPr>
              <w:jc w:val="center"/>
              <w:rPr>
                <w:rFonts w:ascii="VIC" w:hAnsi="VIC"/>
                <w:sz w:val="18"/>
                <w:szCs w:val="18"/>
              </w:rPr>
            </w:pPr>
            <w:r w:rsidRPr="00427725">
              <w:rPr>
                <w:rFonts w:ascii="VIC" w:eastAsia="Verdana" w:hAnsi="VIC"/>
                <w:color w:val="000000"/>
                <w:sz w:val="18"/>
                <w:szCs w:val="18"/>
              </w:rPr>
              <w:t>90 %</w:t>
            </w:r>
          </w:p>
        </w:tc>
        <w:tc>
          <w:tcPr>
            <w:tcW w:w="1213" w:type="dxa"/>
          </w:tcPr>
          <w:p w14:paraId="0913BC1A" w14:textId="6BF7F62D"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213" w:type="dxa"/>
          </w:tcPr>
          <w:p w14:paraId="5523DFD3" w14:textId="22AC112A" w:rsidR="00847E82" w:rsidRPr="005B1FEF" w:rsidRDefault="00847E82" w:rsidP="00847E82">
            <w:pPr>
              <w:jc w:val="center"/>
              <w:rPr>
                <w:rFonts w:ascii="VIC" w:hAnsi="VIC"/>
                <w:sz w:val="18"/>
                <w:szCs w:val="18"/>
              </w:rPr>
            </w:pPr>
            <w:r w:rsidRPr="00427725">
              <w:rPr>
                <w:rFonts w:ascii="VIC" w:eastAsia="Verdana" w:hAnsi="VIC"/>
                <w:color w:val="000000"/>
                <w:sz w:val="18"/>
                <w:szCs w:val="18"/>
              </w:rPr>
              <w:t>498.5</w:t>
            </w:r>
          </w:p>
        </w:tc>
        <w:tc>
          <w:tcPr>
            <w:tcW w:w="1212" w:type="dxa"/>
          </w:tcPr>
          <w:p w14:paraId="5C4E8C33" w14:textId="3E1B32A1" w:rsidR="00847E82" w:rsidRPr="005B1FEF" w:rsidRDefault="00847E82" w:rsidP="00847E82">
            <w:pPr>
              <w:jc w:val="center"/>
              <w:rPr>
                <w:rFonts w:ascii="VIC" w:hAnsi="VIC"/>
                <w:sz w:val="18"/>
                <w:szCs w:val="18"/>
              </w:rPr>
            </w:pPr>
            <w:r w:rsidRPr="00427725">
              <w:rPr>
                <w:rFonts w:ascii="VIC" w:eastAsia="Verdana" w:hAnsi="VIC"/>
                <w:color w:val="000000"/>
                <w:sz w:val="18"/>
                <w:szCs w:val="18"/>
              </w:rPr>
              <w:t>41 %</w:t>
            </w:r>
          </w:p>
        </w:tc>
        <w:tc>
          <w:tcPr>
            <w:tcW w:w="1213" w:type="dxa"/>
          </w:tcPr>
          <w:p w14:paraId="4C65659B" w14:textId="34721112"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tcPr>
          <w:p w14:paraId="68F7C66B" w14:textId="1705BD6D" w:rsidR="00847E82" w:rsidRPr="005B1FEF" w:rsidRDefault="00847E82" w:rsidP="00847E82">
            <w:pPr>
              <w:jc w:val="center"/>
              <w:rPr>
                <w:rFonts w:ascii="VIC" w:hAnsi="VIC"/>
                <w:sz w:val="18"/>
                <w:szCs w:val="18"/>
              </w:rPr>
            </w:pPr>
            <w:r w:rsidRPr="00427725">
              <w:rPr>
                <w:rFonts w:ascii="VIC" w:eastAsia="Verdana" w:hAnsi="VIC"/>
                <w:color w:val="000000"/>
                <w:sz w:val="18"/>
                <w:szCs w:val="18"/>
              </w:rPr>
              <w:t>19.8</w:t>
            </w:r>
          </w:p>
        </w:tc>
        <w:tc>
          <w:tcPr>
            <w:tcW w:w="1213" w:type="dxa"/>
          </w:tcPr>
          <w:p w14:paraId="0483F248" w14:textId="5240C8ED"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54F26DDA" w14:textId="1A690D22" w:rsidR="00847E82" w:rsidRPr="005B1FEF" w:rsidRDefault="00847E82" w:rsidP="00847E82">
            <w:pPr>
              <w:jc w:val="center"/>
              <w:rPr>
                <w:rFonts w:ascii="VIC" w:hAnsi="VIC"/>
                <w:sz w:val="18"/>
                <w:szCs w:val="18"/>
              </w:rPr>
            </w:pPr>
            <w:r w:rsidRPr="00427725">
              <w:rPr>
                <w:rFonts w:ascii="VIC" w:eastAsia="Verdana" w:hAnsi="VIC"/>
                <w:color w:val="000000"/>
                <w:sz w:val="18"/>
                <w:szCs w:val="18"/>
              </w:rPr>
              <w:t>37 %</w:t>
            </w:r>
          </w:p>
        </w:tc>
      </w:tr>
      <w:tr w:rsidR="00847E82" w:rsidRPr="00A6366B" w14:paraId="298C2E6D" w14:textId="77777777" w:rsidTr="003330EE">
        <w:trPr>
          <w:trHeight w:val="340"/>
        </w:trPr>
        <w:tc>
          <w:tcPr>
            <w:tcW w:w="2135" w:type="dxa"/>
            <w:shd w:val="clear" w:color="auto" w:fill="BFCED6"/>
          </w:tcPr>
          <w:p w14:paraId="3B5CD9FF" w14:textId="14241BD1"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St Vincent's Hospital</w:t>
            </w:r>
          </w:p>
        </w:tc>
        <w:tc>
          <w:tcPr>
            <w:tcW w:w="2695" w:type="dxa"/>
            <w:shd w:val="clear" w:color="auto" w:fill="BFCED6"/>
          </w:tcPr>
          <w:p w14:paraId="7423D297" w14:textId="23C67B1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East (St Vincent's)</w:t>
            </w:r>
          </w:p>
        </w:tc>
        <w:tc>
          <w:tcPr>
            <w:tcW w:w="1212" w:type="dxa"/>
            <w:shd w:val="clear" w:color="auto" w:fill="BFCED6"/>
          </w:tcPr>
          <w:p w14:paraId="1D52EB96" w14:textId="106BCB37" w:rsidR="00847E82" w:rsidRPr="005B1FEF" w:rsidRDefault="00847E82" w:rsidP="00847E82">
            <w:pPr>
              <w:jc w:val="center"/>
              <w:rPr>
                <w:rFonts w:ascii="VIC" w:hAnsi="VIC"/>
                <w:sz w:val="18"/>
                <w:szCs w:val="18"/>
              </w:rPr>
            </w:pPr>
            <w:r w:rsidRPr="00427725">
              <w:rPr>
                <w:rFonts w:ascii="VIC" w:eastAsia="Verdana" w:hAnsi="VIC"/>
                <w:color w:val="000000"/>
                <w:sz w:val="18"/>
                <w:szCs w:val="18"/>
              </w:rPr>
              <w:t>3.2</w:t>
            </w:r>
          </w:p>
        </w:tc>
        <w:tc>
          <w:tcPr>
            <w:tcW w:w="1213" w:type="dxa"/>
            <w:shd w:val="clear" w:color="auto" w:fill="BFCED6"/>
          </w:tcPr>
          <w:p w14:paraId="11248F5E" w14:textId="125FAB84" w:rsidR="00847E82" w:rsidRPr="005B1FEF" w:rsidRDefault="00847E82" w:rsidP="00847E82">
            <w:pPr>
              <w:jc w:val="center"/>
              <w:rPr>
                <w:rFonts w:ascii="VIC" w:hAnsi="VIC"/>
                <w:sz w:val="18"/>
                <w:szCs w:val="18"/>
              </w:rPr>
            </w:pPr>
            <w:r w:rsidRPr="00427725">
              <w:rPr>
                <w:rFonts w:ascii="VIC" w:eastAsia="Verdana" w:hAnsi="VIC"/>
                <w:color w:val="000000"/>
                <w:sz w:val="18"/>
                <w:szCs w:val="18"/>
              </w:rPr>
              <w:t>66 %</w:t>
            </w:r>
          </w:p>
        </w:tc>
        <w:tc>
          <w:tcPr>
            <w:tcW w:w="1213" w:type="dxa"/>
            <w:shd w:val="clear" w:color="auto" w:fill="BFCED6"/>
          </w:tcPr>
          <w:p w14:paraId="429CD3A1" w14:textId="7B4392B5"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213" w:type="dxa"/>
            <w:shd w:val="clear" w:color="auto" w:fill="BFCED6"/>
          </w:tcPr>
          <w:p w14:paraId="156F9019" w14:textId="6A602CF3" w:rsidR="00847E82" w:rsidRPr="005B1FEF" w:rsidRDefault="00847E82" w:rsidP="00847E82">
            <w:pPr>
              <w:jc w:val="center"/>
              <w:rPr>
                <w:rFonts w:ascii="VIC" w:hAnsi="VIC"/>
                <w:sz w:val="18"/>
                <w:szCs w:val="18"/>
              </w:rPr>
            </w:pPr>
            <w:r w:rsidRPr="00427725">
              <w:rPr>
                <w:rFonts w:ascii="VIC" w:eastAsia="Verdana" w:hAnsi="VIC"/>
                <w:color w:val="000000"/>
                <w:sz w:val="18"/>
                <w:szCs w:val="18"/>
              </w:rPr>
              <w:t>259.0</w:t>
            </w:r>
          </w:p>
        </w:tc>
        <w:tc>
          <w:tcPr>
            <w:tcW w:w="1212" w:type="dxa"/>
            <w:shd w:val="clear" w:color="auto" w:fill="BFCED6"/>
          </w:tcPr>
          <w:p w14:paraId="73F7C2EE" w14:textId="06A96895"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213" w:type="dxa"/>
            <w:shd w:val="clear" w:color="auto" w:fill="BFCED6"/>
          </w:tcPr>
          <w:p w14:paraId="02FE18FA" w14:textId="2C1DCABC"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213" w:type="dxa"/>
            <w:shd w:val="clear" w:color="auto" w:fill="BFCED6"/>
          </w:tcPr>
          <w:p w14:paraId="6910F3AD" w14:textId="0DF76764" w:rsidR="00847E82" w:rsidRPr="005B1FEF" w:rsidRDefault="00847E82" w:rsidP="00847E82">
            <w:pPr>
              <w:jc w:val="center"/>
              <w:rPr>
                <w:rFonts w:ascii="VIC" w:hAnsi="VIC"/>
                <w:sz w:val="18"/>
                <w:szCs w:val="18"/>
              </w:rPr>
            </w:pPr>
            <w:r w:rsidRPr="00427725">
              <w:rPr>
                <w:rFonts w:ascii="VIC" w:eastAsia="Verdana" w:hAnsi="VIC"/>
                <w:color w:val="000000"/>
                <w:sz w:val="18"/>
                <w:szCs w:val="18"/>
              </w:rPr>
              <w:t>19.1</w:t>
            </w:r>
          </w:p>
        </w:tc>
        <w:tc>
          <w:tcPr>
            <w:tcW w:w="1213" w:type="dxa"/>
            <w:shd w:val="clear" w:color="auto" w:fill="BFCED6"/>
          </w:tcPr>
          <w:p w14:paraId="4A613148" w14:textId="674619AE" w:rsidR="00847E82" w:rsidRPr="005B1FEF" w:rsidRDefault="00847E82" w:rsidP="00847E82">
            <w:pPr>
              <w:jc w:val="center"/>
              <w:rPr>
                <w:rFonts w:ascii="VIC" w:hAnsi="VIC"/>
                <w:sz w:val="18"/>
                <w:szCs w:val="18"/>
              </w:rPr>
            </w:pPr>
            <w:r w:rsidRPr="00427725">
              <w:rPr>
                <w:rFonts w:ascii="VIC" w:eastAsia="Verdana" w:hAnsi="VIC"/>
                <w:color w:val="000000"/>
                <w:sz w:val="18"/>
                <w:szCs w:val="18"/>
              </w:rPr>
              <w:t>76 %</w:t>
            </w:r>
          </w:p>
        </w:tc>
        <w:tc>
          <w:tcPr>
            <w:tcW w:w="1213" w:type="dxa"/>
            <w:shd w:val="clear" w:color="auto" w:fill="BFCED6"/>
          </w:tcPr>
          <w:p w14:paraId="0DAC6430" w14:textId="07540474" w:rsidR="00847E82" w:rsidRPr="005B1FEF" w:rsidRDefault="00847E82" w:rsidP="00847E82">
            <w:pPr>
              <w:jc w:val="center"/>
              <w:rPr>
                <w:rFonts w:ascii="VIC" w:hAnsi="VIC"/>
                <w:sz w:val="18"/>
                <w:szCs w:val="18"/>
              </w:rPr>
            </w:pPr>
            <w:r w:rsidRPr="00427725">
              <w:rPr>
                <w:rFonts w:ascii="VIC" w:eastAsia="Verdana" w:hAnsi="VIC"/>
                <w:color w:val="000000"/>
                <w:sz w:val="18"/>
                <w:szCs w:val="18"/>
              </w:rPr>
              <w:t>39 %</w:t>
            </w:r>
          </w:p>
        </w:tc>
      </w:tr>
      <w:tr w:rsidR="00847E82" w:rsidRPr="00A6366B" w14:paraId="64C51F17" w14:textId="77777777" w:rsidTr="003330EE">
        <w:trPr>
          <w:trHeight w:val="340"/>
        </w:trPr>
        <w:tc>
          <w:tcPr>
            <w:tcW w:w="2135" w:type="dxa"/>
          </w:tcPr>
          <w:p w14:paraId="01DDCCCA" w14:textId="2DCDFE9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Mercy Health</w:t>
            </w:r>
          </w:p>
        </w:tc>
        <w:tc>
          <w:tcPr>
            <w:tcW w:w="2695" w:type="dxa"/>
          </w:tcPr>
          <w:p w14:paraId="350615E9" w14:textId="3CF8221F"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South West (Werribee)</w:t>
            </w:r>
          </w:p>
        </w:tc>
        <w:tc>
          <w:tcPr>
            <w:tcW w:w="1212" w:type="dxa"/>
          </w:tcPr>
          <w:p w14:paraId="45834BC9" w14:textId="1641C40C" w:rsidR="00847E82" w:rsidRPr="005B1FEF" w:rsidRDefault="00847E82" w:rsidP="00847E82">
            <w:pPr>
              <w:jc w:val="center"/>
              <w:rPr>
                <w:rFonts w:ascii="VIC" w:hAnsi="VIC"/>
                <w:sz w:val="18"/>
                <w:szCs w:val="18"/>
              </w:rPr>
            </w:pPr>
            <w:r w:rsidRPr="00427725">
              <w:rPr>
                <w:rFonts w:ascii="VIC" w:eastAsia="Verdana" w:hAnsi="VIC"/>
                <w:color w:val="000000"/>
                <w:sz w:val="18"/>
                <w:szCs w:val="18"/>
              </w:rPr>
              <w:t>2.1</w:t>
            </w:r>
          </w:p>
        </w:tc>
        <w:tc>
          <w:tcPr>
            <w:tcW w:w="1213" w:type="dxa"/>
          </w:tcPr>
          <w:p w14:paraId="58FF3B14" w14:textId="740AD074"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213" w:type="dxa"/>
          </w:tcPr>
          <w:p w14:paraId="528A5F08" w14:textId="5DEBF903"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tcPr>
          <w:p w14:paraId="216C9DE9" w14:textId="40BCC022" w:rsidR="00847E82" w:rsidRPr="005B1FEF" w:rsidRDefault="00847E82" w:rsidP="00847E82">
            <w:pPr>
              <w:jc w:val="center"/>
              <w:rPr>
                <w:rFonts w:ascii="VIC" w:hAnsi="VIC"/>
                <w:sz w:val="18"/>
                <w:szCs w:val="18"/>
              </w:rPr>
            </w:pPr>
            <w:r w:rsidRPr="00427725">
              <w:rPr>
                <w:rFonts w:ascii="VIC" w:eastAsia="Verdana" w:hAnsi="VIC"/>
                <w:color w:val="000000"/>
                <w:sz w:val="18"/>
                <w:szCs w:val="18"/>
              </w:rPr>
              <w:t>418.7</w:t>
            </w:r>
          </w:p>
        </w:tc>
        <w:tc>
          <w:tcPr>
            <w:tcW w:w="1212" w:type="dxa"/>
          </w:tcPr>
          <w:p w14:paraId="5EF2AB9D" w14:textId="24239C3D" w:rsidR="00847E82" w:rsidRPr="005B1FEF" w:rsidRDefault="00847E82" w:rsidP="00847E82">
            <w:pPr>
              <w:jc w:val="center"/>
              <w:rPr>
                <w:rFonts w:ascii="VIC" w:hAnsi="VIC"/>
                <w:sz w:val="18"/>
                <w:szCs w:val="18"/>
              </w:rPr>
            </w:pPr>
            <w:r w:rsidRPr="00427725">
              <w:rPr>
                <w:rFonts w:ascii="VIC" w:eastAsia="Verdana" w:hAnsi="VIC"/>
                <w:color w:val="000000"/>
                <w:sz w:val="18"/>
                <w:szCs w:val="18"/>
              </w:rPr>
              <w:t>35 %</w:t>
            </w:r>
          </w:p>
        </w:tc>
        <w:tc>
          <w:tcPr>
            <w:tcW w:w="1213" w:type="dxa"/>
          </w:tcPr>
          <w:p w14:paraId="1EAE9A2D" w14:textId="052D995E"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213" w:type="dxa"/>
          </w:tcPr>
          <w:p w14:paraId="2B5D78A8" w14:textId="41617062" w:rsidR="00847E82" w:rsidRPr="005B1FEF" w:rsidRDefault="00847E82" w:rsidP="00847E82">
            <w:pPr>
              <w:jc w:val="center"/>
              <w:rPr>
                <w:rFonts w:ascii="VIC" w:hAnsi="VIC"/>
                <w:sz w:val="18"/>
                <w:szCs w:val="18"/>
              </w:rPr>
            </w:pPr>
            <w:r w:rsidRPr="00427725">
              <w:rPr>
                <w:rFonts w:ascii="VIC" w:eastAsia="Verdana" w:hAnsi="VIC"/>
                <w:color w:val="000000"/>
                <w:sz w:val="18"/>
                <w:szCs w:val="18"/>
              </w:rPr>
              <w:t>14.0</w:t>
            </w:r>
          </w:p>
        </w:tc>
        <w:tc>
          <w:tcPr>
            <w:tcW w:w="1213" w:type="dxa"/>
          </w:tcPr>
          <w:p w14:paraId="3BEA835F" w14:textId="52213325"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213" w:type="dxa"/>
          </w:tcPr>
          <w:p w14:paraId="2EBEB226" w14:textId="5EB40096" w:rsidR="00847E82" w:rsidRPr="005B1FEF" w:rsidRDefault="00847E82" w:rsidP="00847E82">
            <w:pPr>
              <w:jc w:val="center"/>
              <w:rPr>
                <w:rFonts w:ascii="VIC" w:hAnsi="VIC"/>
                <w:sz w:val="18"/>
                <w:szCs w:val="18"/>
              </w:rPr>
            </w:pPr>
            <w:r w:rsidRPr="00427725">
              <w:rPr>
                <w:rFonts w:ascii="VIC" w:eastAsia="Verdana" w:hAnsi="VIC"/>
                <w:color w:val="000000"/>
                <w:sz w:val="18"/>
                <w:szCs w:val="18"/>
              </w:rPr>
              <w:t>45 %</w:t>
            </w:r>
          </w:p>
        </w:tc>
      </w:tr>
      <w:tr w:rsidR="00847E82" w:rsidRPr="00847E82" w14:paraId="728621FA" w14:textId="77777777" w:rsidTr="003330EE">
        <w:trPr>
          <w:trHeight w:val="312"/>
        </w:trPr>
        <w:tc>
          <w:tcPr>
            <w:tcW w:w="2135" w:type="dxa"/>
            <w:shd w:val="clear" w:color="auto" w:fill="B1C9E8"/>
          </w:tcPr>
          <w:p w14:paraId="7946938A" w14:textId="74CC51C6"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METRO</w:t>
            </w:r>
          </w:p>
        </w:tc>
        <w:tc>
          <w:tcPr>
            <w:tcW w:w="2695" w:type="dxa"/>
            <w:shd w:val="clear" w:color="auto" w:fill="B1C9E8"/>
          </w:tcPr>
          <w:p w14:paraId="2396FB56" w14:textId="468D2A8D"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212" w:type="dxa"/>
            <w:shd w:val="clear" w:color="auto" w:fill="B1C9E8"/>
          </w:tcPr>
          <w:p w14:paraId="7234E2CA" w14:textId="30A6472E"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2.5</w:t>
            </w:r>
          </w:p>
        </w:tc>
        <w:tc>
          <w:tcPr>
            <w:tcW w:w="1213" w:type="dxa"/>
            <w:shd w:val="clear" w:color="auto" w:fill="B1C9E8"/>
          </w:tcPr>
          <w:p w14:paraId="71ED4356" w14:textId="76056F0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84 %</w:t>
            </w:r>
          </w:p>
        </w:tc>
        <w:tc>
          <w:tcPr>
            <w:tcW w:w="1213" w:type="dxa"/>
            <w:shd w:val="clear" w:color="auto" w:fill="B1C9E8"/>
          </w:tcPr>
          <w:p w14:paraId="363D2012" w14:textId="498125A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5 %</w:t>
            </w:r>
          </w:p>
        </w:tc>
        <w:tc>
          <w:tcPr>
            <w:tcW w:w="1213" w:type="dxa"/>
            <w:shd w:val="clear" w:color="auto" w:fill="B1C9E8"/>
          </w:tcPr>
          <w:p w14:paraId="620426AF" w14:textId="7A8F384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341.0</w:t>
            </w:r>
          </w:p>
        </w:tc>
        <w:tc>
          <w:tcPr>
            <w:tcW w:w="1212" w:type="dxa"/>
            <w:shd w:val="clear" w:color="auto" w:fill="B1C9E8"/>
          </w:tcPr>
          <w:p w14:paraId="544CE0BD" w14:textId="636F2B9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38 %</w:t>
            </w:r>
          </w:p>
        </w:tc>
        <w:tc>
          <w:tcPr>
            <w:tcW w:w="1213" w:type="dxa"/>
            <w:shd w:val="clear" w:color="auto" w:fill="B1C9E8"/>
          </w:tcPr>
          <w:p w14:paraId="24569258" w14:textId="3AE7855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85 %</w:t>
            </w:r>
          </w:p>
        </w:tc>
        <w:tc>
          <w:tcPr>
            <w:tcW w:w="1213" w:type="dxa"/>
            <w:shd w:val="clear" w:color="auto" w:fill="B1C9E8"/>
          </w:tcPr>
          <w:p w14:paraId="28391216" w14:textId="5EF3136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16.0</w:t>
            </w:r>
          </w:p>
        </w:tc>
        <w:tc>
          <w:tcPr>
            <w:tcW w:w="1213" w:type="dxa"/>
            <w:shd w:val="clear" w:color="auto" w:fill="B1C9E8"/>
          </w:tcPr>
          <w:p w14:paraId="3077A0D9" w14:textId="2E3C241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68 %</w:t>
            </w:r>
          </w:p>
        </w:tc>
        <w:tc>
          <w:tcPr>
            <w:tcW w:w="1213" w:type="dxa"/>
            <w:shd w:val="clear" w:color="auto" w:fill="B1C9E8"/>
          </w:tcPr>
          <w:p w14:paraId="786269EA" w14:textId="54427A99"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42 %</w:t>
            </w:r>
          </w:p>
        </w:tc>
      </w:tr>
      <w:tr w:rsidR="00847E82" w:rsidRPr="00A6366B" w14:paraId="7A1D37FA" w14:textId="77777777" w:rsidTr="003330EE">
        <w:trPr>
          <w:trHeight w:val="340"/>
        </w:trPr>
        <w:tc>
          <w:tcPr>
            <w:tcW w:w="2135" w:type="dxa"/>
            <w:shd w:val="clear" w:color="auto" w:fill="BFCED6"/>
          </w:tcPr>
          <w:p w14:paraId="1ED26A49" w14:textId="0B28FC0B"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Ballarat Health</w:t>
            </w:r>
          </w:p>
        </w:tc>
        <w:tc>
          <w:tcPr>
            <w:tcW w:w="2695" w:type="dxa"/>
            <w:shd w:val="clear" w:color="auto" w:fill="BFCED6"/>
          </w:tcPr>
          <w:p w14:paraId="09442CBE" w14:textId="1CAAC34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Grampians</w:t>
            </w:r>
          </w:p>
        </w:tc>
        <w:tc>
          <w:tcPr>
            <w:tcW w:w="1212" w:type="dxa"/>
            <w:shd w:val="clear" w:color="auto" w:fill="BFCED6"/>
          </w:tcPr>
          <w:p w14:paraId="17752DAC" w14:textId="5E11C5AB" w:rsidR="00847E82" w:rsidRPr="005B1FEF" w:rsidRDefault="00847E82" w:rsidP="00847E82">
            <w:pPr>
              <w:jc w:val="center"/>
              <w:rPr>
                <w:rFonts w:ascii="VIC" w:hAnsi="VIC"/>
                <w:sz w:val="18"/>
                <w:szCs w:val="18"/>
              </w:rPr>
            </w:pPr>
            <w:r w:rsidRPr="00427725">
              <w:rPr>
                <w:rFonts w:ascii="VIC" w:eastAsia="Verdana" w:hAnsi="VIC"/>
                <w:color w:val="000000"/>
                <w:sz w:val="18"/>
                <w:szCs w:val="18"/>
              </w:rPr>
              <w:t>2.2</w:t>
            </w:r>
          </w:p>
        </w:tc>
        <w:tc>
          <w:tcPr>
            <w:tcW w:w="1213" w:type="dxa"/>
            <w:shd w:val="clear" w:color="auto" w:fill="BFCED6"/>
          </w:tcPr>
          <w:p w14:paraId="0565DF41" w14:textId="6AD91346" w:rsidR="00847E82" w:rsidRPr="005B1FEF" w:rsidRDefault="00847E82" w:rsidP="00847E82">
            <w:pPr>
              <w:jc w:val="center"/>
              <w:rPr>
                <w:rFonts w:ascii="VIC" w:hAnsi="VIC"/>
                <w:sz w:val="18"/>
                <w:szCs w:val="18"/>
              </w:rPr>
            </w:pPr>
            <w:r w:rsidRPr="00427725">
              <w:rPr>
                <w:rFonts w:ascii="VIC" w:eastAsia="Verdana" w:hAnsi="VIC"/>
                <w:color w:val="000000"/>
                <w:sz w:val="18"/>
                <w:szCs w:val="18"/>
              </w:rPr>
              <w:t>42 %</w:t>
            </w:r>
          </w:p>
        </w:tc>
        <w:tc>
          <w:tcPr>
            <w:tcW w:w="1213" w:type="dxa"/>
            <w:shd w:val="clear" w:color="auto" w:fill="BFCED6"/>
          </w:tcPr>
          <w:p w14:paraId="303263D5" w14:textId="24C562B0" w:rsidR="00847E82" w:rsidRPr="005B1FEF" w:rsidRDefault="00847E82" w:rsidP="00847E82">
            <w:pPr>
              <w:jc w:val="center"/>
              <w:rPr>
                <w:rFonts w:ascii="VIC" w:hAnsi="VIC"/>
                <w:sz w:val="18"/>
                <w:szCs w:val="18"/>
              </w:rPr>
            </w:pPr>
            <w:r w:rsidRPr="00427725">
              <w:rPr>
                <w:rFonts w:ascii="VIC" w:eastAsia="Verdana" w:hAnsi="VIC"/>
                <w:color w:val="000000"/>
                <w:sz w:val="18"/>
                <w:szCs w:val="18"/>
              </w:rPr>
              <w:t>27 %</w:t>
            </w:r>
          </w:p>
        </w:tc>
        <w:tc>
          <w:tcPr>
            <w:tcW w:w="1213" w:type="dxa"/>
            <w:shd w:val="clear" w:color="auto" w:fill="BFCED6"/>
          </w:tcPr>
          <w:p w14:paraId="182CA418" w14:textId="4367AFF6" w:rsidR="00847E82" w:rsidRPr="005B1FEF" w:rsidRDefault="00847E82" w:rsidP="00847E82">
            <w:pPr>
              <w:jc w:val="center"/>
              <w:rPr>
                <w:rFonts w:ascii="VIC" w:hAnsi="VIC"/>
                <w:sz w:val="18"/>
                <w:szCs w:val="18"/>
              </w:rPr>
            </w:pPr>
            <w:r w:rsidRPr="00427725">
              <w:rPr>
                <w:rFonts w:ascii="VIC" w:eastAsia="Verdana" w:hAnsi="VIC"/>
                <w:color w:val="000000"/>
                <w:sz w:val="18"/>
                <w:szCs w:val="18"/>
              </w:rPr>
              <w:t>456.0</w:t>
            </w:r>
          </w:p>
        </w:tc>
        <w:tc>
          <w:tcPr>
            <w:tcW w:w="1212" w:type="dxa"/>
            <w:shd w:val="clear" w:color="auto" w:fill="BFCED6"/>
          </w:tcPr>
          <w:p w14:paraId="039FEBAA" w14:textId="7BD648C7" w:rsidR="00847E82" w:rsidRPr="005B1FEF" w:rsidRDefault="00847E82" w:rsidP="00847E82">
            <w:pPr>
              <w:jc w:val="center"/>
              <w:rPr>
                <w:rFonts w:ascii="VIC" w:hAnsi="VIC"/>
                <w:sz w:val="18"/>
                <w:szCs w:val="18"/>
              </w:rPr>
            </w:pPr>
            <w:r w:rsidRPr="00427725">
              <w:rPr>
                <w:rFonts w:ascii="VIC" w:eastAsia="Verdana" w:hAnsi="VIC"/>
                <w:color w:val="000000"/>
                <w:sz w:val="18"/>
                <w:szCs w:val="18"/>
              </w:rPr>
              <w:t>56 %</w:t>
            </w:r>
          </w:p>
        </w:tc>
        <w:tc>
          <w:tcPr>
            <w:tcW w:w="1213" w:type="dxa"/>
            <w:shd w:val="clear" w:color="auto" w:fill="BFCED6"/>
          </w:tcPr>
          <w:p w14:paraId="29207C0D" w14:textId="66B30762" w:rsidR="00847E82" w:rsidRPr="005B1FEF" w:rsidRDefault="00847E82" w:rsidP="00847E82">
            <w:pPr>
              <w:jc w:val="center"/>
              <w:rPr>
                <w:rFonts w:ascii="VIC" w:hAnsi="VIC"/>
                <w:sz w:val="18"/>
                <w:szCs w:val="18"/>
              </w:rPr>
            </w:pPr>
            <w:r w:rsidRPr="00427725">
              <w:rPr>
                <w:rFonts w:ascii="VIC" w:eastAsia="Verdana" w:hAnsi="VIC"/>
                <w:color w:val="000000"/>
                <w:sz w:val="18"/>
                <w:szCs w:val="18"/>
              </w:rPr>
              <w:t>43 %</w:t>
            </w:r>
          </w:p>
        </w:tc>
        <w:tc>
          <w:tcPr>
            <w:tcW w:w="1213" w:type="dxa"/>
            <w:shd w:val="clear" w:color="auto" w:fill="BFCED6"/>
          </w:tcPr>
          <w:p w14:paraId="5E43C767" w14:textId="7D2F15A3" w:rsidR="00847E82" w:rsidRPr="005B1FEF" w:rsidRDefault="00847E82" w:rsidP="00847E82">
            <w:pPr>
              <w:jc w:val="center"/>
              <w:rPr>
                <w:rFonts w:ascii="VIC" w:hAnsi="VIC"/>
                <w:sz w:val="18"/>
                <w:szCs w:val="18"/>
              </w:rPr>
            </w:pPr>
            <w:r w:rsidRPr="00427725">
              <w:rPr>
                <w:rFonts w:ascii="VIC" w:eastAsia="Verdana" w:hAnsi="VIC"/>
                <w:color w:val="000000"/>
                <w:sz w:val="18"/>
                <w:szCs w:val="18"/>
              </w:rPr>
              <w:t>10.9</w:t>
            </w:r>
          </w:p>
        </w:tc>
        <w:tc>
          <w:tcPr>
            <w:tcW w:w="1213" w:type="dxa"/>
            <w:shd w:val="clear" w:color="auto" w:fill="BFCED6"/>
          </w:tcPr>
          <w:p w14:paraId="69459B99" w14:textId="125E02A8" w:rsidR="00847E82" w:rsidRPr="005B1FEF" w:rsidRDefault="00847E82" w:rsidP="00847E82">
            <w:pPr>
              <w:jc w:val="center"/>
              <w:rPr>
                <w:rFonts w:ascii="VIC" w:hAnsi="VIC"/>
                <w:sz w:val="18"/>
                <w:szCs w:val="18"/>
              </w:rPr>
            </w:pPr>
            <w:r w:rsidRPr="00427725">
              <w:rPr>
                <w:rFonts w:ascii="VIC" w:eastAsia="Verdana" w:hAnsi="VIC"/>
                <w:color w:val="000000"/>
                <w:sz w:val="18"/>
                <w:szCs w:val="18"/>
              </w:rPr>
              <w:t>30 %</w:t>
            </w:r>
          </w:p>
        </w:tc>
        <w:tc>
          <w:tcPr>
            <w:tcW w:w="1213" w:type="dxa"/>
            <w:shd w:val="clear" w:color="auto" w:fill="BFCED6"/>
          </w:tcPr>
          <w:p w14:paraId="2E6F2CFA" w14:textId="3B98A4FF" w:rsidR="00847E82" w:rsidRPr="005B1FEF" w:rsidRDefault="00847E82" w:rsidP="00847E82">
            <w:pPr>
              <w:jc w:val="center"/>
              <w:rPr>
                <w:rFonts w:ascii="VIC" w:hAnsi="VIC"/>
                <w:sz w:val="18"/>
                <w:szCs w:val="18"/>
              </w:rPr>
            </w:pPr>
            <w:r w:rsidRPr="00427725">
              <w:rPr>
                <w:rFonts w:ascii="VIC" w:eastAsia="Verdana" w:hAnsi="VIC"/>
                <w:color w:val="000000"/>
                <w:sz w:val="18"/>
                <w:szCs w:val="18"/>
              </w:rPr>
              <w:t>18 %</w:t>
            </w:r>
          </w:p>
        </w:tc>
      </w:tr>
      <w:tr w:rsidR="00847E82" w:rsidRPr="00A6366B" w14:paraId="6F5FA7A6" w14:textId="77777777" w:rsidTr="003330EE">
        <w:trPr>
          <w:trHeight w:val="340"/>
        </w:trPr>
        <w:tc>
          <w:tcPr>
            <w:tcW w:w="2135" w:type="dxa"/>
            <w:shd w:val="clear" w:color="auto" w:fill="FFFFFF" w:themeFill="background1"/>
          </w:tcPr>
          <w:p w14:paraId="4DF964C3" w14:textId="6A37BFA2"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 Health</w:t>
            </w:r>
          </w:p>
        </w:tc>
        <w:tc>
          <w:tcPr>
            <w:tcW w:w="2695" w:type="dxa"/>
            <w:shd w:val="clear" w:color="auto" w:fill="FFFFFF" w:themeFill="background1"/>
          </w:tcPr>
          <w:p w14:paraId="739B58E4" w14:textId="0F4A887E"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w:t>
            </w:r>
          </w:p>
        </w:tc>
        <w:tc>
          <w:tcPr>
            <w:tcW w:w="1212" w:type="dxa"/>
            <w:shd w:val="clear" w:color="auto" w:fill="FFFFFF" w:themeFill="background1"/>
          </w:tcPr>
          <w:p w14:paraId="29AE0AAE" w14:textId="39630E55" w:rsidR="00847E82" w:rsidRPr="005B1FEF" w:rsidRDefault="00847E82" w:rsidP="00847E82">
            <w:pPr>
              <w:jc w:val="center"/>
              <w:rPr>
                <w:rFonts w:ascii="VIC" w:hAnsi="VIC"/>
                <w:sz w:val="18"/>
                <w:szCs w:val="18"/>
              </w:rPr>
            </w:pPr>
            <w:r w:rsidRPr="00427725">
              <w:rPr>
                <w:rFonts w:ascii="VIC" w:eastAsia="Verdana" w:hAnsi="VIC"/>
                <w:color w:val="000000"/>
                <w:sz w:val="18"/>
                <w:szCs w:val="18"/>
              </w:rPr>
              <w:t>2.1</w:t>
            </w:r>
          </w:p>
        </w:tc>
        <w:tc>
          <w:tcPr>
            <w:tcW w:w="1213" w:type="dxa"/>
            <w:shd w:val="clear" w:color="auto" w:fill="FFFFFF" w:themeFill="background1"/>
          </w:tcPr>
          <w:p w14:paraId="14DC85C3" w14:textId="2829B470"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213" w:type="dxa"/>
            <w:shd w:val="clear" w:color="auto" w:fill="FFFFFF" w:themeFill="background1"/>
          </w:tcPr>
          <w:p w14:paraId="6B04476E" w14:textId="62FBF331"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213" w:type="dxa"/>
            <w:shd w:val="clear" w:color="auto" w:fill="FFFFFF" w:themeFill="background1"/>
          </w:tcPr>
          <w:p w14:paraId="1E352CA4" w14:textId="76AD9C14" w:rsidR="00847E82" w:rsidRPr="005B1FEF" w:rsidRDefault="00847E82" w:rsidP="00847E82">
            <w:pPr>
              <w:jc w:val="center"/>
              <w:rPr>
                <w:rFonts w:ascii="VIC" w:hAnsi="VIC"/>
                <w:sz w:val="18"/>
                <w:szCs w:val="18"/>
              </w:rPr>
            </w:pPr>
            <w:r w:rsidRPr="00427725">
              <w:rPr>
                <w:rFonts w:ascii="VIC" w:eastAsia="Verdana" w:hAnsi="VIC"/>
                <w:color w:val="000000"/>
                <w:sz w:val="18"/>
                <w:szCs w:val="18"/>
              </w:rPr>
              <w:t>128.5</w:t>
            </w:r>
          </w:p>
        </w:tc>
        <w:tc>
          <w:tcPr>
            <w:tcW w:w="1212" w:type="dxa"/>
            <w:shd w:val="clear" w:color="auto" w:fill="FFFFFF" w:themeFill="background1"/>
          </w:tcPr>
          <w:p w14:paraId="78FE55C8" w14:textId="7D49A013" w:rsidR="00847E82" w:rsidRPr="005B1FEF" w:rsidRDefault="00847E82" w:rsidP="00847E82">
            <w:pPr>
              <w:jc w:val="center"/>
              <w:rPr>
                <w:rFonts w:ascii="VIC" w:hAnsi="VIC"/>
                <w:sz w:val="18"/>
                <w:szCs w:val="18"/>
              </w:rPr>
            </w:pPr>
            <w:r w:rsidRPr="00427725">
              <w:rPr>
                <w:rFonts w:ascii="VIC" w:eastAsia="Verdana" w:hAnsi="VIC"/>
                <w:color w:val="000000"/>
                <w:sz w:val="18"/>
                <w:szCs w:val="18"/>
              </w:rPr>
              <w:t>25 %</w:t>
            </w:r>
          </w:p>
        </w:tc>
        <w:tc>
          <w:tcPr>
            <w:tcW w:w="1213" w:type="dxa"/>
            <w:shd w:val="clear" w:color="auto" w:fill="FFFFFF" w:themeFill="background1"/>
          </w:tcPr>
          <w:p w14:paraId="502DE16D" w14:textId="0C8F0000"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213" w:type="dxa"/>
            <w:shd w:val="clear" w:color="auto" w:fill="FFFFFF" w:themeFill="background1"/>
          </w:tcPr>
          <w:p w14:paraId="0B2DF189" w14:textId="64FFC6A8" w:rsidR="00847E82" w:rsidRPr="005B1FEF" w:rsidRDefault="00847E82" w:rsidP="00847E82">
            <w:pPr>
              <w:jc w:val="center"/>
              <w:rPr>
                <w:rFonts w:ascii="VIC" w:hAnsi="VIC"/>
                <w:sz w:val="18"/>
                <w:szCs w:val="18"/>
              </w:rPr>
            </w:pPr>
            <w:r w:rsidRPr="00427725">
              <w:rPr>
                <w:rFonts w:ascii="VIC" w:eastAsia="Verdana" w:hAnsi="VIC"/>
                <w:color w:val="000000"/>
                <w:sz w:val="18"/>
                <w:szCs w:val="18"/>
              </w:rPr>
              <w:t>14.7</w:t>
            </w:r>
          </w:p>
        </w:tc>
        <w:tc>
          <w:tcPr>
            <w:tcW w:w="1213" w:type="dxa"/>
            <w:shd w:val="clear" w:color="auto" w:fill="FFFFFF" w:themeFill="background1"/>
          </w:tcPr>
          <w:p w14:paraId="7C97CD90" w14:textId="4374FFE3" w:rsidR="00847E82" w:rsidRPr="005B1FEF" w:rsidRDefault="00847E82" w:rsidP="00847E82">
            <w:pPr>
              <w:jc w:val="center"/>
              <w:rPr>
                <w:rFonts w:ascii="VIC" w:hAnsi="VIC"/>
                <w:sz w:val="18"/>
                <w:szCs w:val="18"/>
              </w:rPr>
            </w:pPr>
            <w:r w:rsidRPr="00427725">
              <w:rPr>
                <w:rFonts w:ascii="VIC" w:eastAsia="Verdana" w:hAnsi="VIC"/>
                <w:color w:val="000000"/>
                <w:sz w:val="18"/>
                <w:szCs w:val="18"/>
              </w:rPr>
              <w:t>28 %</w:t>
            </w:r>
          </w:p>
        </w:tc>
        <w:tc>
          <w:tcPr>
            <w:tcW w:w="1213" w:type="dxa"/>
            <w:shd w:val="clear" w:color="auto" w:fill="FFFFFF" w:themeFill="background1"/>
          </w:tcPr>
          <w:p w14:paraId="66B60160" w14:textId="7A896DAB" w:rsidR="00847E82" w:rsidRPr="005B1FEF" w:rsidRDefault="00847E82" w:rsidP="00847E82">
            <w:pPr>
              <w:jc w:val="center"/>
              <w:rPr>
                <w:rFonts w:ascii="VIC" w:hAnsi="VIC"/>
                <w:sz w:val="18"/>
                <w:szCs w:val="18"/>
              </w:rPr>
            </w:pPr>
            <w:r w:rsidRPr="00427725">
              <w:rPr>
                <w:rFonts w:ascii="VIC" w:eastAsia="Verdana" w:hAnsi="VIC"/>
                <w:color w:val="000000"/>
                <w:sz w:val="18"/>
                <w:szCs w:val="18"/>
              </w:rPr>
              <w:t>49 %</w:t>
            </w:r>
          </w:p>
        </w:tc>
      </w:tr>
      <w:tr w:rsidR="00847E82" w:rsidRPr="00A6366B" w14:paraId="315532A9" w14:textId="77777777" w:rsidTr="003330EE">
        <w:trPr>
          <w:trHeight w:val="340"/>
        </w:trPr>
        <w:tc>
          <w:tcPr>
            <w:tcW w:w="2135" w:type="dxa"/>
            <w:shd w:val="clear" w:color="auto" w:fill="BFCED6"/>
          </w:tcPr>
          <w:p w14:paraId="43AF7B19" w14:textId="336349C3"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Bendigo Health</w:t>
            </w:r>
          </w:p>
        </w:tc>
        <w:tc>
          <w:tcPr>
            <w:tcW w:w="2695" w:type="dxa"/>
            <w:shd w:val="clear" w:color="auto" w:fill="BFCED6"/>
          </w:tcPr>
          <w:p w14:paraId="3E124839" w14:textId="55C0D6B3"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Loddon/Southern Mallee</w:t>
            </w:r>
          </w:p>
        </w:tc>
        <w:tc>
          <w:tcPr>
            <w:tcW w:w="1212" w:type="dxa"/>
            <w:shd w:val="clear" w:color="auto" w:fill="BFCED6"/>
          </w:tcPr>
          <w:p w14:paraId="5E6979E3" w14:textId="61F978BB" w:rsidR="00847E82" w:rsidRPr="005B1FEF" w:rsidRDefault="00847E82" w:rsidP="00847E82">
            <w:pPr>
              <w:jc w:val="center"/>
              <w:rPr>
                <w:rFonts w:ascii="VIC" w:hAnsi="VIC"/>
                <w:sz w:val="18"/>
                <w:szCs w:val="18"/>
              </w:rPr>
            </w:pPr>
            <w:r w:rsidRPr="00427725">
              <w:rPr>
                <w:rFonts w:ascii="VIC" w:eastAsia="Verdana" w:hAnsi="VIC"/>
                <w:color w:val="000000"/>
                <w:sz w:val="18"/>
                <w:szCs w:val="18"/>
              </w:rPr>
              <w:t>2.3</w:t>
            </w:r>
          </w:p>
        </w:tc>
        <w:tc>
          <w:tcPr>
            <w:tcW w:w="1213" w:type="dxa"/>
            <w:shd w:val="clear" w:color="auto" w:fill="BFCED6"/>
          </w:tcPr>
          <w:p w14:paraId="0F75E8BD" w14:textId="3A997766" w:rsidR="00847E82" w:rsidRPr="005B1FEF" w:rsidRDefault="00847E82" w:rsidP="00847E82">
            <w:pPr>
              <w:jc w:val="center"/>
              <w:rPr>
                <w:rFonts w:ascii="VIC" w:hAnsi="VIC"/>
                <w:sz w:val="18"/>
                <w:szCs w:val="18"/>
              </w:rPr>
            </w:pPr>
            <w:r w:rsidRPr="00427725">
              <w:rPr>
                <w:rFonts w:ascii="VIC" w:eastAsia="Verdana" w:hAnsi="VIC"/>
                <w:color w:val="000000"/>
                <w:sz w:val="18"/>
                <w:szCs w:val="18"/>
              </w:rPr>
              <w:t>61 %</w:t>
            </w:r>
          </w:p>
        </w:tc>
        <w:tc>
          <w:tcPr>
            <w:tcW w:w="1213" w:type="dxa"/>
            <w:shd w:val="clear" w:color="auto" w:fill="BFCED6"/>
          </w:tcPr>
          <w:p w14:paraId="396E4405" w14:textId="2C865940"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BFCED6"/>
          </w:tcPr>
          <w:p w14:paraId="563457D8" w14:textId="391AB3E2" w:rsidR="00847E82" w:rsidRPr="005B1FEF" w:rsidRDefault="00847E82" w:rsidP="00847E82">
            <w:pPr>
              <w:jc w:val="center"/>
              <w:rPr>
                <w:rFonts w:ascii="VIC" w:hAnsi="VIC"/>
                <w:sz w:val="18"/>
                <w:szCs w:val="18"/>
              </w:rPr>
            </w:pPr>
            <w:r w:rsidRPr="00427725">
              <w:rPr>
                <w:rFonts w:ascii="VIC" w:eastAsia="Verdana" w:hAnsi="VIC"/>
                <w:color w:val="000000"/>
                <w:sz w:val="18"/>
                <w:szCs w:val="18"/>
              </w:rPr>
              <w:t>100.6</w:t>
            </w:r>
          </w:p>
        </w:tc>
        <w:tc>
          <w:tcPr>
            <w:tcW w:w="1212" w:type="dxa"/>
            <w:shd w:val="clear" w:color="auto" w:fill="BFCED6"/>
          </w:tcPr>
          <w:p w14:paraId="311AE61E" w14:textId="5073B174" w:rsidR="00847E82" w:rsidRPr="005B1FEF" w:rsidRDefault="00847E82" w:rsidP="00847E82">
            <w:pPr>
              <w:jc w:val="center"/>
              <w:rPr>
                <w:rFonts w:ascii="VIC" w:hAnsi="VIC"/>
                <w:sz w:val="18"/>
                <w:szCs w:val="18"/>
              </w:rPr>
            </w:pPr>
            <w:r w:rsidRPr="00427725">
              <w:rPr>
                <w:rFonts w:ascii="VIC" w:eastAsia="Verdana" w:hAnsi="VIC"/>
                <w:color w:val="000000"/>
                <w:sz w:val="18"/>
                <w:szCs w:val="18"/>
              </w:rPr>
              <w:t>32 %</w:t>
            </w:r>
          </w:p>
        </w:tc>
        <w:tc>
          <w:tcPr>
            <w:tcW w:w="1213" w:type="dxa"/>
            <w:shd w:val="clear" w:color="auto" w:fill="BFCED6"/>
          </w:tcPr>
          <w:p w14:paraId="6FFACEE8" w14:textId="016B8C81" w:rsidR="00847E82" w:rsidRPr="005B1FEF" w:rsidRDefault="00847E82" w:rsidP="00847E82">
            <w:pPr>
              <w:jc w:val="center"/>
              <w:rPr>
                <w:rFonts w:ascii="VIC" w:hAnsi="VIC"/>
                <w:sz w:val="18"/>
                <w:szCs w:val="18"/>
              </w:rPr>
            </w:pPr>
            <w:r w:rsidRPr="00427725">
              <w:rPr>
                <w:rFonts w:ascii="VIC" w:eastAsia="Verdana" w:hAnsi="VIC"/>
                <w:color w:val="000000"/>
                <w:sz w:val="18"/>
                <w:szCs w:val="18"/>
              </w:rPr>
              <w:t>72 %</w:t>
            </w:r>
          </w:p>
        </w:tc>
        <w:tc>
          <w:tcPr>
            <w:tcW w:w="1213" w:type="dxa"/>
            <w:shd w:val="clear" w:color="auto" w:fill="BFCED6"/>
          </w:tcPr>
          <w:p w14:paraId="03E09B76" w14:textId="15F9F0C8" w:rsidR="00847E82" w:rsidRPr="005B1FEF" w:rsidRDefault="00847E82" w:rsidP="00847E82">
            <w:pPr>
              <w:jc w:val="center"/>
              <w:rPr>
                <w:rFonts w:ascii="VIC" w:hAnsi="VIC"/>
                <w:sz w:val="18"/>
                <w:szCs w:val="18"/>
              </w:rPr>
            </w:pPr>
            <w:r w:rsidRPr="00427725">
              <w:rPr>
                <w:rFonts w:ascii="VIC" w:eastAsia="Verdana" w:hAnsi="VIC"/>
                <w:color w:val="000000"/>
                <w:sz w:val="18"/>
                <w:szCs w:val="18"/>
              </w:rPr>
              <w:t>17.3</w:t>
            </w:r>
          </w:p>
        </w:tc>
        <w:tc>
          <w:tcPr>
            <w:tcW w:w="1213" w:type="dxa"/>
            <w:shd w:val="clear" w:color="auto" w:fill="BFCED6"/>
          </w:tcPr>
          <w:p w14:paraId="5AB8B709" w14:textId="3096D9D0" w:rsidR="00847E82" w:rsidRPr="005B1FEF" w:rsidRDefault="00847E82" w:rsidP="00847E82">
            <w:pPr>
              <w:jc w:val="center"/>
              <w:rPr>
                <w:rFonts w:ascii="VIC" w:hAnsi="VIC"/>
                <w:sz w:val="18"/>
                <w:szCs w:val="18"/>
              </w:rPr>
            </w:pPr>
            <w:r w:rsidRPr="00427725">
              <w:rPr>
                <w:rFonts w:ascii="VIC" w:eastAsia="Verdana" w:hAnsi="VIC"/>
                <w:color w:val="000000"/>
                <w:sz w:val="18"/>
                <w:szCs w:val="18"/>
              </w:rPr>
              <w:t>62 %</w:t>
            </w:r>
          </w:p>
        </w:tc>
        <w:tc>
          <w:tcPr>
            <w:tcW w:w="1213" w:type="dxa"/>
            <w:shd w:val="clear" w:color="auto" w:fill="BFCED6"/>
          </w:tcPr>
          <w:p w14:paraId="7B52C4CF" w14:textId="262EC589" w:rsidR="00847E82" w:rsidRPr="005B1FEF" w:rsidRDefault="00847E82" w:rsidP="00847E82">
            <w:pPr>
              <w:jc w:val="center"/>
              <w:rPr>
                <w:rFonts w:ascii="VIC" w:hAnsi="VIC"/>
                <w:sz w:val="18"/>
                <w:szCs w:val="18"/>
              </w:rPr>
            </w:pPr>
            <w:r w:rsidRPr="00427725">
              <w:rPr>
                <w:rFonts w:ascii="VIC" w:eastAsia="Verdana" w:hAnsi="VIC"/>
                <w:color w:val="000000"/>
                <w:sz w:val="18"/>
                <w:szCs w:val="18"/>
              </w:rPr>
              <w:t>49 %</w:t>
            </w:r>
          </w:p>
        </w:tc>
      </w:tr>
      <w:tr w:rsidR="00847E82" w:rsidRPr="00A6366B" w14:paraId="558E6AB0" w14:textId="77777777" w:rsidTr="003330EE">
        <w:trPr>
          <w:trHeight w:val="340"/>
        </w:trPr>
        <w:tc>
          <w:tcPr>
            <w:tcW w:w="2135" w:type="dxa"/>
            <w:shd w:val="clear" w:color="auto" w:fill="FFFFFF" w:themeFill="background1"/>
          </w:tcPr>
          <w:p w14:paraId="2C8541CE" w14:textId="661AE03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Goulburn Valley Health</w:t>
            </w:r>
          </w:p>
        </w:tc>
        <w:tc>
          <w:tcPr>
            <w:tcW w:w="2695" w:type="dxa"/>
            <w:shd w:val="clear" w:color="auto" w:fill="FFFFFF" w:themeFill="background1"/>
          </w:tcPr>
          <w:p w14:paraId="0F3A4F76" w14:textId="18DE115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Goulburn &amp; Southern</w:t>
            </w:r>
          </w:p>
        </w:tc>
        <w:tc>
          <w:tcPr>
            <w:tcW w:w="1212" w:type="dxa"/>
            <w:shd w:val="clear" w:color="auto" w:fill="FFFFFF" w:themeFill="background1"/>
          </w:tcPr>
          <w:p w14:paraId="4B070A41" w14:textId="1A4B9FC1" w:rsidR="00847E82" w:rsidRPr="005B1FEF" w:rsidRDefault="00847E82" w:rsidP="00847E82">
            <w:pPr>
              <w:jc w:val="center"/>
              <w:rPr>
                <w:rFonts w:ascii="VIC" w:hAnsi="VIC"/>
                <w:sz w:val="18"/>
                <w:szCs w:val="18"/>
              </w:rPr>
            </w:pPr>
            <w:r w:rsidRPr="00427725">
              <w:rPr>
                <w:rFonts w:ascii="VIC" w:eastAsia="Verdana" w:hAnsi="VIC"/>
                <w:color w:val="000000"/>
                <w:sz w:val="18"/>
                <w:szCs w:val="18"/>
              </w:rPr>
              <w:t>3.4</w:t>
            </w:r>
          </w:p>
        </w:tc>
        <w:tc>
          <w:tcPr>
            <w:tcW w:w="1213" w:type="dxa"/>
            <w:shd w:val="clear" w:color="auto" w:fill="FFFFFF" w:themeFill="background1"/>
          </w:tcPr>
          <w:p w14:paraId="682135C7" w14:textId="623C7997" w:rsidR="00847E82" w:rsidRPr="005B1FEF" w:rsidRDefault="00847E82" w:rsidP="00847E82">
            <w:pPr>
              <w:jc w:val="center"/>
              <w:rPr>
                <w:rFonts w:ascii="VIC" w:hAnsi="VIC"/>
                <w:sz w:val="18"/>
                <w:szCs w:val="18"/>
              </w:rPr>
            </w:pPr>
            <w:r w:rsidRPr="00427725">
              <w:rPr>
                <w:rFonts w:ascii="VIC" w:eastAsia="Verdana" w:hAnsi="VIC"/>
                <w:color w:val="000000"/>
                <w:sz w:val="18"/>
                <w:szCs w:val="18"/>
              </w:rPr>
              <w:t>107 %</w:t>
            </w:r>
          </w:p>
        </w:tc>
        <w:tc>
          <w:tcPr>
            <w:tcW w:w="1213" w:type="dxa"/>
            <w:shd w:val="clear" w:color="auto" w:fill="FFFFFF" w:themeFill="background1"/>
          </w:tcPr>
          <w:p w14:paraId="5D190F26" w14:textId="451184D3"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213" w:type="dxa"/>
            <w:shd w:val="clear" w:color="auto" w:fill="FFFFFF" w:themeFill="background1"/>
          </w:tcPr>
          <w:p w14:paraId="25670850" w14:textId="4C216CDE" w:rsidR="00847E82" w:rsidRPr="005B1FEF" w:rsidRDefault="00847E82" w:rsidP="00847E82">
            <w:pPr>
              <w:jc w:val="center"/>
              <w:rPr>
                <w:rFonts w:ascii="VIC" w:hAnsi="VIC"/>
                <w:sz w:val="18"/>
                <w:szCs w:val="18"/>
              </w:rPr>
            </w:pPr>
            <w:r w:rsidRPr="00427725">
              <w:rPr>
                <w:rFonts w:ascii="VIC" w:eastAsia="Verdana" w:hAnsi="VIC"/>
                <w:color w:val="000000"/>
                <w:sz w:val="18"/>
                <w:szCs w:val="18"/>
              </w:rPr>
              <w:t>310.9</w:t>
            </w:r>
          </w:p>
        </w:tc>
        <w:tc>
          <w:tcPr>
            <w:tcW w:w="1212" w:type="dxa"/>
            <w:shd w:val="clear" w:color="auto" w:fill="FFFFFF" w:themeFill="background1"/>
          </w:tcPr>
          <w:p w14:paraId="7CB6A0ED" w14:textId="395A4ECD"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213" w:type="dxa"/>
            <w:shd w:val="clear" w:color="auto" w:fill="FFFFFF" w:themeFill="background1"/>
          </w:tcPr>
          <w:p w14:paraId="0548A953" w14:textId="588DD341" w:rsidR="00847E82" w:rsidRPr="005B1FEF" w:rsidRDefault="00847E82" w:rsidP="00847E82">
            <w:pPr>
              <w:jc w:val="center"/>
              <w:rPr>
                <w:rFonts w:ascii="VIC" w:hAnsi="VIC"/>
                <w:sz w:val="18"/>
                <w:szCs w:val="18"/>
              </w:rPr>
            </w:pPr>
            <w:r w:rsidRPr="00427725">
              <w:rPr>
                <w:rFonts w:ascii="VIC" w:eastAsia="Verdana" w:hAnsi="VIC"/>
                <w:color w:val="000000"/>
                <w:sz w:val="18"/>
                <w:szCs w:val="18"/>
              </w:rPr>
              <w:t>50 %</w:t>
            </w:r>
          </w:p>
        </w:tc>
        <w:tc>
          <w:tcPr>
            <w:tcW w:w="1213" w:type="dxa"/>
            <w:shd w:val="clear" w:color="auto" w:fill="FFFFFF" w:themeFill="background1"/>
          </w:tcPr>
          <w:p w14:paraId="4F948721" w14:textId="53EE5B13" w:rsidR="00847E82" w:rsidRPr="005B1FEF" w:rsidRDefault="00847E82" w:rsidP="00847E82">
            <w:pPr>
              <w:jc w:val="center"/>
              <w:rPr>
                <w:rFonts w:ascii="VIC" w:hAnsi="VIC"/>
                <w:sz w:val="18"/>
                <w:szCs w:val="18"/>
              </w:rPr>
            </w:pPr>
            <w:r w:rsidRPr="00427725">
              <w:rPr>
                <w:rFonts w:ascii="VIC" w:eastAsia="Verdana" w:hAnsi="VIC"/>
                <w:color w:val="000000"/>
                <w:sz w:val="18"/>
                <w:szCs w:val="18"/>
              </w:rPr>
              <w:t>15.5</w:t>
            </w:r>
          </w:p>
        </w:tc>
        <w:tc>
          <w:tcPr>
            <w:tcW w:w="1213" w:type="dxa"/>
            <w:shd w:val="clear" w:color="auto" w:fill="FFFFFF" w:themeFill="background1"/>
          </w:tcPr>
          <w:p w14:paraId="1010DCC0" w14:textId="7A28C868" w:rsidR="00847E82" w:rsidRPr="005B1FEF" w:rsidRDefault="00847E82" w:rsidP="00847E82">
            <w:pPr>
              <w:jc w:val="center"/>
              <w:rPr>
                <w:rFonts w:ascii="VIC" w:hAnsi="VIC"/>
                <w:sz w:val="18"/>
                <w:szCs w:val="18"/>
              </w:rPr>
            </w:pPr>
            <w:r w:rsidRPr="00427725">
              <w:rPr>
                <w:rFonts w:ascii="VIC" w:eastAsia="Verdana" w:hAnsi="VIC"/>
                <w:color w:val="000000"/>
                <w:sz w:val="18"/>
                <w:szCs w:val="18"/>
              </w:rPr>
              <w:t>29 %</w:t>
            </w:r>
          </w:p>
        </w:tc>
        <w:tc>
          <w:tcPr>
            <w:tcW w:w="1213" w:type="dxa"/>
            <w:shd w:val="clear" w:color="auto" w:fill="FFFFFF" w:themeFill="background1"/>
          </w:tcPr>
          <w:p w14:paraId="71F16A78" w14:textId="099D3C30" w:rsidR="00847E82" w:rsidRPr="005B1FEF" w:rsidRDefault="00847E82" w:rsidP="00847E82">
            <w:pPr>
              <w:jc w:val="center"/>
              <w:rPr>
                <w:rFonts w:ascii="VIC" w:hAnsi="VIC"/>
                <w:sz w:val="18"/>
                <w:szCs w:val="18"/>
              </w:rPr>
            </w:pPr>
            <w:r w:rsidRPr="00427725">
              <w:rPr>
                <w:rFonts w:ascii="VIC" w:eastAsia="Verdana" w:hAnsi="VIC"/>
                <w:color w:val="000000"/>
                <w:sz w:val="18"/>
                <w:szCs w:val="18"/>
              </w:rPr>
              <w:t>21 %</w:t>
            </w:r>
          </w:p>
        </w:tc>
      </w:tr>
      <w:tr w:rsidR="00847E82" w:rsidRPr="00A6366B" w14:paraId="59EF4869" w14:textId="77777777" w:rsidTr="003330EE">
        <w:trPr>
          <w:trHeight w:val="340"/>
        </w:trPr>
        <w:tc>
          <w:tcPr>
            <w:tcW w:w="2135" w:type="dxa"/>
            <w:shd w:val="clear" w:color="auto" w:fill="BFCED6"/>
          </w:tcPr>
          <w:p w14:paraId="539FCDC2" w14:textId="4D7A363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Latrobe Regional</w:t>
            </w:r>
          </w:p>
        </w:tc>
        <w:tc>
          <w:tcPr>
            <w:tcW w:w="2695" w:type="dxa"/>
            <w:shd w:val="clear" w:color="auto" w:fill="BFCED6"/>
          </w:tcPr>
          <w:p w14:paraId="34A573ED" w14:textId="7F622C8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Gippsland</w:t>
            </w:r>
          </w:p>
        </w:tc>
        <w:tc>
          <w:tcPr>
            <w:tcW w:w="1212" w:type="dxa"/>
            <w:shd w:val="clear" w:color="auto" w:fill="BFCED6"/>
          </w:tcPr>
          <w:p w14:paraId="4A5D2CE1" w14:textId="7452CCB2" w:rsidR="00847E82" w:rsidRPr="005B1FEF" w:rsidRDefault="00847E82" w:rsidP="00847E82">
            <w:pPr>
              <w:jc w:val="center"/>
              <w:rPr>
                <w:rFonts w:ascii="VIC" w:hAnsi="VIC"/>
                <w:sz w:val="18"/>
                <w:szCs w:val="18"/>
              </w:rPr>
            </w:pPr>
            <w:r w:rsidRPr="00427725">
              <w:rPr>
                <w:rFonts w:ascii="VIC" w:eastAsia="Verdana" w:hAnsi="VIC"/>
                <w:color w:val="000000"/>
                <w:sz w:val="18"/>
                <w:szCs w:val="18"/>
              </w:rPr>
              <w:t>2.7</w:t>
            </w:r>
          </w:p>
        </w:tc>
        <w:tc>
          <w:tcPr>
            <w:tcW w:w="1213" w:type="dxa"/>
            <w:shd w:val="clear" w:color="auto" w:fill="BFCED6"/>
          </w:tcPr>
          <w:p w14:paraId="738F8F26" w14:textId="2783B589"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213" w:type="dxa"/>
            <w:shd w:val="clear" w:color="auto" w:fill="BFCED6"/>
          </w:tcPr>
          <w:p w14:paraId="657395B8" w14:textId="02D81FC4"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213" w:type="dxa"/>
            <w:shd w:val="clear" w:color="auto" w:fill="BFCED6"/>
          </w:tcPr>
          <w:p w14:paraId="1E43A9DC" w14:textId="38475142" w:rsidR="00847E82" w:rsidRPr="005B1FEF" w:rsidRDefault="00847E82" w:rsidP="00847E82">
            <w:pPr>
              <w:jc w:val="center"/>
              <w:rPr>
                <w:rFonts w:ascii="VIC" w:hAnsi="VIC"/>
                <w:sz w:val="18"/>
                <w:szCs w:val="18"/>
              </w:rPr>
            </w:pPr>
            <w:r w:rsidRPr="00427725">
              <w:rPr>
                <w:rFonts w:ascii="VIC" w:eastAsia="Verdana" w:hAnsi="VIC"/>
                <w:color w:val="000000"/>
                <w:sz w:val="18"/>
                <w:szCs w:val="18"/>
              </w:rPr>
              <w:t>170.0</w:t>
            </w:r>
          </w:p>
        </w:tc>
        <w:tc>
          <w:tcPr>
            <w:tcW w:w="1212" w:type="dxa"/>
            <w:shd w:val="clear" w:color="auto" w:fill="BFCED6"/>
          </w:tcPr>
          <w:p w14:paraId="24D8139F" w14:textId="23052D84" w:rsidR="00847E82" w:rsidRPr="005B1FEF" w:rsidRDefault="00847E82" w:rsidP="00847E82">
            <w:pPr>
              <w:jc w:val="center"/>
              <w:rPr>
                <w:rFonts w:ascii="VIC" w:hAnsi="VIC"/>
                <w:sz w:val="18"/>
                <w:szCs w:val="18"/>
              </w:rPr>
            </w:pPr>
            <w:r w:rsidRPr="00427725">
              <w:rPr>
                <w:rFonts w:ascii="VIC" w:eastAsia="Verdana" w:hAnsi="VIC"/>
                <w:color w:val="000000"/>
                <w:sz w:val="18"/>
                <w:szCs w:val="18"/>
              </w:rPr>
              <w:t>41 %</w:t>
            </w:r>
          </w:p>
        </w:tc>
        <w:tc>
          <w:tcPr>
            <w:tcW w:w="1213" w:type="dxa"/>
            <w:shd w:val="clear" w:color="auto" w:fill="BFCED6"/>
          </w:tcPr>
          <w:p w14:paraId="1075852B" w14:textId="18AFF7F3"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213" w:type="dxa"/>
            <w:shd w:val="clear" w:color="auto" w:fill="BFCED6"/>
          </w:tcPr>
          <w:p w14:paraId="07828443" w14:textId="31C7D455" w:rsidR="00847E82" w:rsidRPr="005B1FEF" w:rsidRDefault="00847E82" w:rsidP="00847E82">
            <w:pPr>
              <w:jc w:val="center"/>
              <w:rPr>
                <w:rFonts w:ascii="VIC" w:hAnsi="VIC"/>
                <w:sz w:val="18"/>
                <w:szCs w:val="18"/>
              </w:rPr>
            </w:pPr>
            <w:r w:rsidRPr="00427725">
              <w:rPr>
                <w:rFonts w:ascii="VIC" w:eastAsia="Verdana" w:hAnsi="VIC"/>
                <w:color w:val="000000"/>
                <w:sz w:val="18"/>
                <w:szCs w:val="18"/>
              </w:rPr>
              <w:t>13.6</w:t>
            </w:r>
          </w:p>
        </w:tc>
        <w:tc>
          <w:tcPr>
            <w:tcW w:w="1213" w:type="dxa"/>
            <w:shd w:val="clear" w:color="auto" w:fill="BFCED6"/>
          </w:tcPr>
          <w:p w14:paraId="3518B650" w14:textId="5A299D6A"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213" w:type="dxa"/>
            <w:shd w:val="clear" w:color="auto" w:fill="BFCED6"/>
          </w:tcPr>
          <w:p w14:paraId="1016E8D7" w14:textId="0988D1DD" w:rsidR="00847E82" w:rsidRPr="005B1FEF" w:rsidRDefault="00847E82" w:rsidP="00847E82">
            <w:pPr>
              <w:jc w:val="center"/>
              <w:rPr>
                <w:rFonts w:ascii="VIC" w:hAnsi="VIC"/>
                <w:sz w:val="18"/>
                <w:szCs w:val="18"/>
              </w:rPr>
            </w:pPr>
            <w:r w:rsidRPr="00427725">
              <w:rPr>
                <w:rFonts w:ascii="VIC" w:eastAsia="Verdana" w:hAnsi="VIC"/>
                <w:color w:val="000000"/>
                <w:sz w:val="18"/>
                <w:szCs w:val="18"/>
              </w:rPr>
              <w:t>64 %</w:t>
            </w:r>
          </w:p>
        </w:tc>
      </w:tr>
      <w:tr w:rsidR="00847E82" w:rsidRPr="00A6366B" w14:paraId="46863A84" w14:textId="77777777" w:rsidTr="003330EE">
        <w:trPr>
          <w:trHeight w:val="340"/>
        </w:trPr>
        <w:tc>
          <w:tcPr>
            <w:tcW w:w="2135" w:type="dxa"/>
            <w:shd w:val="clear" w:color="auto" w:fill="FFFFFF" w:themeFill="background1"/>
          </w:tcPr>
          <w:p w14:paraId="4BB9C8D9" w14:textId="3640487F"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Albury Wodonga Health</w:t>
            </w:r>
          </w:p>
        </w:tc>
        <w:tc>
          <w:tcPr>
            <w:tcW w:w="2695" w:type="dxa"/>
            <w:shd w:val="clear" w:color="auto" w:fill="FFFFFF" w:themeFill="background1"/>
          </w:tcPr>
          <w:p w14:paraId="315B0B78" w14:textId="72F0B9F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&amp; Border</w:t>
            </w:r>
          </w:p>
        </w:tc>
        <w:tc>
          <w:tcPr>
            <w:tcW w:w="1212" w:type="dxa"/>
            <w:shd w:val="clear" w:color="auto" w:fill="FFFFFF" w:themeFill="background1"/>
          </w:tcPr>
          <w:p w14:paraId="0CD3BDE2" w14:textId="181BA9C7" w:rsidR="00847E82" w:rsidRPr="005B1FEF" w:rsidRDefault="00847E82" w:rsidP="00847E82">
            <w:pPr>
              <w:jc w:val="center"/>
              <w:rPr>
                <w:rFonts w:ascii="VIC" w:hAnsi="VIC"/>
                <w:sz w:val="18"/>
                <w:szCs w:val="18"/>
              </w:rPr>
            </w:pPr>
            <w:r w:rsidRPr="00427725">
              <w:rPr>
                <w:rFonts w:ascii="VIC" w:eastAsia="Verdana" w:hAnsi="VIC"/>
                <w:color w:val="000000"/>
                <w:sz w:val="18"/>
                <w:szCs w:val="18"/>
              </w:rPr>
              <w:t>10.2</w:t>
            </w:r>
          </w:p>
        </w:tc>
        <w:tc>
          <w:tcPr>
            <w:tcW w:w="1213" w:type="dxa"/>
            <w:shd w:val="clear" w:color="auto" w:fill="FFFFFF" w:themeFill="background1"/>
          </w:tcPr>
          <w:p w14:paraId="32283EED" w14:textId="784CF7CE" w:rsidR="00847E82" w:rsidRPr="005B1FEF" w:rsidRDefault="00847E82" w:rsidP="00847E82">
            <w:pPr>
              <w:jc w:val="center"/>
              <w:rPr>
                <w:rFonts w:ascii="VIC" w:hAnsi="VIC"/>
                <w:sz w:val="18"/>
                <w:szCs w:val="18"/>
              </w:rPr>
            </w:pPr>
            <w:r w:rsidRPr="00427725">
              <w:rPr>
                <w:rFonts w:ascii="VIC" w:eastAsia="Verdana" w:hAnsi="VIC"/>
                <w:color w:val="000000"/>
                <w:sz w:val="18"/>
                <w:szCs w:val="18"/>
              </w:rPr>
              <w:t>89 %</w:t>
            </w:r>
          </w:p>
        </w:tc>
        <w:tc>
          <w:tcPr>
            <w:tcW w:w="1213" w:type="dxa"/>
            <w:shd w:val="clear" w:color="auto" w:fill="FFFFFF" w:themeFill="background1"/>
          </w:tcPr>
          <w:p w14:paraId="4D02C9F0" w14:textId="3BCB82BC"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213" w:type="dxa"/>
            <w:shd w:val="clear" w:color="auto" w:fill="FFFFFF" w:themeFill="background1"/>
          </w:tcPr>
          <w:p w14:paraId="7F09CCBB" w14:textId="09634B87" w:rsidR="00847E82" w:rsidRPr="005B1FEF" w:rsidRDefault="00847E82" w:rsidP="00847E82">
            <w:pPr>
              <w:jc w:val="center"/>
              <w:rPr>
                <w:rFonts w:ascii="VIC" w:hAnsi="VIC"/>
                <w:sz w:val="18"/>
                <w:szCs w:val="18"/>
              </w:rPr>
            </w:pPr>
            <w:r w:rsidRPr="00427725">
              <w:rPr>
                <w:rFonts w:ascii="VIC" w:eastAsia="Verdana" w:hAnsi="VIC"/>
                <w:color w:val="000000"/>
                <w:sz w:val="18"/>
                <w:szCs w:val="18"/>
              </w:rPr>
              <w:t>799.8</w:t>
            </w:r>
          </w:p>
        </w:tc>
        <w:tc>
          <w:tcPr>
            <w:tcW w:w="1212" w:type="dxa"/>
            <w:shd w:val="clear" w:color="auto" w:fill="FFFFFF" w:themeFill="background1"/>
          </w:tcPr>
          <w:p w14:paraId="36002C41" w14:textId="41553CBB"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213" w:type="dxa"/>
            <w:shd w:val="clear" w:color="auto" w:fill="FFFFFF" w:themeFill="background1"/>
          </w:tcPr>
          <w:p w14:paraId="3FAE7914" w14:textId="7E079EBB"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213" w:type="dxa"/>
            <w:shd w:val="clear" w:color="auto" w:fill="FFFFFF" w:themeFill="background1"/>
          </w:tcPr>
          <w:p w14:paraId="2367C856" w14:textId="0561731C" w:rsidR="00847E82" w:rsidRPr="005B1FEF" w:rsidRDefault="00847E82" w:rsidP="00847E82">
            <w:pPr>
              <w:jc w:val="center"/>
              <w:rPr>
                <w:rFonts w:ascii="VIC" w:hAnsi="VIC"/>
                <w:sz w:val="18"/>
                <w:szCs w:val="18"/>
              </w:rPr>
            </w:pPr>
            <w:r w:rsidRPr="00427725">
              <w:rPr>
                <w:rFonts w:ascii="VIC" w:eastAsia="Verdana" w:hAnsi="VIC"/>
                <w:color w:val="000000"/>
                <w:sz w:val="18"/>
                <w:szCs w:val="18"/>
              </w:rPr>
              <w:t>12.3</w:t>
            </w:r>
          </w:p>
        </w:tc>
        <w:tc>
          <w:tcPr>
            <w:tcW w:w="1213" w:type="dxa"/>
            <w:shd w:val="clear" w:color="auto" w:fill="FFFFFF" w:themeFill="background1"/>
          </w:tcPr>
          <w:p w14:paraId="5F7D5D70" w14:textId="0689A05D"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213" w:type="dxa"/>
            <w:shd w:val="clear" w:color="auto" w:fill="FFFFFF" w:themeFill="background1"/>
          </w:tcPr>
          <w:p w14:paraId="6776757D" w14:textId="68D9C32F" w:rsidR="00847E82" w:rsidRPr="005B1FEF" w:rsidRDefault="00847E82" w:rsidP="00847E82">
            <w:pPr>
              <w:jc w:val="center"/>
              <w:rPr>
                <w:rFonts w:ascii="VIC" w:hAnsi="VIC"/>
                <w:sz w:val="18"/>
                <w:szCs w:val="18"/>
              </w:rPr>
            </w:pPr>
            <w:r w:rsidRPr="00427725">
              <w:rPr>
                <w:rFonts w:ascii="VIC" w:eastAsia="Verdana" w:hAnsi="VIC"/>
                <w:color w:val="000000"/>
                <w:sz w:val="18"/>
                <w:szCs w:val="18"/>
              </w:rPr>
              <w:t>71 %</w:t>
            </w:r>
          </w:p>
        </w:tc>
      </w:tr>
      <w:tr w:rsidR="00847E82" w:rsidRPr="00847E82" w14:paraId="50550ACD" w14:textId="77777777" w:rsidTr="003330EE">
        <w:trPr>
          <w:trHeight w:val="312"/>
        </w:trPr>
        <w:tc>
          <w:tcPr>
            <w:tcW w:w="2135" w:type="dxa"/>
            <w:shd w:val="clear" w:color="auto" w:fill="B1C9E8"/>
          </w:tcPr>
          <w:p w14:paraId="267FA854" w14:textId="7DADE996"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RURAL</w:t>
            </w:r>
          </w:p>
        </w:tc>
        <w:tc>
          <w:tcPr>
            <w:tcW w:w="2695" w:type="dxa"/>
            <w:shd w:val="clear" w:color="auto" w:fill="B1C9E8"/>
          </w:tcPr>
          <w:p w14:paraId="0A697835" w14:textId="22EBD61B"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212" w:type="dxa"/>
            <w:shd w:val="clear" w:color="auto" w:fill="B1C9E8"/>
          </w:tcPr>
          <w:p w14:paraId="0B354CFE" w14:textId="4C818AF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3.1</w:t>
            </w:r>
          </w:p>
        </w:tc>
        <w:tc>
          <w:tcPr>
            <w:tcW w:w="1213" w:type="dxa"/>
            <w:shd w:val="clear" w:color="auto" w:fill="B1C9E8"/>
          </w:tcPr>
          <w:p w14:paraId="16D7678B" w14:textId="20BE3387"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73 %</w:t>
            </w:r>
          </w:p>
        </w:tc>
        <w:tc>
          <w:tcPr>
            <w:tcW w:w="1213" w:type="dxa"/>
            <w:shd w:val="clear" w:color="auto" w:fill="B1C9E8"/>
          </w:tcPr>
          <w:p w14:paraId="60AC0CF8" w14:textId="3BCB822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7 %</w:t>
            </w:r>
          </w:p>
        </w:tc>
        <w:tc>
          <w:tcPr>
            <w:tcW w:w="1213" w:type="dxa"/>
            <w:shd w:val="clear" w:color="auto" w:fill="B1C9E8"/>
          </w:tcPr>
          <w:p w14:paraId="437A7F41" w14:textId="094E0B2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332.8</w:t>
            </w:r>
          </w:p>
        </w:tc>
        <w:tc>
          <w:tcPr>
            <w:tcW w:w="1212" w:type="dxa"/>
            <w:shd w:val="clear" w:color="auto" w:fill="B1C9E8"/>
          </w:tcPr>
          <w:p w14:paraId="4D70AF70" w14:textId="120DEAD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29 %</w:t>
            </w:r>
          </w:p>
        </w:tc>
        <w:tc>
          <w:tcPr>
            <w:tcW w:w="1213" w:type="dxa"/>
            <w:shd w:val="clear" w:color="auto" w:fill="B1C9E8"/>
          </w:tcPr>
          <w:p w14:paraId="770738D2" w14:textId="3AF66177"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81 %</w:t>
            </w:r>
          </w:p>
        </w:tc>
        <w:tc>
          <w:tcPr>
            <w:tcW w:w="1213" w:type="dxa"/>
            <w:shd w:val="clear" w:color="auto" w:fill="B1C9E8"/>
          </w:tcPr>
          <w:p w14:paraId="6B1BC806" w14:textId="1905F0A5"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14.3</w:t>
            </w:r>
          </w:p>
        </w:tc>
        <w:tc>
          <w:tcPr>
            <w:tcW w:w="1213" w:type="dxa"/>
            <w:shd w:val="clear" w:color="auto" w:fill="B1C9E8"/>
          </w:tcPr>
          <w:p w14:paraId="23D57236" w14:textId="13ED985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59 %</w:t>
            </w:r>
          </w:p>
        </w:tc>
        <w:tc>
          <w:tcPr>
            <w:tcW w:w="1213" w:type="dxa"/>
            <w:shd w:val="clear" w:color="auto" w:fill="B1C9E8"/>
          </w:tcPr>
          <w:p w14:paraId="4E8B47F9" w14:textId="1CF96C57"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53 %</w:t>
            </w:r>
          </w:p>
        </w:tc>
      </w:tr>
      <w:tr w:rsidR="00847E82" w:rsidRPr="008D13A2" w14:paraId="56EAC559" w14:textId="77777777" w:rsidTr="003330EE">
        <w:trPr>
          <w:trHeight w:val="312"/>
        </w:trPr>
        <w:tc>
          <w:tcPr>
            <w:tcW w:w="2135" w:type="dxa"/>
            <w:shd w:val="clear" w:color="auto" w:fill="244C5A"/>
          </w:tcPr>
          <w:p w14:paraId="698C312A" w14:textId="3FB898E7"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695" w:type="dxa"/>
            <w:shd w:val="clear" w:color="auto" w:fill="244C5A"/>
          </w:tcPr>
          <w:p w14:paraId="4246F82B" w14:textId="3E817F6D"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1212" w:type="dxa"/>
            <w:shd w:val="clear" w:color="auto" w:fill="244C5A"/>
          </w:tcPr>
          <w:p w14:paraId="37AB5048" w14:textId="09024D32"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2.6</w:t>
            </w:r>
          </w:p>
        </w:tc>
        <w:tc>
          <w:tcPr>
            <w:tcW w:w="1213" w:type="dxa"/>
            <w:shd w:val="clear" w:color="auto" w:fill="244C5A"/>
          </w:tcPr>
          <w:p w14:paraId="423398A6" w14:textId="38582D6A"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81 %</w:t>
            </w:r>
          </w:p>
        </w:tc>
        <w:tc>
          <w:tcPr>
            <w:tcW w:w="1213" w:type="dxa"/>
            <w:shd w:val="clear" w:color="auto" w:fill="244C5A"/>
          </w:tcPr>
          <w:p w14:paraId="5073DE83" w14:textId="29D30277"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6 %</w:t>
            </w:r>
          </w:p>
        </w:tc>
        <w:tc>
          <w:tcPr>
            <w:tcW w:w="1213" w:type="dxa"/>
            <w:shd w:val="clear" w:color="auto" w:fill="244C5A"/>
          </w:tcPr>
          <w:p w14:paraId="082C2900" w14:textId="1F12699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338.6</w:t>
            </w:r>
          </w:p>
        </w:tc>
        <w:tc>
          <w:tcPr>
            <w:tcW w:w="1212" w:type="dxa"/>
            <w:shd w:val="clear" w:color="auto" w:fill="244C5A"/>
          </w:tcPr>
          <w:p w14:paraId="212D9D93" w14:textId="2069C84F"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36 %</w:t>
            </w:r>
          </w:p>
        </w:tc>
        <w:tc>
          <w:tcPr>
            <w:tcW w:w="1213" w:type="dxa"/>
            <w:shd w:val="clear" w:color="auto" w:fill="244C5A"/>
          </w:tcPr>
          <w:p w14:paraId="6E02C932" w14:textId="15363B3F"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84 %</w:t>
            </w:r>
          </w:p>
        </w:tc>
        <w:tc>
          <w:tcPr>
            <w:tcW w:w="1213" w:type="dxa"/>
            <w:shd w:val="clear" w:color="auto" w:fill="244C5A"/>
          </w:tcPr>
          <w:p w14:paraId="7BED773A" w14:textId="5C8B8A5F"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15.6</w:t>
            </w:r>
          </w:p>
        </w:tc>
        <w:tc>
          <w:tcPr>
            <w:tcW w:w="1213" w:type="dxa"/>
            <w:shd w:val="clear" w:color="auto" w:fill="244C5A"/>
          </w:tcPr>
          <w:p w14:paraId="6003D3D8" w14:textId="704837F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66 %</w:t>
            </w:r>
          </w:p>
        </w:tc>
        <w:tc>
          <w:tcPr>
            <w:tcW w:w="1213" w:type="dxa"/>
            <w:shd w:val="clear" w:color="auto" w:fill="244C5A"/>
          </w:tcPr>
          <w:p w14:paraId="0DE2F557" w14:textId="1D984704"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45 %</w:t>
            </w:r>
          </w:p>
        </w:tc>
      </w:tr>
    </w:tbl>
    <w:p w14:paraId="19952C75" w14:textId="444AC5AB" w:rsidR="00D31B5F" w:rsidRDefault="00D31B5F">
      <w:pPr>
        <w:widowControl/>
        <w:rPr>
          <w:sz w:val="6"/>
        </w:rPr>
      </w:pP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0F6DF7CB" w:rsidR="003C29FF" w:rsidRPr="00592F37" w:rsidRDefault="003C29FF" w:rsidP="003C29FF">
            <w:pPr>
              <w:pStyle w:val="Heading1"/>
              <w:spacing w:before="0" w:line="240" w:lineRule="auto"/>
              <w:rPr>
                <w:color w:val="244C5A"/>
                <w:sz w:val="28"/>
                <w:szCs w:val="28"/>
              </w:rPr>
            </w:pPr>
            <w:bookmarkStart w:id="8" w:name="_Toc37867220"/>
            <w:r>
              <w:rPr>
                <w:color w:val="244C5A"/>
                <w:sz w:val="22"/>
                <w:szCs w:val="28"/>
              </w:rPr>
              <w:t>Extended care</w:t>
            </w:r>
            <w:r w:rsidRPr="00052DAD">
              <w:rPr>
                <w:color w:val="244C5A"/>
                <w:sz w:val="22"/>
                <w:szCs w:val="28"/>
              </w:rPr>
              <w:br w:type="textWrapping" w:clear="all"/>
            </w:r>
            <w:r w:rsidR="005406C4">
              <w:rPr>
                <w:color w:val="244C5A"/>
                <w:sz w:val="22"/>
                <w:szCs w:val="28"/>
              </w:rPr>
              <w:t>2019–20 Q</w:t>
            </w:r>
            <w:r w:rsidR="0056356A">
              <w:rPr>
                <w:color w:val="244C5A"/>
                <w:sz w:val="22"/>
                <w:szCs w:val="28"/>
              </w:rPr>
              <w:t>3</w:t>
            </w:r>
            <w:bookmarkEnd w:id="8"/>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847E82" w:rsidRPr="00A6366B" w14:paraId="581FAFBE" w14:textId="77777777" w:rsidTr="003C29FF">
        <w:trPr>
          <w:trHeight w:val="454"/>
        </w:trPr>
        <w:tc>
          <w:tcPr>
            <w:tcW w:w="2135" w:type="dxa"/>
            <w:shd w:val="clear" w:color="auto" w:fill="BFCED6"/>
          </w:tcPr>
          <w:p w14:paraId="4F550871" w14:textId="6F6A530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Austin Health</w:t>
            </w:r>
          </w:p>
        </w:tc>
        <w:tc>
          <w:tcPr>
            <w:tcW w:w="2695" w:type="dxa"/>
            <w:shd w:val="clear" w:color="auto" w:fill="BFCED6"/>
          </w:tcPr>
          <w:p w14:paraId="0C31A701" w14:textId="44C079EE"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(Austin)</w:t>
            </w:r>
          </w:p>
        </w:tc>
        <w:tc>
          <w:tcPr>
            <w:tcW w:w="1364" w:type="dxa"/>
            <w:shd w:val="clear" w:color="auto" w:fill="BFCED6"/>
          </w:tcPr>
          <w:p w14:paraId="67E07D92" w14:textId="271270FC" w:rsidR="00847E82" w:rsidRPr="005B1FEF" w:rsidRDefault="00847E82" w:rsidP="00847E82">
            <w:pPr>
              <w:jc w:val="center"/>
              <w:rPr>
                <w:rFonts w:ascii="VIC" w:hAnsi="VIC"/>
                <w:sz w:val="18"/>
                <w:szCs w:val="18"/>
              </w:rPr>
            </w:pPr>
            <w:r w:rsidRPr="00427725">
              <w:rPr>
                <w:rFonts w:ascii="VIC" w:eastAsia="Verdana" w:hAnsi="VIC"/>
                <w:color w:val="000000"/>
                <w:sz w:val="18"/>
                <w:szCs w:val="18"/>
              </w:rPr>
              <w:t>87 %</w:t>
            </w:r>
          </w:p>
        </w:tc>
        <w:tc>
          <w:tcPr>
            <w:tcW w:w="1364" w:type="dxa"/>
            <w:shd w:val="clear" w:color="auto" w:fill="BFCED6"/>
          </w:tcPr>
          <w:p w14:paraId="2A3E2A53" w14:textId="09853F01"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c>
          <w:tcPr>
            <w:tcW w:w="1365" w:type="dxa"/>
            <w:shd w:val="clear" w:color="auto" w:fill="BFCED6"/>
          </w:tcPr>
          <w:p w14:paraId="2DEA754A" w14:textId="57CEB977" w:rsidR="00847E82" w:rsidRPr="005B1FEF" w:rsidRDefault="00847E82" w:rsidP="00847E82">
            <w:pPr>
              <w:jc w:val="center"/>
              <w:rPr>
                <w:rFonts w:ascii="VIC" w:hAnsi="VIC"/>
                <w:sz w:val="18"/>
                <w:szCs w:val="18"/>
              </w:rPr>
            </w:pPr>
            <w:r w:rsidRPr="00427725">
              <w:rPr>
                <w:rFonts w:ascii="VIC" w:eastAsia="Verdana" w:hAnsi="VIC"/>
                <w:color w:val="000000"/>
                <w:sz w:val="18"/>
                <w:szCs w:val="18"/>
              </w:rPr>
              <w:t>746.2</w:t>
            </w:r>
          </w:p>
        </w:tc>
        <w:tc>
          <w:tcPr>
            <w:tcW w:w="1364" w:type="dxa"/>
            <w:shd w:val="clear" w:color="auto" w:fill="BFCED6"/>
          </w:tcPr>
          <w:p w14:paraId="16A26822" w14:textId="30ADFB99" w:rsidR="00847E82" w:rsidRPr="005B1FEF" w:rsidRDefault="00847E82" w:rsidP="00847E82">
            <w:pPr>
              <w:jc w:val="center"/>
              <w:rPr>
                <w:rFonts w:ascii="VIC" w:hAnsi="VIC"/>
                <w:sz w:val="18"/>
                <w:szCs w:val="18"/>
              </w:rPr>
            </w:pPr>
            <w:r w:rsidRPr="00427725">
              <w:rPr>
                <w:rFonts w:ascii="VIC" w:eastAsia="Verdana" w:hAnsi="VIC"/>
                <w:color w:val="000000"/>
                <w:sz w:val="18"/>
                <w:szCs w:val="18"/>
              </w:rPr>
              <w:t>3.7</w:t>
            </w:r>
          </w:p>
        </w:tc>
        <w:tc>
          <w:tcPr>
            <w:tcW w:w="1364" w:type="dxa"/>
            <w:shd w:val="clear" w:color="auto" w:fill="BFCED6"/>
          </w:tcPr>
          <w:p w14:paraId="6F81A86E" w14:textId="1D99EF9B" w:rsidR="00847E82" w:rsidRPr="005B1FEF" w:rsidRDefault="00847E82" w:rsidP="00847E82">
            <w:pPr>
              <w:jc w:val="center"/>
              <w:rPr>
                <w:rFonts w:ascii="VIC" w:hAnsi="VIC"/>
                <w:sz w:val="18"/>
                <w:szCs w:val="18"/>
              </w:rPr>
            </w:pPr>
            <w:r w:rsidRPr="00427725">
              <w:rPr>
                <w:rFonts w:ascii="VIC" w:eastAsia="Verdana" w:hAnsi="VIC"/>
                <w:color w:val="000000"/>
                <w:sz w:val="18"/>
                <w:szCs w:val="18"/>
              </w:rPr>
              <w:t>78 %</w:t>
            </w:r>
          </w:p>
        </w:tc>
        <w:tc>
          <w:tcPr>
            <w:tcW w:w="1365" w:type="dxa"/>
            <w:shd w:val="clear" w:color="auto" w:fill="BFCED6"/>
          </w:tcPr>
          <w:p w14:paraId="5C277A1F" w14:textId="3589CAAD" w:rsidR="00847E82" w:rsidRPr="005B1FEF" w:rsidRDefault="00847E82" w:rsidP="00847E82">
            <w:pPr>
              <w:jc w:val="center"/>
              <w:rPr>
                <w:rFonts w:ascii="VIC" w:hAnsi="VIC"/>
                <w:sz w:val="18"/>
                <w:szCs w:val="18"/>
              </w:rPr>
            </w:pPr>
            <w:r w:rsidRPr="00427725">
              <w:rPr>
                <w:rFonts w:ascii="VIC" w:eastAsia="Verdana" w:hAnsi="VIC"/>
                <w:color w:val="000000"/>
                <w:sz w:val="18"/>
                <w:szCs w:val="18"/>
              </w:rPr>
              <w:t>16.3</w:t>
            </w:r>
          </w:p>
        </w:tc>
        <w:tc>
          <w:tcPr>
            <w:tcW w:w="1364" w:type="dxa"/>
            <w:shd w:val="clear" w:color="auto" w:fill="BFCED6"/>
          </w:tcPr>
          <w:p w14:paraId="7184E255" w14:textId="02311FA0"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365" w:type="dxa"/>
            <w:shd w:val="clear" w:color="auto" w:fill="BFCED6"/>
          </w:tcPr>
          <w:p w14:paraId="11EBC660" w14:textId="3196E942"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r>
      <w:tr w:rsidR="00847E82" w:rsidRPr="00A6366B" w14:paraId="49A24217" w14:textId="77777777" w:rsidTr="003C29FF">
        <w:trPr>
          <w:trHeight w:val="454"/>
        </w:trPr>
        <w:tc>
          <w:tcPr>
            <w:tcW w:w="2135" w:type="dxa"/>
          </w:tcPr>
          <w:p w14:paraId="52A5F9CB" w14:textId="02EAB583"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Melbourne Health</w:t>
            </w:r>
          </w:p>
        </w:tc>
        <w:tc>
          <w:tcPr>
            <w:tcW w:w="2695" w:type="dxa"/>
          </w:tcPr>
          <w:p w14:paraId="446CBE8E" w14:textId="5C7B3CB3"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Mid West (Sunshine)</w:t>
            </w:r>
          </w:p>
        </w:tc>
        <w:tc>
          <w:tcPr>
            <w:tcW w:w="1364" w:type="dxa"/>
          </w:tcPr>
          <w:p w14:paraId="1AD73750" w14:textId="7ED473FD" w:rsidR="00847E82" w:rsidRPr="005B1FEF" w:rsidRDefault="00847E82" w:rsidP="00847E82">
            <w:pPr>
              <w:jc w:val="center"/>
              <w:rPr>
                <w:rFonts w:ascii="VIC" w:hAnsi="VIC"/>
                <w:sz w:val="18"/>
                <w:szCs w:val="18"/>
              </w:rPr>
            </w:pPr>
            <w:r w:rsidRPr="00427725">
              <w:rPr>
                <w:rFonts w:ascii="VIC" w:eastAsia="Verdana" w:hAnsi="VIC"/>
                <w:color w:val="000000"/>
                <w:sz w:val="18"/>
                <w:szCs w:val="18"/>
              </w:rPr>
              <w:t>98 %</w:t>
            </w:r>
          </w:p>
        </w:tc>
        <w:tc>
          <w:tcPr>
            <w:tcW w:w="1364" w:type="dxa"/>
          </w:tcPr>
          <w:p w14:paraId="4D71B6DA" w14:textId="37729D42"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365" w:type="dxa"/>
          </w:tcPr>
          <w:p w14:paraId="1E80AB47" w14:textId="4307B9A1" w:rsidR="00847E82" w:rsidRPr="005B1FEF" w:rsidRDefault="00847E82" w:rsidP="00847E82">
            <w:pPr>
              <w:jc w:val="center"/>
              <w:rPr>
                <w:rFonts w:ascii="VIC" w:hAnsi="VIC"/>
                <w:sz w:val="18"/>
                <w:szCs w:val="18"/>
              </w:rPr>
            </w:pPr>
            <w:r w:rsidRPr="00427725">
              <w:rPr>
                <w:rFonts w:ascii="VIC" w:eastAsia="Verdana" w:hAnsi="VIC"/>
                <w:color w:val="000000"/>
                <w:sz w:val="18"/>
                <w:szCs w:val="18"/>
              </w:rPr>
              <w:t>1,056.8</w:t>
            </w:r>
          </w:p>
        </w:tc>
        <w:tc>
          <w:tcPr>
            <w:tcW w:w="1364" w:type="dxa"/>
          </w:tcPr>
          <w:p w14:paraId="493793B7" w14:textId="1A69285D" w:rsidR="00847E82" w:rsidRPr="005B1FEF" w:rsidRDefault="00847E82" w:rsidP="00847E82">
            <w:pPr>
              <w:jc w:val="center"/>
              <w:rPr>
                <w:rFonts w:ascii="VIC" w:hAnsi="VIC"/>
                <w:sz w:val="18"/>
                <w:szCs w:val="18"/>
              </w:rPr>
            </w:pPr>
            <w:r w:rsidRPr="00427725">
              <w:rPr>
                <w:rFonts w:ascii="VIC" w:eastAsia="Verdana" w:hAnsi="VIC"/>
                <w:color w:val="000000"/>
                <w:sz w:val="18"/>
                <w:szCs w:val="18"/>
              </w:rPr>
              <w:t>6.7</w:t>
            </w:r>
          </w:p>
        </w:tc>
        <w:tc>
          <w:tcPr>
            <w:tcW w:w="1364" w:type="dxa"/>
          </w:tcPr>
          <w:p w14:paraId="742AB3E9" w14:textId="4F3E2737"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365" w:type="dxa"/>
          </w:tcPr>
          <w:p w14:paraId="2544E915" w14:textId="1E7341FF" w:rsidR="00847E82" w:rsidRPr="005B1FEF" w:rsidRDefault="00847E82" w:rsidP="00847E82">
            <w:pPr>
              <w:jc w:val="center"/>
              <w:rPr>
                <w:rFonts w:ascii="VIC" w:hAnsi="VIC"/>
                <w:sz w:val="18"/>
                <w:szCs w:val="18"/>
              </w:rPr>
            </w:pPr>
            <w:r w:rsidRPr="00427725">
              <w:rPr>
                <w:rFonts w:ascii="VIC" w:eastAsia="Verdana" w:hAnsi="VIC"/>
                <w:color w:val="000000"/>
                <w:sz w:val="18"/>
                <w:szCs w:val="18"/>
              </w:rPr>
              <w:t>14.0</w:t>
            </w:r>
          </w:p>
        </w:tc>
        <w:tc>
          <w:tcPr>
            <w:tcW w:w="1364" w:type="dxa"/>
          </w:tcPr>
          <w:p w14:paraId="5FAE92C9" w14:textId="46B7A562"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365" w:type="dxa"/>
          </w:tcPr>
          <w:p w14:paraId="4741FFC9" w14:textId="0E5080F6" w:rsidR="00847E82" w:rsidRPr="005B1FEF" w:rsidRDefault="00847E82" w:rsidP="00847E82">
            <w:pPr>
              <w:jc w:val="center"/>
              <w:rPr>
                <w:rFonts w:ascii="VIC" w:hAnsi="VIC"/>
                <w:sz w:val="18"/>
                <w:szCs w:val="18"/>
              </w:rPr>
            </w:pPr>
            <w:r w:rsidRPr="00427725">
              <w:rPr>
                <w:rFonts w:ascii="VIC" w:eastAsia="Verdana" w:hAnsi="VIC"/>
                <w:color w:val="000000"/>
                <w:sz w:val="18"/>
                <w:szCs w:val="18"/>
              </w:rPr>
              <w:t>30 %</w:t>
            </w:r>
          </w:p>
        </w:tc>
      </w:tr>
      <w:tr w:rsidR="00847E82" w:rsidRPr="00A6366B" w14:paraId="079909C0" w14:textId="77777777" w:rsidTr="003C29FF">
        <w:trPr>
          <w:trHeight w:val="454"/>
        </w:trPr>
        <w:tc>
          <w:tcPr>
            <w:tcW w:w="2135" w:type="dxa"/>
            <w:vMerge w:val="restart"/>
            <w:shd w:val="clear" w:color="auto" w:fill="BFCED6"/>
          </w:tcPr>
          <w:p w14:paraId="29A75A6B" w14:textId="06A7191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Monash Health</w:t>
            </w:r>
          </w:p>
        </w:tc>
        <w:tc>
          <w:tcPr>
            <w:tcW w:w="2695" w:type="dxa"/>
            <w:shd w:val="clear" w:color="auto" w:fill="BFCED6"/>
          </w:tcPr>
          <w:p w14:paraId="1444716C" w14:textId="1094ED0F"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Casey</w:t>
            </w:r>
          </w:p>
        </w:tc>
        <w:tc>
          <w:tcPr>
            <w:tcW w:w="1364" w:type="dxa"/>
            <w:shd w:val="clear" w:color="auto" w:fill="BFCED6"/>
          </w:tcPr>
          <w:p w14:paraId="20BFF8B4" w14:textId="3C57087B" w:rsidR="00847E82" w:rsidRPr="005B1FEF" w:rsidRDefault="00847E82" w:rsidP="00847E82">
            <w:pPr>
              <w:jc w:val="center"/>
              <w:rPr>
                <w:rFonts w:ascii="VIC" w:hAnsi="VIC"/>
                <w:sz w:val="18"/>
                <w:szCs w:val="18"/>
              </w:rPr>
            </w:pPr>
            <w:r w:rsidRPr="00427725">
              <w:rPr>
                <w:rFonts w:ascii="VIC" w:eastAsia="Verdana" w:hAnsi="VIC"/>
                <w:color w:val="000000"/>
                <w:sz w:val="18"/>
                <w:szCs w:val="18"/>
              </w:rPr>
              <w:t>44 %</w:t>
            </w:r>
          </w:p>
        </w:tc>
        <w:tc>
          <w:tcPr>
            <w:tcW w:w="1364" w:type="dxa"/>
            <w:shd w:val="clear" w:color="auto" w:fill="BFCED6"/>
          </w:tcPr>
          <w:p w14:paraId="7FB4DB44" w14:textId="71ED1AB7"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365" w:type="dxa"/>
            <w:shd w:val="clear" w:color="auto" w:fill="BFCED6"/>
          </w:tcPr>
          <w:p w14:paraId="584CC3A7" w14:textId="3026DBFD" w:rsidR="00847E82" w:rsidRPr="005B1FEF" w:rsidRDefault="00847E82" w:rsidP="00847E82">
            <w:pPr>
              <w:jc w:val="center"/>
              <w:rPr>
                <w:rFonts w:ascii="VIC" w:hAnsi="VIC"/>
                <w:sz w:val="18"/>
                <w:szCs w:val="18"/>
              </w:rPr>
            </w:pPr>
            <w:r w:rsidRPr="00427725">
              <w:rPr>
                <w:rFonts w:ascii="VIC" w:eastAsia="Verdana" w:hAnsi="VIC"/>
                <w:color w:val="000000"/>
                <w:sz w:val="18"/>
                <w:szCs w:val="18"/>
              </w:rPr>
              <w:t>175.6</w:t>
            </w:r>
          </w:p>
        </w:tc>
        <w:tc>
          <w:tcPr>
            <w:tcW w:w="1364" w:type="dxa"/>
            <w:shd w:val="clear" w:color="auto" w:fill="BFCED6"/>
          </w:tcPr>
          <w:p w14:paraId="13FAB291" w14:textId="5DD235FA" w:rsidR="00847E82" w:rsidRPr="005B1FEF" w:rsidRDefault="00847E82" w:rsidP="00847E82">
            <w:pPr>
              <w:jc w:val="center"/>
              <w:rPr>
                <w:rFonts w:ascii="VIC" w:hAnsi="VIC"/>
                <w:sz w:val="18"/>
                <w:szCs w:val="18"/>
              </w:rPr>
            </w:pPr>
            <w:r w:rsidRPr="00427725">
              <w:rPr>
                <w:rFonts w:ascii="VIC" w:eastAsia="Verdana" w:hAnsi="VIC"/>
                <w:color w:val="000000"/>
                <w:sz w:val="18"/>
                <w:szCs w:val="18"/>
              </w:rPr>
              <w:t>0.0</w:t>
            </w:r>
          </w:p>
        </w:tc>
        <w:tc>
          <w:tcPr>
            <w:tcW w:w="1364" w:type="dxa"/>
            <w:shd w:val="clear" w:color="auto" w:fill="BFCED6"/>
          </w:tcPr>
          <w:p w14:paraId="13A11070" w14:textId="646D9315"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365" w:type="dxa"/>
            <w:shd w:val="clear" w:color="auto" w:fill="BFCED6"/>
          </w:tcPr>
          <w:p w14:paraId="25004F2A" w14:textId="5AB06F9C" w:rsidR="00847E82" w:rsidRPr="005B1FEF" w:rsidRDefault="00847E82" w:rsidP="00847E82">
            <w:pPr>
              <w:jc w:val="center"/>
              <w:rPr>
                <w:rFonts w:ascii="VIC" w:hAnsi="VIC"/>
                <w:sz w:val="18"/>
                <w:szCs w:val="18"/>
              </w:rPr>
            </w:pPr>
            <w:r w:rsidRPr="00427725">
              <w:rPr>
                <w:rFonts w:ascii="VIC" w:eastAsia="Verdana" w:hAnsi="VIC"/>
                <w:color w:val="000000"/>
                <w:sz w:val="18"/>
                <w:szCs w:val="18"/>
              </w:rPr>
              <w:t>19.0</w:t>
            </w:r>
          </w:p>
        </w:tc>
        <w:tc>
          <w:tcPr>
            <w:tcW w:w="1364" w:type="dxa"/>
            <w:shd w:val="clear" w:color="auto" w:fill="BFCED6"/>
          </w:tcPr>
          <w:p w14:paraId="17E9B3C2" w14:textId="3DB68B7D"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365" w:type="dxa"/>
            <w:shd w:val="clear" w:color="auto" w:fill="BFCED6"/>
          </w:tcPr>
          <w:p w14:paraId="7BA1E779" w14:textId="1F120FC1"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r>
      <w:tr w:rsidR="00847E82" w:rsidRPr="00A6366B" w14:paraId="3864AB94" w14:textId="77777777" w:rsidTr="003C29FF">
        <w:trPr>
          <w:trHeight w:val="454"/>
        </w:trPr>
        <w:tc>
          <w:tcPr>
            <w:tcW w:w="2135" w:type="dxa"/>
            <w:vMerge/>
            <w:shd w:val="clear" w:color="auto" w:fill="BFCED6"/>
          </w:tcPr>
          <w:p w14:paraId="1517C426"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4BCC9E86" w14:textId="1738E1B0" w:rsidR="00847E82" w:rsidRPr="00382424" w:rsidRDefault="00847E82" w:rsidP="00847E82">
            <w:pPr>
              <w:pStyle w:val="DHHStabletext"/>
              <w:spacing w:before="0" w:after="0"/>
              <w:rPr>
                <w:rFonts w:ascii="VIC" w:hAnsi="VIC"/>
                <w:w w:val="105"/>
                <w:sz w:val="18"/>
                <w:szCs w:val="18"/>
              </w:rPr>
            </w:pPr>
            <w:r w:rsidRPr="00427725">
              <w:rPr>
                <w:rFonts w:ascii="VIC" w:eastAsia="Verdana" w:hAnsi="VIC"/>
                <w:color w:val="000000"/>
                <w:sz w:val="18"/>
                <w:szCs w:val="18"/>
              </w:rPr>
              <w:t>Dandenong</w:t>
            </w:r>
          </w:p>
        </w:tc>
        <w:tc>
          <w:tcPr>
            <w:tcW w:w="1364" w:type="dxa"/>
            <w:shd w:val="clear" w:color="auto" w:fill="BFCED6"/>
          </w:tcPr>
          <w:p w14:paraId="03EA67C7" w14:textId="7C36D4AE"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364" w:type="dxa"/>
            <w:shd w:val="clear" w:color="auto" w:fill="BFCED6"/>
          </w:tcPr>
          <w:p w14:paraId="529C02C0" w14:textId="5E8A1CCE"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365" w:type="dxa"/>
            <w:shd w:val="clear" w:color="auto" w:fill="BFCED6"/>
          </w:tcPr>
          <w:p w14:paraId="46226833" w14:textId="738005F1" w:rsidR="00847E82" w:rsidRPr="005B1FEF" w:rsidRDefault="00847E82" w:rsidP="00847E82">
            <w:pPr>
              <w:jc w:val="center"/>
              <w:rPr>
                <w:rFonts w:ascii="VIC" w:hAnsi="VIC"/>
                <w:sz w:val="18"/>
                <w:szCs w:val="18"/>
              </w:rPr>
            </w:pPr>
            <w:r w:rsidRPr="00427725">
              <w:rPr>
                <w:rFonts w:ascii="VIC" w:eastAsia="Verdana" w:hAnsi="VIC"/>
                <w:color w:val="000000"/>
                <w:sz w:val="18"/>
                <w:szCs w:val="18"/>
              </w:rPr>
              <w:t>688.9</w:t>
            </w:r>
          </w:p>
        </w:tc>
        <w:tc>
          <w:tcPr>
            <w:tcW w:w="1364" w:type="dxa"/>
            <w:shd w:val="clear" w:color="auto" w:fill="BFCED6"/>
          </w:tcPr>
          <w:p w14:paraId="31044E4F" w14:textId="1170D91A" w:rsidR="00847E82" w:rsidRPr="005B1FEF" w:rsidRDefault="00847E82" w:rsidP="00847E82">
            <w:pPr>
              <w:jc w:val="center"/>
              <w:rPr>
                <w:rFonts w:ascii="VIC" w:hAnsi="VIC"/>
                <w:sz w:val="18"/>
                <w:szCs w:val="18"/>
              </w:rPr>
            </w:pPr>
            <w:r w:rsidRPr="00427725">
              <w:rPr>
                <w:rFonts w:ascii="VIC" w:eastAsia="Verdana" w:hAnsi="VIC"/>
                <w:color w:val="000000"/>
                <w:sz w:val="18"/>
                <w:szCs w:val="18"/>
              </w:rPr>
              <w:t>2.8</w:t>
            </w:r>
          </w:p>
        </w:tc>
        <w:tc>
          <w:tcPr>
            <w:tcW w:w="1364" w:type="dxa"/>
            <w:shd w:val="clear" w:color="auto" w:fill="BFCED6"/>
          </w:tcPr>
          <w:p w14:paraId="0D3D081D" w14:textId="31457950" w:rsidR="00847E82" w:rsidRPr="005B1FEF" w:rsidRDefault="00847E82" w:rsidP="00847E82">
            <w:pPr>
              <w:jc w:val="center"/>
              <w:rPr>
                <w:rFonts w:ascii="VIC" w:hAnsi="VIC"/>
                <w:sz w:val="18"/>
                <w:szCs w:val="18"/>
              </w:rPr>
            </w:pPr>
            <w:r w:rsidRPr="00427725">
              <w:rPr>
                <w:rFonts w:ascii="VIC" w:eastAsia="Verdana" w:hAnsi="VIC"/>
                <w:color w:val="000000"/>
                <w:sz w:val="18"/>
                <w:szCs w:val="18"/>
              </w:rPr>
              <w:t>97 %</w:t>
            </w:r>
          </w:p>
        </w:tc>
        <w:tc>
          <w:tcPr>
            <w:tcW w:w="1365" w:type="dxa"/>
            <w:shd w:val="clear" w:color="auto" w:fill="BFCED6"/>
          </w:tcPr>
          <w:p w14:paraId="796D0B16" w14:textId="514BB4BF" w:rsidR="00847E82" w:rsidRPr="005B1FEF" w:rsidRDefault="00847E82" w:rsidP="00847E82">
            <w:pPr>
              <w:jc w:val="center"/>
              <w:rPr>
                <w:rFonts w:ascii="VIC" w:hAnsi="VIC"/>
                <w:sz w:val="18"/>
                <w:szCs w:val="18"/>
              </w:rPr>
            </w:pPr>
            <w:r w:rsidRPr="00427725">
              <w:rPr>
                <w:rFonts w:ascii="VIC" w:eastAsia="Verdana" w:hAnsi="VIC"/>
                <w:color w:val="000000"/>
                <w:sz w:val="18"/>
                <w:szCs w:val="18"/>
              </w:rPr>
              <w:t>22.9</w:t>
            </w:r>
          </w:p>
        </w:tc>
        <w:tc>
          <w:tcPr>
            <w:tcW w:w="1364" w:type="dxa"/>
            <w:shd w:val="clear" w:color="auto" w:fill="BFCED6"/>
          </w:tcPr>
          <w:p w14:paraId="674F40ED" w14:textId="6061F68D"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365" w:type="dxa"/>
            <w:shd w:val="clear" w:color="auto" w:fill="BFCED6"/>
          </w:tcPr>
          <w:p w14:paraId="667AC0B4" w14:textId="293C6008" w:rsidR="00847E82" w:rsidRPr="005B1FEF" w:rsidRDefault="00847E82" w:rsidP="00847E82">
            <w:pPr>
              <w:jc w:val="center"/>
              <w:rPr>
                <w:rFonts w:ascii="VIC" w:hAnsi="VIC"/>
                <w:sz w:val="18"/>
                <w:szCs w:val="18"/>
              </w:rPr>
            </w:pPr>
            <w:r w:rsidRPr="00427725">
              <w:rPr>
                <w:rFonts w:ascii="VIC" w:eastAsia="Verdana" w:hAnsi="VIC"/>
                <w:color w:val="000000"/>
                <w:sz w:val="18"/>
                <w:szCs w:val="18"/>
              </w:rPr>
              <w:t>18 %</w:t>
            </w:r>
          </w:p>
        </w:tc>
      </w:tr>
      <w:tr w:rsidR="00847E82" w:rsidRPr="00A6366B" w14:paraId="2D925D14" w14:textId="77777777" w:rsidTr="003C29FF">
        <w:trPr>
          <w:trHeight w:val="454"/>
        </w:trPr>
        <w:tc>
          <w:tcPr>
            <w:tcW w:w="2135" w:type="dxa"/>
            <w:vMerge/>
            <w:shd w:val="clear" w:color="auto" w:fill="BFCED6"/>
          </w:tcPr>
          <w:p w14:paraId="09172F60"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59812AD9" w14:textId="167BC24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364" w:type="dxa"/>
            <w:shd w:val="clear" w:color="auto" w:fill="BFCED6"/>
          </w:tcPr>
          <w:p w14:paraId="4B55B0C8" w14:textId="24D89BC6" w:rsidR="00847E82" w:rsidRPr="005B1FEF" w:rsidRDefault="00847E82" w:rsidP="00847E82">
            <w:pPr>
              <w:jc w:val="center"/>
              <w:rPr>
                <w:rFonts w:ascii="VIC" w:hAnsi="VIC"/>
                <w:sz w:val="18"/>
                <w:szCs w:val="18"/>
              </w:rPr>
            </w:pPr>
            <w:r w:rsidRPr="00427725">
              <w:rPr>
                <w:rFonts w:ascii="VIC" w:eastAsia="Verdana" w:hAnsi="VIC"/>
                <w:color w:val="000000"/>
                <w:sz w:val="18"/>
                <w:szCs w:val="18"/>
              </w:rPr>
              <w:t>87 %</w:t>
            </w:r>
          </w:p>
        </w:tc>
        <w:tc>
          <w:tcPr>
            <w:tcW w:w="1364" w:type="dxa"/>
            <w:shd w:val="clear" w:color="auto" w:fill="BFCED6"/>
          </w:tcPr>
          <w:p w14:paraId="316BBC5A" w14:textId="24DCB214"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365" w:type="dxa"/>
            <w:shd w:val="clear" w:color="auto" w:fill="BFCED6"/>
          </w:tcPr>
          <w:p w14:paraId="0D259E6B" w14:textId="41A8771E" w:rsidR="00847E82" w:rsidRPr="005B1FEF" w:rsidRDefault="00847E82" w:rsidP="00847E82">
            <w:pPr>
              <w:jc w:val="center"/>
              <w:rPr>
                <w:rFonts w:ascii="VIC" w:hAnsi="VIC"/>
                <w:sz w:val="18"/>
                <w:szCs w:val="18"/>
              </w:rPr>
            </w:pPr>
            <w:r w:rsidRPr="00427725">
              <w:rPr>
                <w:rFonts w:ascii="VIC" w:eastAsia="Verdana" w:hAnsi="VIC"/>
                <w:color w:val="000000"/>
                <w:sz w:val="18"/>
                <w:szCs w:val="18"/>
              </w:rPr>
              <w:t>630.9</w:t>
            </w:r>
          </w:p>
        </w:tc>
        <w:tc>
          <w:tcPr>
            <w:tcW w:w="1364" w:type="dxa"/>
            <w:shd w:val="clear" w:color="auto" w:fill="BFCED6"/>
          </w:tcPr>
          <w:p w14:paraId="773B1A8D" w14:textId="76EE892B" w:rsidR="00847E82" w:rsidRPr="005B1FEF" w:rsidRDefault="00847E82" w:rsidP="00847E82">
            <w:pPr>
              <w:jc w:val="center"/>
              <w:rPr>
                <w:rFonts w:ascii="VIC" w:hAnsi="VIC"/>
                <w:sz w:val="18"/>
                <w:szCs w:val="18"/>
              </w:rPr>
            </w:pPr>
            <w:r w:rsidRPr="00427725">
              <w:rPr>
                <w:rFonts w:ascii="VIC" w:eastAsia="Verdana" w:hAnsi="VIC"/>
                <w:color w:val="000000"/>
                <w:sz w:val="18"/>
                <w:szCs w:val="18"/>
              </w:rPr>
              <w:t>2.6</w:t>
            </w:r>
          </w:p>
        </w:tc>
        <w:tc>
          <w:tcPr>
            <w:tcW w:w="1364" w:type="dxa"/>
            <w:shd w:val="clear" w:color="auto" w:fill="BFCED6"/>
          </w:tcPr>
          <w:p w14:paraId="31768F74" w14:textId="38113D91" w:rsidR="00847E82" w:rsidRPr="005B1FEF" w:rsidRDefault="00847E82" w:rsidP="00847E82">
            <w:pPr>
              <w:jc w:val="center"/>
              <w:rPr>
                <w:rFonts w:ascii="VIC" w:hAnsi="VIC"/>
                <w:sz w:val="18"/>
                <w:szCs w:val="18"/>
              </w:rPr>
            </w:pPr>
            <w:r w:rsidRPr="00427725">
              <w:rPr>
                <w:rFonts w:ascii="VIC" w:eastAsia="Verdana" w:hAnsi="VIC"/>
                <w:color w:val="000000"/>
                <w:sz w:val="18"/>
                <w:szCs w:val="18"/>
              </w:rPr>
              <w:t>97 %</w:t>
            </w:r>
          </w:p>
        </w:tc>
        <w:tc>
          <w:tcPr>
            <w:tcW w:w="1365" w:type="dxa"/>
            <w:shd w:val="clear" w:color="auto" w:fill="BFCED6"/>
          </w:tcPr>
          <w:p w14:paraId="2C6A3546" w14:textId="0873C2C3" w:rsidR="00847E82" w:rsidRPr="005B1FEF" w:rsidRDefault="00847E82" w:rsidP="00847E82">
            <w:pPr>
              <w:jc w:val="center"/>
              <w:rPr>
                <w:rFonts w:ascii="VIC" w:hAnsi="VIC"/>
                <w:sz w:val="18"/>
                <w:szCs w:val="18"/>
              </w:rPr>
            </w:pPr>
            <w:r w:rsidRPr="00427725">
              <w:rPr>
                <w:rFonts w:ascii="VIC" w:eastAsia="Verdana" w:hAnsi="VIC"/>
                <w:color w:val="000000"/>
                <w:sz w:val="18"/>
                <w:szCs w:val="18"/>
              </w:rPr>
              <w:t>21.8</w:t>
            </w:r>
          </w:p>
        </w:tc>
        <w:tc>
          <w:tcPr>
            <w:tcW w:w="1364" w:type="dxa"/>
            <w:shd w:val="clear" w:color="auto" w:fill="BFCED6"/>
          </w:tcPr>
          <w:p w14:paraId="018A99FF" w14:textId="5C037992"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365" w:type="dxa"/>
            <w:shd w:val="clear" w:color="auto" w:fill="BFCED6"/>
          </w:tcPr>
          <w:p w14:paraId="3D427DC4" w14:textId="0C5BC1DD"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r>
      <w:tr w:rsidR="00847E82" w:rsidRPr="00847E82" w14:paraId="12F15975" w14:textId="77777777" w:rsidTr="003C29FF">
        <w:trPr>
          <w:trHeight w:val="454"/>
        </w:trPr>
        <w:tc>
          <w:tcPr>
            <w:tcW w:w="2135" w:type="dxa"/>
            <w:shd w:val="clear" w:color="auto" w:fill="B1C9E8"/>
          </w:tcPr>
          <w:p w14:paraId="27CDA6D0" w14:textId="3A8D074B"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METRO</w:t>
            </w:r>
          </w:p>
        </w:tc>
        <w:tc>
          <w:tcPr>
            <w:tcW w:w="2695" w:type="dxa"/>
            <w:shd w:val="clear" w:color="auto" w:fill="B1C9E8"/>
          </w:tcPr>
          <w:p w14:paraId="17855401" w14:textId="565C54F2"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364" w:type="dxa"/>
            <w:shd w:val="clear" w:color="auto" w:fill="B1C9E8"/>
          </w:tcPr>
          <w:p w14:paraId="70F4670D" w14:textId="2F33BDDA"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89 %</w:t>
            </w:r>
          </w:p>
        </w:tc>
        <w:tc>
          <w:tcPr>
            <w:tcW w:w="1364" w:type="dxa"/>
            <w:shd w:val="clear" w:color="auto" w:fill="B1C9E8"/>
          </w:tcPr>
          <w:p w14:paraId="6B2262DE" w14:textId="6F072A49"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4 %</w:t>
            </w:r>
          </w:p>
        </w:tc>
        <w:tc>
          <w:tcPr>
            <w:tcW w:w="1365" w:type="dxa"/>
            <w:shd w:val="clear" w:color="auto" w:fill="B1C9E8"/>
          </w:tcPr>
          <w:p w14:paraId="2137D650" w14:textId="00EE2769"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758.8</w:t>
            </w:r>
          </w:p>
        </w:tc>
        <w:tc>
          <w:tcPr>
            <w:tcW w:w="1364" w:type="dxa"/>
            <w:shd w:val="clear" w:color="auto" w:fill="B1C9E8"/>
          </w:tcPr>
          <w:p w14:paraId="762571AF" w14:textId="4B6AA86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3.8</w:t>
            </w:r>
          </w:p>
        </w:tc>
        <w:tc>
          <w:tcPr>
            <w:tcW w:w="1364" w:type="dxa"/>
            <w:shd w:val="clear" w:color="auto" w:fill="B1C9E8"/>
          </w:tcPr>
          <w:p w14:paraId="15873060" w14:textId="55CB7FA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93 %</w:t>
            </w:r>
          </w:p>
        </w:tc>
        <w:tc>
          <w:tcPr>
            <w:tcW w:w="1365" w:type="dxa"/>
            <w:shd w:val="clear" w:color="auto" w:fill="B1C9E8"/>
          </w:tcPr>
          <w:p w14:paraId="7E5798A1" w14:textId="7AEC7E0E"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19.6</w:t>
            </w:r>
          </w:p>
        </w:tc>
        <w:tc>
          <w:tcPr>
            <w:tcW w:w="1364" w:type="dxa"/>
            <w:shd w:val="clear" w:color="auto" w:fill="B1C9E8"/>
          </w:tcPr>
          <w:p w14:paraId="01875CD1" w14:textId="5DACEA3A"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82 %</w:t>
            </w:r>
          </w:p>
        </w:tc>
        <w:tc>
          <w:tcPr>
            <w:tcW w:w="1365" w:type="dxa"/>
            <w:shd w:val="clear" w:color="auto" w:fill="B1C9E8"/>
          </w:tcPr>
          <w:p w14:paraId="41006903" w14:textId="4DA298B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18 %</w:t>
            </w:r>
          </w:p>
        </w:tc>
      </w:tr>
      <w:tr w:rsidR="00847E82" w:rsidRPr="00A6366B" w14:paraId="75DE3D25" w14:textId="77777777" w:rsidTr="003C29FF">
        <w:trPr>
          <w:trHeight w:val="454"/>
        </w:trPr>
        <w:tc>
          <w:tcPr>
            <w:tcW w:w="2135" w:type="dxa"/>
            <w:shd w:val="clear" w:color="auto" w:fill="BFCED6"/>
          </w:tcPr>
          <w:p w14:paraId="5001A01D" w14:textId="0AC98F8B"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Ballarat Health</w:t>
            </w:r>
          </w:p>
        </w:tc>
        <w:tc>
          <w:tcPr>
            <w:tcW w:w="2695" w:type="dxa"/>
            <w:shd w:val="clear" w:color="auto" w:fill="BFCED6"/>
          </w:tcPr>
          <w:p w14:paraId="696864BB" w14:textId="69A2E41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Grampians</w:t>
            </w:r>
          </w:p>
        </w:tc>
        <w:tc>
          <w:tcPr>
            <w:tcW w:w="1364" w:type="dxa"/>
            <w:shd w:val="clear" w:color="auto" w:fill="BFCED6"/>
          </w:tcPr>
          <w:p w14:paraId="64ED3EDC" w14:textId="291539F9"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364" w:type="dxa"/>
            <w:shd w:val="clear" w:color="auto" w:fill="BFCED6"/>
          </w:tcPr>
          <w:p w14:paraId="7C917175" w14:textId="2E5DC359" w:rsidR="00847E82" w:rsidRPr="005B1FEF" w:rsidRDefault="00847E82" w:rsidP="00847E82">
            <w:pPr>
              <w:jc w:val="center"/>
              <w:rPr>
                <w:rFonts w:ascii="VIC" w:hAnsi="VIC"/>
                <w:sz w:val="18"/>
                <w:szCs w:val="18"/>
              </w:rPr>
            </w:pPr>
            <w:r w:rsidRPr="00427725">
              <w:rPr>
                <w:rFonts w:ascii="VIC" w:eastAsia="Verdana" w:hAnsi="VIC"/>
                <w:color w:val="000000"/>
                <w:sz w:val="18"/>
                <w:szCs w:val="18"/>
              </w:rPr>
              <w:t>1 %</w:t>
            </w:r>
          </w:p>
        </w:tc>
        <w:tc>
          <w:tcPr>
            <w:tcW w:w="1365" w:type="dxa"/>
            <w:shd w:val="clear" w:color="auto" w:fill="BFCED6"/>
          </w:tcPr>
          <w:p w14:paraId="72BA9926" w14:textId="5E1C0885" w:rsidR="00847E82" w:rsidRPr="005B1FEF" w:rsidRDefault="00847E82" w:rsidP="00847E82">
            <w:pPr>
              <w:jc w:val="center"/>
              <w:rPr>
                <w:rFonts w:ascii="VIC" w:hAnsi="VIC"/>
                <w:sz w:val="18"/>
                <w:szCs w:val="18"/>
              </w:rPr>
            </w:pPr>
            <w:r w:rsidRPr="00427725">
              <w:rPr>
                <w:rFonts w:ascii="VIC" w:eastAsia="Verdana" w:hAnsi="VIC"/>
                <w:color w:val="000000"/>
                <w:sz w:val="18"/>
                <w:szCs w:val="18"/>
              </w:rPr>
              <w:t>352.3</w:t>
            </w:r>
          </w:p>
        </w:tc>
        <w:tc>
          <w:tcPr>
            <w:tcW w:w="1364" w:type="dxa"/>
            <w:shd w:val="clear" w:color="auto" w:fill="BFCED6"/>
          </w:tcPr>
          <w:p w14:paraId="7B924C8C" w14:textId="747FB253" w:rsidR="00847E82" w:rsidRPr="005B1FEF" w:rsidRDefault="00847E82" w:rsidP="00847E82">
            <w:pPr>
              <w:jc w:val="center"/>
              <w:rPr>
                <w:rFonts w:ascii="VIC" w:hAnsi="VIC"/>
                <w:sz w:val="18"/>
                <w:szCs w:val="18"/>
              </w:rPr>
            </w:pPr>
            <w:r w:rsidRPr="00427725">
              <w:rPr>
                <w:rFonts w:ascii="VIC" w:eastAsia="Verdana" w:hAnsi="VIC"/>
                <w:color w:val="000000"/>
                <w:sz w:val="18"/>
                <w:szCs w:val="18"/>
              </w:rPr>
              <w:t>5.5</w:t>
            </w:r>
          </w:p>
        </w:tc>
        <w:tc>
          <w:tcPr>
            <w:tcW w:w="1364" w:type="dxa"/>
            <w:shd w:val="clear" w:color="auto" w:fill="BFCED6"/>
          </w:tcPr>
          <w:p w14:paraId="368F9FE7" w14:textId="61E91C73"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365" w:type="dxa"/>
            <w:shd w:val="clear" w:color="auto" w:fill="BFCED6"/>
          </w:tcPr>
          <w:p w14:paraId="3EF6434D" w14:textId="46F5632F" w:rsidR="00847E82" w:rsidRPr="005B1FEF" w:rsidRDefault="00847E82" w:rsidP="00847E82">
            <w:pPr>
              <w:jc w:val="center"/>
              <w:rPr>
                <w:rFonts w:ascii="VIC" w:hAnsi="VIC"/>
                <w:sz w:val="18"/>
                <w:szCs w:val="18"/>
              </w:rPr>
            </w:pPr>
            <w:r w:rsidRPr="00427725">
              <w:rPr>
                <w:rFonts w:ascii="VIC" w:eastAsia="Verdana" w:hAnsi="VIC"/>
                <w:color w:val="000000"/>
                <w:sz w:val="18"/>
                <w:szCs w:val="18"/>
              </w:rPr>
              <w:t>14.5</w:t>
            </w:r>
          </w:p>
        </w:tc>
        <w:tc>
          <w:tcPr>
            <w:tcW w:w="1364" w:type="dxa"/>
            <w:shd w:val="clear" w:color="auto" w:fill="BFCED6"/>
          </w:tcPr>
          <w:p w14:paraId="0880A769" w14:textId="4EEAE222" w:rsidR="00847E82" w:rsidRPr="005B1FEF" w:rsidRDefault="00847E82" w:rsidP="00847E82">
            <w:pPr>
              <w:jc w:val="center"/>
              <w:rPr>
                <w:rFonts w:ascii="VIC" w:hAnsi="VIC"/>
                <w:sz w:val="18"/>
                <w:szCs w:val="18"/>
              </w:rPr>
            </w:pPr>
            <w:r w:rsidRPr="00427725">
              <w:rPr>
                <w:rFonts w:ascii="VIC" w:eastAsia="Verdana" w:hAnsi="VIC"/>
                <w:color w:val="000000"/>
                <w:sz w:val="18"/>
                <w:szCs w:val="18"/>
              </w:rPr>
              <w:t>79 %</w:t>
            </w:r>
          </w:p>
        </w:tc>
        <w:tc>
          <w:tcPr>
            <w:tcW w:w="1365" w:type="dxa"/>
            <w:shd w:val="clear" w:color="auto" w:fill="BFCED6"/>
          </w:tcPr>
          <w:p w14:paraId="4AA310BB" w14:textId="23F206F3"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r>
      <w:tr w:rsidR="00847E82" w:rsidRPr="00A6366B" w14:paraId="139A8C9C" w14:textId="77777777" w:rsidTr="003C29FF">
        <w:trPr>
          <w:trHeight w:val="454"/>
        </w:trPr>
        <w:tc>
          <w:tcPr>
            <w:tcW w:w="2135" w:type="dxa"/>
            <w:shd w:val="clear" w:color="auto" w:fill="FFFFFF" w:themeFill="background1"/>
          </w:tcPr>
          <w:p w14:paraId="69DC9E03" w14:textId="282E580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Bendigo Health</w:t>
            </w:r>
          </w:p>
        </w:tc>
        <w:tc>
          <w:tcPr>
            <w:tcW w:w="2695" w:type="dxa"/>
            <w:shd w:val="clear" w:color="auto" w:fill="FFFFFF" w:themeFill="background1"/>
          </w:tcPr>
          <w:p w14:paraId="4FA6D6BE" w14:textId="427D15DF"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Loddon/Southern Mallee</w:t>
            </w:r>
          </w:p>
        </w:tc>
        <w:tc>
          <w:tcPr>
            <w:tcW w:w="1364" w:type="dxa"/>
            <w:shd w:val="clear" w:color="auto" w:fill="FFFFFF" w:themeFill="background1"/>
          </w:tcPr>
          <w:p w14:paraId="4E892850" w14:textId="53BCEEEB"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364" w:type="dxa"/>
            <w:shd w:val="clear" w:color="auto" w:fill="FFFFFF" w:themeFill="background1"/>
          </w:tcPr>
          <w:p w14:paraId="7EDC7779" w14:textId="12267E39"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c>
          <w:tcPr>
            <w:tcW w:w="1365" w:type="dxa"/>
            <w:shd w:val="clear" w:color="auto" w:fill="FFFFFF" w:themeFill="background1"/>
          </w:tcPr>
          <w:p w14:paraId="6AE06B2B" w14:textId="69C503CE" w:rsidR="00847E82" w:rsidRPr="005B1FEF" w:rsidRDefault="00847E82" w:rsidP="00847E82">
            <w:pPr>
              <w:jc w:val="center"/>
              <w:rPr>
                <w:rFonts w:ascii="VIC" w:hAnsi="VIC"/>
                <w:sz w:val="18"/>
                <w:szCs w:val="18"/>
              </w:rPr>
            </w:pPr>
            <w:r w:rsidRPr="00427725">
              <w:rPr>
                <w:rFonts w:ascii="VIC" w:eastAsia="Verdana" w:hAnsi="VIC"/>
                <w:color w:val="000000"/>
                <w:sz w:val="18"/>
                <w:szCs w:val="18"/>
              </w:rPr>
              <w:t>118.0</w:t>
            </w:r>
          </w:p>
        </w:tc>
        <w:tc>
          <w:tcPr>
            <w:tcW w:w="1364" w:type="dxa"/>
            <w:shd w:val="clear" w:color="auto" w:fill="FFFFFF" w:themeFill="background1"/>
          </w:tcPr>
          <w:p w14:paraId="3E7C4788" w14:textId="462FF165" w:rsidR="00847E82" w:rsidRPr="005B1FEF" w:rsidRDefault="00847E82" w:rsidP="00847E82">
            <w:pPr>
              <w:jc w:val="center"/>
              <w:rPr>
                <w:rFonts w:ascii="VIC" w:hAnsi="VIC"/>
                <w:sz w:val="18"/>
                <w:szCs w:val="18"/>
              </w:rPr>
            </w:pPr>
            <w:r w:rsidRPr="00427725">
              <w:rPr>
                <w:rFonts w:ascii="VIC" w:eastAsia="Verdana" w:hAnsi="VIC"/>
                <w:color w:val="000000"/>
                <w:sz w:val="18"/>
                <w:szCs w:val="18"/>
              </w:rPr>
              <w:t>4.7</w:t>
            </w:r>
          </w:p>
        </w:tc>
        <w:tc>
          <w:tcPr>
            <w:tcW w:w="1364" w:type="dxa"/>
            <w:shd w:val="clear" w:color="auto" w:fill="FFFFFF" w:themeFill="background1"/>
          </w:tcPr>
          <w:p w14:paraId="40D11070" w14:textId="384C7753" w:rsidR="00847E82" w:rsidRPr="005B1FEF" w:rsidRDefault="00847E82" w:rsidP="00847E82">
            <w:pPr>
              <w:jc w:val="center"/>
              <w:rPr>
                <w:rFonts w:ascii="VIC" w:hAnsi="VIC"/>
                <w:sz w:val="18"/>
                <w:szCs w:val="18"/>
              </w:rPr>
            </w:pPr>
            <w:r w:rsidRPr="00427725">
              <w:rPr>
                <w:rFonts w:ascii="VIC" w:eastAsia="Verdana" w:hAnsi="VIC"/>
                <w:color w:val="000000"/>
                <w:sz w:val="18"/>
                <w:szCs w:val="18"/>
              </w:rPr>
              <w:t>86 %</w:t>
            </w:r>
          </w:p>
        </w:tc>
        <w:tc>
          <w:tcPr>
            <w:tcW w:w="1365" w:type="dxa"/>
            <w:shd w:val="clear" w:color="auto" w:fill="FFFFFF" w:themeFill="background1"/>
          </w:tcPr>
          <w:p w14:paraId="2F705EF9" w14:textId="688A7781" w:rsidR="00847E82" w:rsidRPr="005B1FEF" w:rsidRDefault="00847E82" w:rsidP="00847E82">
            <w:pPr>
              <w:jc w:val="center"/>
              <w:rPr>
                <w:rFonts w:ascii="VIC" w:hAnsi="VIC"/>
                <w:sz w:val="18"/>
                <w:szCs w:val="18"/>
              </w:rPr>
            </w:pPr>
            <w:r w:rsidRPr="00427725">
              <w:rPr>
                <w:rFonts w:ascii="VIC" w:eastAsia="Verdana" w:hAnsi="VIC"/>
                <w:color w:val="000000"/>
                <w:sz w:val="18"/>
                <w:szCs w:val="18"/>
              </w:rPr>
              <w:t>12.6</w:t>
            </w:r>
          </w:p>
        </w:tc>
        <w:tc>
          <w:tcPr>
            <w:tcW w:w="1364" w:type="dxa"/>
            <w:shd w:val="clear" w:color="auto" w:fill="FFFFFF" w:themeFill="background1"/>
          </w:tcPr>
          <w:p w14:paraId="04F83879" w14:textId="77777777" w:rsidR="00847E82" w:rsidRPr="005B1FEF" w:rsidRDefault="00847E82" w:rsidP="00847E82">
            <w:pPr>
              <w:jc w:val="center"/>
              <w:rPr>
                <w:rFonts w:ascii="VIC" w:hAnsi="VIC"/>
                <w:sz w:val="18"/>
                <w:szCs w:val="18"/>
              </w:rPr>
            </w:pPr>
          </w:p>
        </w:tc>
        <w:tc>
          <w:tcPr>
            <w:tcW w:w="1365" w:type="dxa"/>
            <w:shd w:val="clear" w:color="auto" w:fill="FFFFFF" w:themeFill="background1"/>
          </w:tcPr>
          <w:p w14:paraId="419B2E68" w14:textId="77777777" w:rsidR="00847E82" w:rsidRPr="005B1FEF" w:rsidRDefault="00847E82" w:rsidP="00847E82">
            <w:pPr>
              <w:jc w:val="center"/>
              <w:rPr>
                <w:rFonts w:ascii="VIC" w:hAnsi="VIC"/>
                <w:sz w:val="18"/>
                <w:szCs w:val="18"/>
              </w:rPr>
            </w:pPr>
          </w:p>
        </w:tc>
      </w:tr>
      <w:tr w:rsidR="00847E82" w:rsidRPr="00A6366B" w14:paraId="617B09FC" w14:textId="77777777" w:rsidTr="003C29FF">
        <w:trPr>
          <w:trHeight w:val="454"/>
        </w:trPr>
        <w:tc>
          <w:tcPr>
            <w:tcW w:w="2135" w:type="dxa"/>
            <w:shd w:val="clear" w:color="auto" w:fill="BFCED6"/>
          </w:tcPr>
          <w:p w14:paraId="2B10E98E" w14:textId="54C609FC"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Latrobe Regional</w:t>
            </w:r>
          </w:p>
        </w:tc>
        <w:tc>
          <w:tcPr>
            <w:tcW w:w="2695" w:type="dxa"/>
            <w:shd w:val="clear" w:color="auto" w:fill="BFCED6"/>
          </w:tcPr>
          <w:p w14:paraId="42DCBEDB" w14:textId="7A95A5A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Gippsland</w:t>
            </w:r>
          </w:p>
        </w:tc>
        <w:tc>
          <w:tcPr>
            <w:tcW w:w="1364" w:type="dxa"/>
            <w:shd w:val="clear" w:color="auto" w:fill="BFCED6"/>
          </w:tcPr>
          <w:p w14:paraId="2992C255" w14:textId="5A0090FE" w:rsidR="00847E82" w:rsidRPr="005B1FEF" w:rsidRDefault="00847E82" w:rsidP="00847E82">
            <w:pPr>
              <w:jc w:val="center"/>
              <w:rPr>
                <w:rFonts w:ascii="VIC" w:hAnsi="VIC"/>
                <w:sz w:val="18"/>
                <w:szCs w:val="18"/>
              </w:rPr>
            </w:pPr>
            <w:r w:rsidRPr="00427725">
              <w:rPr>
                <w:rFonts w:ascii="VIC" w:eastAsia="Verdana" w:hAnsi="VIC"/>
                <w:color w:val="000000"/>
                <w:sz w:val="18"/>
                <w:szCs w:val="18"/>
              </w:rPr>
              <w:t>101 %</w:t>
            </w:r>
          </w:p>
        </w:tc>
        <w:tc>
          <w:tcPr>
            <w:tcW w:w="1364" w:type="dxa"/>
            <w:shd w:val="clear" w:color="auto" w:fill="BFCED6"/>
          </w:tcPr>
          <w:p w14:paraId="7E360A7F" w14:textId="62C74965"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c>
          <w:tcPr>
            <w:tcW w:w="1365" w:type="dxa"/>
            <w:shd w:val="clear" w:color="auto" w:fill="BFCED6"/>
          </w:tcPr>
          <w:p w14:paraId="7A3D9F3F" w14:textId="1257A1D4" w:rsidR="00847E82" w:rsidRPr="005B1FEF" w:rsidRDefault="00847E82" w:rsidP="00847E82">
            <w:pPr>
              <w:jc w:val="center"/>
              <w:rPr>
                <w:rFonts w:ascii="VIC" w:hAnsi="VIC"/>
                <w:sz w:val="18"/>
                <w:szCs w:val="18"/>
              </w:rPr>
            </w:pPr>
            <w:r w:rsidRPr="00427725">
              <w:rPr>
                <w:rFonts w:ascii="VIC" w:eastAsia="Verdana" w:hAnsi="VIC"/>
                <w:color w:val="000000"/>
                <w:sz w:val="18"/>
                <w:szCs w:val="18"/>
              </w:rPr>
              <w:t>52.6</w:t>
            </w:r>
          </w:p>
        </w:tc>
        <w:tc>
          <w:tcPr>
            <w:tcW w:w="1364" w:type="dxa"/>
            <w:shd w:val="clear" w:color="auto" w:fill="BFCED6"/>
          </w:tcPr>
          <w:p w14:paraId="2913307F" w14:textId="46E7F857" w:rsidR="00847E82" w:rsidRPr="005B1FEF" w:rsidRDefault="00847E82" w:rsidP="00847E82">
            <w:pPr>
              <w:jc w:val="center"/>
              <w:rPr>
                <w:rFonts w:ascii="VIC" w:hAnsi="VIC"/>
                <w:sz w:val="18"/>
                <w:szCs w:val="18"/>
              </w:rPr>
            </w:pPr>
            <w:r w:rsidRPr="00427725">
              <w:rPr>
                <w:rFonts w:ascii="VIC" w:eastAsia="Verdana" w:hAnsi="VIC"/>
                <w:color w:val="000000"/>
                <w:sz w:val="18"/>
                <w:szCs w:val="18"/>
              </w:rPr>
              <w:t>0.0</w:t>
            </w:r>
          </w:p>
        </w:tc>
        <w:tc>
          <w:tcPr>
            <w:tcW w:w="1364" w:type="dxa"/>
            <w:shd w:val="clear" w:color="auto" w:fill="BFCED6"/>
          </w:tcPr>
          <w:p w14:paraId="60382E4F" w14:textId="4C2EEF88" w:rsidR="00847E82" w:rsidRPr="005B1FEF" w:rsidRDefault="00847E82" w:rsidP="00847E82">
            <w:pPr>
              <w:jc w:val="center"/>
              <w:rPr>
                <w:rFonts w:ascii="VIC" w:hAnsi="VIC"/>
                <w:sz w:val="18"/>
                <w:szCs w:val="18"/>
              </w:rPr>
            </w:pPr>
            <w:r w:rsidRPr="00427725">
              <w:rPr>
                <w:rFonts w:ascii="VIC" w:eastAsia="Verdana" w:hAnsi="VIC"/>
                <w:color w:val="000000"/>
                <w:sz w:val="18"/>
                <w:szCs w:val="18"/>
              </w:rPr>
              <w:t>74 %</w:t>
            </w:r>
          </w:p>
        </w:tc>
        <w:tc>
          <w:tcPr>
            <w:tcW w:w="1365" w:type="dxa"/>
            <w:shd w:val="clear" w:color="auto" w:fill="BFCED6"/>
          </w:tcPr>
          <w:p w14:paraId="6655730D" w14:textId="3FA80AA6" w:rsidR="00847E82" w:rsidRPr="005B1FEF" w:rsidRDefault="00847E82" w:rsidP="00847E82">
            <w:pPr>
              <w:jc w:val="center"/>
              <w:rPr>
                <w:rFonts w:ascii="VIC" w:hAnsi="VIC"/>
                <w:sz w:val="18"/>
                <w:szCs w:val="18"/>
              </w:rPr>
            </w:pPr>
            <w:r w:rsidRPr="00427725">
              <w:rPr>
                <w:rFonts w:ascii="VIC" w:eastAsia="Verdana" w:hAnsi="VIC"/>
                <w:color w:val="000000"/>
                <w:sz w:val="18"/>
                <w:szCs w:val="18"/>
              </w:rPr>
              <w:t>20.4</w:t>
            </w:r>
          </w:p>
        </w:tc>
        <w:tc>
          <w:tcPr>
            <w:tcW w:w="1364" w:type="dxa"/>
            <w:shd w:val="clear" w:color="auto" w:fill="BFCED6"/>
          </w:tcPr>
          <w:p w14:paraId="772B9834" w14:textId="2CAD5EC5" w:rsidR="00847E82" w:rsidRPr="005B1FEF" w:rsidRDefault="00847E82" w:rsidP="00847E82">
            <w:pPr>
              <w:jc w:val="center"/>
              <w:rPr>
                <w:rFonts w:ascii="VIC" w:hAnsi="VIC"/>
                <w:sz w:val="18"/>
                <w:szCs w:val="18"/>
              </w:rPr>
            </w:pPr>
            <w:r w:rsidRPr="00427725">
              <w:rPr>
                <w:rFonts w:ascii="VIC" w:eastAsia="Verdana" w:hAnsi="VIC"/>
                <w:color w:val="000000"/>
                <w:sz w:val="18"/>
                <w:szCs w:val="18"/>
              </w:rPr>
              <w:t>71 %</w:t>
            </w:r>
          </w:p>
        </w:tc>
        <w:tc>
          <w:tcPr>
            <w:tcW w:w="1365" w:type="dxa"/>
            <w:shd w:val="clear" w:color="auto" w:fill="BFCED6"/>
          </w:tcPr>
          <w:p w14:paraId="5E7B04F7" w14:textId="12196497"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r>
      <w:tr w:rsidR="00847E82" w:rsidRPr="00A6366B" w14:paraId="629A367E" w14:textId="77777777" w:rsidTr="003C29FF">
        <w:trPr>
          <w:trHeight w:val="454"/>
        </w:trPr>
        <w:tc>
          <w:tcPr>
            <w:tcW w:w="2135" w:type="dxa"/>
            <w:shd w:val="clear" w:color="auto" w:fill="FFFFFF" w:themeFill="background1"/>
          </w:tcPr>
          <w:p w14:paraId="483AE023" w14:textId="477AE76B"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South West Health</w:t>
            </w:r>
          </w:p>
        </w:tc>
        <w:tc>
          <w:tcPr>
            <w:tcW w:w="2695" w:type="dxa"/>
            <w:shd w:val="clear" w:color="auto" w:fill="FFFFFF" w:themeFill="background1"/>
          </w:tcPr>
          <w:p w14:paraId="15B58585" w14:textId="75A974D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South West Health Care</w:t>
            </w:r>
          </w:p>
        </w:tc>
        <w:tc>
          <w:tcPr>
            <w:tcW w:w="1364" w:type="dxa"/>
            <w:shd w:val="clear" w:color="auto" w:fill="FFFFFF" w:themeFill="background1"/>
          </w:tcPr>
          <w:p w14:paraId="6FCFFAE2" w14:textId="00F4C729"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364" w:type="dxa"/>
            <w:shd w:val="clear" w:color="auto" w:fill="FFFFFF" w:themeFill="background1"/>
          </w:tcPr>
          <w:p w14:paraId="18D89974" w14:textId="49891C07" w:rsidR="00847E82" w:rsidRPr="005B1FEF" w:rsidRDefault="00847E82" w:rsidP="00847E82">
            <w:pPr>
              <w:jc w:val="center"/>
              <w:rPr>
                <w:rFonts w:ascii="VIC" w:hAnsi="VIC"/>
                <w:sz w:val="18"/>
                <w:szCs w:val="18"/>
              </w:rPr>
            </w:pPr>
            <w:r w:rsidRPr="00427725">
              <w:rPr>
                <w:rFonts w:ascii="VIC" w:eastAsia="Verdana" w:hAnsi="VIC"/>
                <w:color w:val="000000"/>
                <w:sz w:val="18"/>
                <w:szCs w:val="18"/>
              </w:rPr>
              <w:t>15 %</w:t>
            </w:r>
          </w:p>
        </w:tc>
        <w:tc>
          <w:tcPr>
            <w:tcW w:w="1365" w:type="dxa"/>
            <w:shd w:val="clear" w:color="auto" w:fill="FFFFFF" w:themeFill="background1"/>
          </w:tcPr>
          <w:p w14:paraId="4883B99A" w14:textId="2C0511DC" w:rsidR="00847E82" w:rsidRPr="005B1FEF" w:rsidRDefault="00847E82" w:rsidP="00847E82">
            <w:pPr>
              <w:jc w:val="center"/>
              <w:rPr>
                <w:rFonts w:ascii="VIC" w:hAnsi="VIC"/>
                <w:sz w:val="18"/>
                <w:szCs w:val="18"/>
              </w:rPr>
            </w:pPr>
            <w:r w:rsidRPr="00427725">
              <w:rPr>
                <w:rFonts w:ascii="VIC" w:eastAsia="Verdana" w:hAnsi="VIC"/>
                <w:color w:val="000000"/>
                <w:sz w:val="18"/>
                <w:szCs w:val="18"/>
              </w:rPr>
              <w:t>156.0</w:t>
            </w:r>
          </w:p>
        </w:tc>
        <w:tc>
          <w:tcPr>
            <w:tcW w:w="1364" w:type="dxa"/>
            <w:shd w:val="clear" w:color="auto" w:fill="FFFFFF" w:themeFill="background1"/>
          </w:tcPr>
          <w:p w14:paraId="00742736" w14:textId="598AF7A4" w:rsidR="00847E82" w:rsidRPr="005B1FEF" w:rsidRDefault="00847E82" w:rsidP="00847E82">
            <w:pPr>
              <w:jc w:val="center"/>
              <w:rPr>
                <w:rFonts w:ascii="VIC" w:hAnsi="VIC"/>
                <w:sz w:val="18"/>
                <w:szCs w:val="18"/>
              </w:rPr>
            </w:pPr>
            <w:r w:rsidRPr="00427725">
              <w:rPr>
                <w:rFonts w:ascii="VIC" w:eastAsia="Verdana" w:hAnsi="VIC"/>
                <w:color w:val="000000"/>
                <w:sz w:val="18"/>
                <w:szCs w:val="18"/>
              </w:rPr>
              <w:t>0.0</w:t>
            </w:r>
          </w:p>
        </w:tc>
        <w:tc>
          <w:tcPr>
            <w:tcW w:w="1364" w:type="dxa"/>
            <w:shd w:val="clear" w:color="auto" w:fill="FFFFFF" w:themeFill="background1"/>
          </w:tcPr>
          <w:p w14:paraId="0310E311" w14:textId="434B3CCC" w:rsidR="00847E82" w:rsidRPr="005B1FEF" w:rsidRDefault="00847E82" w:rsidP="00847E82">
            <w:pPr>
              <w:jc w:val="center"/>
              <w:rPr>
                <w:rFonts w:ascii="VIC" w:hAnsi="VIC"/>
                <w:sz w:val="18"/>
                <w:szCs w:val="18"/>
              </w:rPr>
            </w:pPr>
            <w:r w:rsidRPr="00427725">
              <w:rPr>
                <w:rFonts w:ascii="VIC" w:eastAsia="Verdana" w:hAnsi="VIC"/>
                <w:color w:val="000000"/>
                <w:sz w:val="18"/>
                <w:szCs w:val="18"/>
              </w:rPr>
              <w:t>33 %</w:t>
            </w:r>
          </w:p>
        </w:tc>
        <w:tc>
          <w:tcPr>
            <w:tcW w:w="1365" w:type="dxa"/>
            <w:shd w:val="clear" w:color="auto" w:fill="FFFFFF" w:themeFill="background1"/>
          </w:tcPr>
          <w:p w14:paraId="39E3A93E" w14:textId="38683F5E" w:rsidR="00847E82" w:rsidRPr="005B1FEF" w:rsidRDefault="00847E82" w:rsidP="00847E82">
            <w:pPr>
              <w:jc w:val="center"/>
              <w:rPr>
                <w:rFonts w:ascii="VIC" w:hAnsi="VIC"/>
                <w:sz w:val="18"/>
                <w:szCs w:val="18"/>
              </w:rPr>
            </w:pPr>
            <w:r w:rsidRPr="00427725">
              <w:rPr>
                <w:rFonts w:ascii="VIC" w:eastAsia="Verdana" w:hAnsi="VIC"/>
                <w:color w:val="000000"/>
                <w:sz w:val="18"/>
                <w:szCs w:val="18"/>
              </w:rPr>
              <w:t>12.0</w:t>
            </w:r>
          </w:p>
        </w:tc>
        <w:tc>
          <w:tcPr>
            <w:tcW w:w="1364" w:type="dxa"/>
            <w:shd w:val="clear" w:color="auto" w:fill="FFFFFF" w:themeFill="background1"/>
          </w:tcPr>
          <w:p w14:paraId="6DE078FC" w14:textId="1253CA26"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365" w:type="dxa"/>
            <w:shd w:val="clear" w:color="auto" w:fill="FFFFFF" w:themeFill="background1"/>
          </w:tcPr>
          <w:p w14:paraId="578E5BC0" w14:textId="337ED4D8"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r>
      <w:tr w:rsidR="00847E82" w:rsidRPr="00847E82" w14:paraId="1CF0A167" w14:textId="77777777" w:rsidTr="003C29FF">
        <w:trPr>
          <w:trHeight w:val="454"/>
        </w:trPr>
        <w:tc>
          <w:tcPr>
            <w:tcW w:w="2135" w:type="dxa"/>
            <w:shd w:val="clear" w:color="auto" w:fill="B1C9E8"/>
          </w:tcPr>
          <w:p w14:paraId="3EE3D9F7" w14:textId="6C000A9D"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RURAL</w:t>
            </w:r>
          </w:p>
        </w:tc>
        <w:tc>
          <w:tcPr>
            <w:tcW w:w="2695" w:type="dxa"/>
            <w:shd w:val="clear" w:color="auto" w:fill="B1C9E8"/>
          </w:tcPr>
          <w:p w14:paraId="462DA070" w14:textId="29BB3E58"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364" w:type="dxa"/>
            <w:shd w:val="clear" w:color="auto" w:fill="B1C9E8"/>
          </w:tcPr>
          <w:p w14:paraId="5F70BC02" w14:textId="0F53809A"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88 %</w:t>
            </w:r>
          </w:p>
        </w:tc>
        <w:tc>
          <w:tcPr>
            <w:tcW w:w="1364" w:type="dxa"/>
            <w:shd w:val="clear" w:color="auto" w:fill="B1C9E8"/>
          </w:tcPr>
          <w:p w14:paraId="02E971F8" w14:textId="11794421"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10 %</w:t>
            </w:r>
          </w:p>
        </w:tc>
        <w:tc>
          <w:tcPr>
            <w:tcW w:w="1365" w:type="dxa"/>
            <w:shd w:val="clear" w:color="auto" w:fill="B1C9E8"/>
          </w:tcPr>
          <w:p w14:paraId="50C5F762" w14:textId="7437519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146.8</w:t>
            </w:r>
          </w:p>
        </w:tc>
        <w:tc>
          <w:tcPr>
            <w:tcW w:w="1364" w:type="dxa"/>
            <w:shd w:val="clear" w:color="auto" w:fill="B1C9E8"/>
          </w:tcPr>
          <w:p w14:paraId="55B03E99" w14:textId="0942297C"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3.5</w:t>
            </w:r>
          </w:p>
        </w:tc>
        <w:tc>
          <w:tcPr>
            <w:tcW w:w="1364" w:type="dxa"/>
            <w:shd w:val="clear" w:color="auto" w:fill="B1C9E8"/>
          </w:tcPr>
          <w:p w14:paraId="655E55D0" w14:textId="4A3E37D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82 %</w:t>
            </w:r>
          </w:p>
        </w:tc>
        <w:tc>
          <w:tcPr>
            <w:tcW w:w="1365" w:type="dxa"/>
            <w:shd w:val="clear" w:color="auto" w:fill="B1C9E8"/>
          </w:tcPr>
          <w:p w14:paraId="6F0EEB6B" w14:textId="4FF1ED81"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15.1</w:t>
            </w:r>
          </w:p>
        </w:tc>
        <w:tc>
          <w:tcPr>
            <w:tcW w:w="1364" w:type="dxa"/>
            <w:shd w:val="clear" w:color="auto" w:fill="B1C9E8"/>
          </w:tcPr>
          <w:p w14:paraId="2A6A666D" w14:textId="0F314E00"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69 %</w:t>
            </w:r>
          </w:p>
        </w:tc>
        <w:tc>
          <w:tcPr>
            <w:tcW w:w="1365" w:type="dxa"/>
            <w:shd w:val="clear" w:color="auto" w:fill="B1C9E8"/>
          </w:tcPr>
          <w:p w14:paraId="4EE8357E" w14:textId="718A0B32"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7 %</w:t>
            </w:r>
          </w:p>
        </w:tc>
      </w:tr>
      <w:tr w:rsidR="00847E82" w:rsidRPr="008D13A2" w14:paraId="043BE0CA" w14:textId="77777777" w:rsidTr="003C29FF">
        <w:trPr>
          <w:trHeight w:val="454"/>
        </w:trPr>
        <w:tc>
          <w:tcPr>
            <w:tcW w:w="2135" w:type="dxa"/>
            <w:shd w:val="clear" w:color="auto" w:fill="244C5A"/>
          </w:tcPr>
          <w:p w14:paraId="566CB94B" w14:textId="408E9339"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695" w:type="dxa"/>
            <w:shd w:val="clear" w:color="auto" w:fill="244C5A"/>
          </w:tcPr>
          <w:p w14:paraId="240D5A06" w14:textId="3ECFE4AD"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1364" w:type="dxa"/>
            <w:shd w:val="clear" w:color="auto" w:fill="244C5A"/>
          </w:tcPr>
          <w:p w14:paraId="2F43619C" w14:textId="4884A600"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89 %</w:t>
            </w:r>
          </w:p>
        </w:tc>
        <w:tc>
          <w:tcPr>
            <w:tcW w:w="1364" w:type="dxa"/>
            <w:shd w:val="clear" w:color="auto" w:fill="244C5A"/>
          </w:tcPr>
          <w:p w14:paraId="470477CF" w14:textId="23E13015"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6 %</w:t>
            </w:r>
          </w:p>
        </w:tc>
        <w:tc>
          <w:tcPr>
            <w:tcW w:w="1365" w:type="dxa"/>
            <w:shd w:val="clear" w:color="auto" w:fill="244C5A"/>
          </w:tcPr>
          <w:p w14:paraId="11752DBF" w14:textId="10FE668E"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543.0</w:t>
            </w:r>
          </w:p>
        </w:tc>
        <w:tc>
          <w:tcPr>
            <w:tcW w:w="1364" w:type="dxa"/>
            <w:shd w:val="clear" w:color="auto" w:fill="244C5A"/>
          </w:tcPr>
          <w:p w14:paraId="5768C14A" w14:textId="0AB10FA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3.8</w:t>
            </w:r>
          </w:p>
        </w:tc>
        <w:tc>
          <w:tcPr>
            <w:tcW w:w="1364" w:type="dxa"/>
            <w:shd w:val="clear" w:color="auto" w:fill="244C5A"/>
          </w:tcPr>
          <w:p w14:paraId="68CC29F8" w14:textId="45B2711B"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88 %</w:t>
            </w:r>
          </w:p>
        </w:tc>
        <w:tc>
          <w:tcPr>
            <w:tcW w:w="1365" w:type="dxa"/>
            <w:shd w:val="clear" w:color="auto" w:fill="244C5A"/>
          </w:tcPr>
          <w:p w14:paraId="7B72F31F" w14:textId="69A9E0D0"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16.7</w:t>
            </w:r>
          </w:p>
        </w:tc>
        <w:tc>
          <w:tcPr>
            <w:tcW w:w="1364" w:type="dxa"/>
            <w:shd w:val="clear" w:color="auto" w:fill="244C5A"/>
          </w:tcPr>
          <w:p w14:paraId="03E5D8E9" w14:textId="35227AC2"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78 %</w:t>
            </w:r>
          </w:p>
        </w:tc>
        <w:tc>
          <w:tcPr>
            <w:tcW w:w="1365" w:type="dxa"/>
            <w:shd w:val="clear" w:color="auto" w:fill="244C5A"/>
          </w:tcPr>
          <w:p w14:paraId="23BF24CF" w14:textId="06CC2D3C"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15 %</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31B5F" w:rsidRPr="00A6366B" w14:paraId="22CD5C47" w14:textId="77777777" w:rsidTr="003330EE">
        <w:trPr>
          <w:trHeight w:val="1062"/>
          <w:tblHeader/>
        </w:trPr>
        <w:tc>
          <w:tcPr>
            <w:tcW w:w="4830" w:type="dxa"/>
            <w:gridSpan w:val="2"/>
            <w:shd w:val="clear" w:color="auto" w:fill="FFFFFF"/>
            <w:vAlign w:val="bottom"/>
          </w:tcPr>
          <w:p w14:paraId="2E95CD1E" w14:textId="78F40CE1" w:rsidR="00D31B5F" w:rsidRPr="00592F37" w:rsidRDefault="00D31B5F" w:rsidP="003330EE">
            <w:pPr>
              <w:pStyle w:val="Heading1"/>
              <w:spacing w:before="0" w:line="240" w:lineRule="auto"/>
              <w:rPr>
                <w:color w:val="244C5A"/>
                <w:sz w:val="28"/>
                <w:szCs w:val="28"/>
              </w:rPr>
            </w:pPr>
            <w:bookmarkStart w:id="9" w:name="_Toc37867221"/>
            <w:r>
              <w:rPr>
                <w:color w:val="244C5A"/>
                <w:sz w:val="22"/>
                <w:szCs w:val="28"/>
              </w:rPr>
              <w:lastRenderedPageBreak/>
              <w:t>Extended care</w:t>
            </w:r>
            <w:r w:rsidRPr="00052DAD">
              <w:rPr>
                <w:color w:val="244C5A"/>
                <w:sz w:val="22"/>
                <w:szCs w:val="28"/>
              </w:rPr>
              <w:br w:type="textWrapping" w:clear="all"/>
            </w:r>
            <w:r w:rsidR="005406C4">
              <w:rPr>
                <w:color w:val="244C5A"/>
                <w:sz w:val="22"/>
                <w:szCs w:val="28"/>
              </w:rPr>
              <w:t>2019–20 Q1–Q</w:t>
            </w:r>
            <w:r w:rsidR="0056356A">
              <w:rPr>
                <w:color w:val="244C5A"/>
                <w:sz w:val="22"/>
                <w:szCs w:val="28"/>
              </w:rPr>
              <w:t>3</w:t>
            </w:r>
            <w:bookmarkEnd w:id="9"/>
          </w:p>
        </w:tc>
        <w:tc>
          <w:tcPr>
            <w:tcW w:w="1364" w:type="dxa"/>
            <w:shd w:val="clear" w:color="auto" w:fill="FFFFFF"/>
            <w:vAlign w:val="bottom"/>
          </w:tcPr>
          <w:p w14:paraId="43EAC466" w14:textId="77777777" w:rsidR="00D31B5F" w:rsidRPr="003C29FF" w:rsidRDefault="00D31B5F" w:rsidP="003330EE">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207D685B" w14:textId="77777777" w:rsidR="00D31B5F" w:rsidRPr="003C29FF" w:rsidRDefault="00D31B5F" w:rsidP="003330EE">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061922BC" w14:textId="7D26D31A" w:rsidR="00D31B5F" w:rsidRPr="003C29FF" w:rsidRDefault="00D31B5F" w:rsidP="003330EE">
            <w:pPr>
              <w:pStyle w:val="VAHItablecolhead"/>
              <w:rPr>
                <w:rFonts w:eastAsia="Verdana"/>
                <w:color w:val="244C5A"/>
                <w:sz w:val="16"/>
              </w:rPr>
            </w:pPr>
            <w:r w:rsidRPr="003C29FF">
              <w:rPr>
                <w:sz w:val="16"/>
              </w:rPr>
              <w:t>Average duration of treatment to date (days)</w:t>
            </w:r>
            <w:r w:rsidR="0004422D">
              <w:rPr>
                <w:sz w:val="16"/>
              </w:rPr>
              <w:t xml:space="preserve"> </w:t>
            </w:r>
          </w:p>
        </w:tc>
        <w:tc>
          <w:tcPr>
            <w:tcW w:w="1364" w:type="dxa"/>
            <w:shd w:val="clear" w:color="auto" w:fill="FFFFFF"/>
            <w:vAlign w:val="bottom"/>
          </w:tcPr>
          <w:p w14:paraId="0D563834" w14:textId="77777777" w:rsidR="00D31B5F" w:rsidRPr="003C29FF" w:rsidRDefault="00D31B5F" w:rsidP="003330EE">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3FB6D551" w14:textId="77777777" w:rsidR="00D31B5F" w:rsidRPr="003C29FF" w:rsidRDefault="00D31B5F" w:rsidP="003330EE">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42267A1" w14:textId="77777777" w:rsidR="00D31B5F" w:rsidRPr="003C29FF" w:rsidRDefault="00D31B5F" w:rsidP="003330EE">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16EE7836" w14:textId="77777777" w:rsidR="00D31B5F" w:rsidRPr="003C29FF" w:rsidRDefault="00D31B5F" w:rsidP="003330EE">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5867899" w14:textId="77777777" w:rsidR="00D31B5F" w:rsidRPr="003C29FF" w:rsidRDefault="00D31B5F" w:rsidP="003330EE">
            <w:pPr>
              <w:pStyle w:val="VAHItablecolhead"/>
              <w:rPr>
                <w:rFonts w:eastAsia="Verdana"/>
                <w:color w:val="244C5A"/>
                <w:sz w:val="16"/>
              </w:rPr>
            </w:pPr>
            <w:r w:rsidRPr="003C29FF">
              <w:rPr>
                <w:sz w:val="16"/>
              </w:rPr>
              <w:t>BASIS32 completed</w:t>
            </w:r>
          </w:p>
        </w:tc>
      </w:tr>
      <w:tr w:rsidR="00847E82" w:rsidRPr="00A6366B" w14:paraId="2A25647C" w14:textId="77777777" w:rsidTr="003330EE">
        <w:trPr>
          <w:trHeight w:val="454"/>
        </w:trPr>
        <w:tc>
          <w:tcPr>
            <w:tcW w:w="2135" w:type="dxa"/>
            <w:shd w:val="clear" w:color="auto" w:fill="BFCED6"/>
          </w:tcPr>
          <w:p w14:paraId="3B59C957" w14:textId="7BE82625"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Austin Health</w:t>
            </w:r>
          </w:p>
        </w:tc>
        <w:tc>
          <w:tcPr>
            <w:tcW w:w="2695" w:type="dxa"/>
            <w:shd w:val="clear" w:color="auto" w:fill="BFCED6"/>
          </w:tcPr>
          <w:p w14:paraId="7E8DD542" w14:textId="351D8BA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(Austin)</w:t>
            </w:r>
          </w:p>
        </w:tc>
        <w:tc>
          <w:tcPr>
            <w:tcW w:w="1364" w:type="dxa"/>
            <w:shd w:val="clear" w:color="auto" w:fill="BFCED6"/>
          </w:tcPr>
          <w:p w14:paraId="223B5032" w14:textId="49824C98" w:rsidR="00847E82" w:rsidRPr="005B1FEF" w:rsidRDefault="00847E82" w:rsidP="00847E82">
            <w:pPr>
              <w:jc w:val="center"/>
              <w:rPr>
                <w:rFonts w:ascii="VIC" w:hAnsi="VIC"/>
                <w:sz w:val="18"/>
                <w:szCs w:val="18"/>
              </w:rPr>
            </w:pPr>
            <w:r w:rsidRPr="00427725">
              <w:rPr>
                <w:rFonts w:ascii="VIC" w:eastAsia="Verdana" w:hAnsi="VIC"/>
                <w:color w:val="000000"/>
                <w:sz w:val="18"/>
                <w:szCs w:val="18"/>
              </w:rPr>
              <w:t>78 %</w:t>
            </w:r>
          </w:p>
        </w:tc>
        <w:tc>
          <w:tcPr>
            <w:tcW w:w="1364" w:type="dxa"/>
            <w:shd w:val="clear" w:color="auto" w:fill="BFCED6"/>
          </w:tcPr>
          <w:p w14:paraId="58805485" w14:textId="26C14A66" w:rsidR="00847E82" w:rsidRPr="005B1FEF" w:rsidRDefault="00847E82" w:rsidP="00847E82">
            <w:pPr>
              <w:jc w:val="center"/>
              <w:rPr>
                <w:rFonts w:ascii="VIC" w:hAnsi="VIC"/>
                <w:sz w:val="18"/>
                <w:szCs w:val="18"/>
              </w:rPr>
            </w:pPr>
            <w:r w:rsidRPr="00427725">
              <w:rPr>
                <w:rFonts w:ascii="VIC" w:eastAsia="Verdana" w:hAnsi="VIC"/>
                <w:color w:val="000000"/>
                <w:sz w:val="18"/>
                <w:szCs w:val="18"/>
              </w:rPr>
              <w:t>5 %</w:t>
            </w:r>
          </w:p>
        </w:tc>
        <w:tc>
          <w:tcPr>
            <w:tcW w:w="1365" w:type="dxa"/>
            <w:shd w:val="clear" w:color="auto" w:fill="BFCED6"/>
          </w:tcPr>
          <w:p w14:paraId="4E3761A9" w14:textId="604FE319" w:rsidR="00847E82" w:rsidRPr="005B1FEF" w:rsidRDefault="00847E82" w:rsidP="00847E82">
            <w:pPr>
              <w:jc w:val="center"/>
              <w:rPr>
                <w:rFonts w:ascii="VIC" w:hAnsi="VIC"/>
                <w:sz w:val="18"/>
                <w:szCs w:val="18"/>
              </w:rPr>
            </w:pPr>
            <w:r w:rsidRPr="00427725">
              <w:rPr>
                <w:rFonts w:ascii="VIC" w:eastAsia="Verdana" w:hAnsi="VIC"/>
                <w:color w:val="000000"/>
                <w:sz w:val="18"/>
                <w:szCs w:val="18"/>
              </w:rPr>
              <w:t>690.5</w:t>
            </w:r>
          </w:p>
        </w:tc>
        <w:tc>
          <w:tcPr>
            <w:tcW w:w="1364" w:type="dxa"/>
            <w:shd w:val="clear" w:color="auto" w:fill="BFCED6"/>
          </w:tcPr>
          <w:p w14:paraId="3DAA6716" w14:textId="73C83130" w:rsidR="00847E82" w:rsidRPr="005B1FEF" w:rsidRDefault="00847E82" w:rsidP="00847E82">
            <w:pPr>
              <w:jc w:val="center"/>
              <w:rPr>
                <w:rFonts w:ascii="VIC" w:hAnsi="VIC"/>
                <w:sz w:val="18"/>
                <w:szCs w:val="18"/>
              </w:rPr>
            </w:pPr>
            <w:r w:rsidRPr="00427725">
              <w:rPr>
                <w:rFonts w:ascii="VIC" w:eastAsia="Verdana" w:hAnsi="VIC"/>
                <w:color w:val="000000"/>
                <w:sz w:val="18"/>
                <w:szCs w:val="18"/>
              </w:rPr>
              <w:t>3.2</w:t>
            </w:r>
          </w:p>
        </w:tc>
        <w:tc>
          <w:tcPr>
            <w:tcW w:w="1364" w:type="dxa"/>
            <w:shd w:val="clear" w:color="auto" w:fill="BFCED6"/>
          </w:tcPr>
          <w:p w14:paraId="4D4196E6" w14:textId="6213E8FC"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365" w:type="dxa"/>
            <w:shd w:val="clear" w:color="auto" w:fill="BFCED6"/>
          </w:tcPr>
          <w:p w14:paraId="6846E293" w14:textId="30DDF0C7" w:rsidR="00847E82" w:rsidRPr="005B1FEF" w:rsidRDefault="00847E82" w:rsidP="00847E82">
            <w:pPr>
              <w:jc w:val="center"/>
              <w:rPr>
                <w:rFonts w:ascii="VIC" w:hAnsi="VIC"/>
                <w:sz w:val="18"/>
                <w:szCs w:val="18"/>
              </w:rPr>
            </w:pPr>
            <w:r w:rsidRPr="00427725">
              <w:rPr>
                <w:rFonts w:ascii="VIC" w:eastAsia="Verdana" w:hAnsi="VIC"/>
                <w:color w:val="000000"/>
                <w:sz w:val="18"/>
                <w:szCs w:val="18"/>
              </w:rPr>
              <w:t>15.3</w:t>
            </w:r>
          </w:p>
        </w:tc>
        <w:tc>
          <w:tcPr>
            <w:tcW w:w="1364" w:type="dxa"/>
            <w:shd w:val="clear" w:color="auto" w:fill="BFCED6"/>
          </w:tcPr>
          <w:p w14:paraId="026F0643" w14:textId="4D6AC4FB" w:rsidR="00847E82" w:rsidRPr="005B1FEF" w:rsidRDefault="00847E82" w:rsidP="00847E82">
            <w:pPr>
              <w:jc w:val="center"/>
              <w:rPr>
                <w:rFonts w:ascii="VIC" w:hAnsi="VIC"/>
                <w:sz w:val="18"/>
                <w:szCs w:val="18"/>
              </w:rPr>
            </w:pPr>
            <w:r w:rsidRPr="00427725">
              <w:rPr>
                <w:rFonts w:ascii="VIC" w:eastAsia="Verdana" w:hAnsi="VIC"/>
                <w:color w:val="000000"/>
                <w:sz w:val="18"/>
                <w:szCs w:val="18"/>
              </w:rPr>
              <w:t>71 %</w:t>
            </w:r>
          </w:p>
        </w:tc>
        <w:tc>
          <w:tcPr>
            <w:tcW w:w="1365" w:type="dxa"/>
            <w:shd w:val="clear" w:color="auto" w:fill="BFCED6"/>
          </w:tcPr>
          <w:p w14:paraId="784FD82E" w14:textId="14139DFD"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r>
      <w:tr w:rsidR="00847E82" w:rsidRPr="00A6366B" w14:paraId="45DF60F4" w14:textId="77777777" w:rsidTr="003330EE">
        <w:trPr>
          <w:trHeight w:val="454"/>
        </w:trPr>
        <w:tc>
          <w:tcPr>
            <w:tcW w:w="2135" w:type="dxa"/>
          </w:tcPr>
          <w:p w14:paraId="778CB8B1" w14:textId="6227499C"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Melbourne Health</w:t>
            </w:r>
          </w:p>
        </w:tc>
        <w:tc>
          <w:tcPr>
            <w:tcW w:w="2695" w:type="dxa"/>
          </w:tcPr>
          <w:p w14:paraId="6C9661B9" w14:textId="609FF66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Mid West (Sunshine)</w:t>
            </w:r>
          </w:p>
        </w:tc>
        <w:tc>
          <w:tcPr>
            <w:tcW w:w="1364" w:type="dxa"/>
          </w:tcPr>
          <w:p w14:paraId="602FE71F" w14:textId="73BC37D6"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364" w:type="dxa"/>
          </w:tcPr>
          <w:p w14:paraId="28C28647" w14:textId="16B700F5"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365" w:type="dxa"/>
          </w:tcPr>
          <w:p w14:paraId="49A6087E" w14:textId="05AC865B" w:rsidR="00847E82" w:rsidRPr="005B1FEF" w:rsidRDefault="00847E82" w:rsidP="00847E82">
            <w:pPr>
              <w:jc w:val="center"/>
              <w:rPr>
                <w:rFonts w:ascii="VIC" w:hAnsi="VIC"/>
                <w:sz w:val="18"/>
                <w:szCs w:val="18"/>
              </w:rPr>
            </w:pPr>
            <w:r w:rsidRPr="00427725">
              <w:rPr>
                <w:rFonts w:ascii="VIC" w:eastAsia="Verdana" w:hAnsi="VIC"/>
                <w:color w:val="000000"/>
                <w:sz w:val="18"/>
                <w:szCs w:val="18"/>
              </w:rPr>
              <w:t>967.1</w:t>
            </w:r>
          </w:p>
        </w:tc>
        <w:tc>
          <w:tcPr>
            <w:tcW w:w="1364" w:type="dxa"/>
          </w:tcPr>
          <w:p w14:paraId="01A0942E" w14:textId="46AB123F" w:rsidR="00847E82" w:rsidRPr="005B1FEF" w:rsidRDefault="00847E82" w:rsidP="00847E82">
            <w:pPr>
              <w:jc w:val="center"/>
              <w:rPr>
                <w:rFonts w:ascii="VIC" w:hAnsi="VIC"/>
                <w:sz w:val="18"/>
                <w:szCs w:val="18"/>
              </w:rPr>
            </w:pPr>
            <w:r w:rsidRPr="00427725">
              <w:rPr>
                <w:rFonts w:ascii="VIC" w:eastAsia="Verdana" w:hAnsi="VIC"/>
                <w:color w:val="000000"/>
                <w:sz w:val="18"/>
                <w:szCs w:val="18"/>
              </w:rPr>
              <w:t>4.2</w:t>
            </w:r>
          </w:p>
        </w:tc>
        <w:tc>
          <w:tcPr>
            <w:tcW w:w="1364" w:type="dxa"/>
          </w:tcPr>
          <w:p w14:paraId="08616A5A" w14:textId="2BE7D5C7"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365" w:type="dxa"/>
          </w:tcPr>
          <w:p w14:paraId="1C39B6AC" w14:textId="7800F36E" w:rsidR="00847E82" w:rsidRPr="005B1FEF" w:rsidRDefault="00847E82" w:rsidP="00847E82">
            <w:pPr>
              <w:jc w:val="center"/>
              <w:rPr>
                <w:rFonts w:ascii="VIC" w:hAnsi="VIC"/>
                <w:sz w:val="18"/>
                <w:szCs w:val="18"/>
              </w:rPr>
            </w:pPr>
            <w:r w:rsidRPr="00427725">
              <w:rPr>
                <w:rFonts w:ascii="VIC" w:eastAsia="Verdana" w:hAnsi="VIC"/>
                <w:color w:val="000000"/>
                <w:sz w:val="18"/>
                <w:szCs w:val="18"/>
              </w:rPr>
              <w:t>17.6</w:t>
            </w:r>
          </w:p>
        </w:tc>
        <w:tc>
          <w:tcPr>
            <w:tcW w:w="1364" w:type="dxa"/>
          </w:tcPr>
          <w:p w14:paraId="6D219765" w14:textId="5787AF62"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365" w:type="dxa"/>
          </w:tcPr>
          <w:p w14:paraId="3CB9FB02" w14:textId="0B601626" w:rsidR="00847E82" w:rsidRPr="005B1FEF" w:rsidRDefault="00847E82" w:rsidP="00847E82">
            <w:pPr>
              <w:jc w:val="center"/>
              <w:rPr>
                <w:rFonts w:ascii="VIC" w:hAnsi="VIC"/>
                <w:sz w:val="18"/>
                <w:szCs w:val="18"/>
              </w:rPr>
            </w:pPr>
            <w:r w:rsidRPr="00427725">
              <w:rPr>
                <w:rFonts w:ascii="VIC" w:eastAsia="Verdana" w:hAnsi="VIC"/>
                <w:color w:val="000000"/>
                <w:sz w:val="18"/>
                <w:szCs w:val="18"/>
              </w:rPr>
              <w:t>33 %</w:t>
            </w:r>
          </w:p>
        </w:tc>
      </w:tr>
      <w:tr w:rsidR="00847E82" w:rsidRPr="00A6366B" w14:paraId="1DAA64FD" w14:textId="77777777" w:rsidTr="003330EE">
        <w:trPr>
          <w:trHeight w:val="454"/>
        </w:trPr>
        <w:tc>
          <w:tcPr>
            <w:tcW w:w="2135" w:type="dxa"/>
            <w:vMerge w:val="restart"/>
            <w:shd w:val="clear" w:color="auto" w:fill="BFCED6"/>
          </w:tcPr>
          <w:p w14:paraId="259759B1" w14:textId="777E8FC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Monash Health</w:t>
            </w:r>
          </w:p>
        </w:tc>
        <w:tc>
          <w:tcPr>
            <w:tcW w:w="2695" w:type="dxa"/>
            <w:shd w:val="clear" w:color="auto" w:fill="BFCED6"/>
          </w:tcPr>
          <w:p w14:paraId="3A58A81A" w14:textId="4716615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Casey</w:t>
            </w:r>
          </w:p>
        </w:tc>
        <w:tc>
          <w:tcPr>
            <w:tcW w:w="1364" w:type="dxa"/>
            <w:shd w:val="clear" w:color="auto" w:fill="BFCED6"/>
          </w:tcPr>
          <w:p w14:paraId="7635CE40" w14:textId="40A138A6" w:rsidR="00847E82" w:rsidRPr="005B1FEF" w:rsidRDefault="00847E82" w:rsidP="00847E82">
            <w:pPr>
              <w:jc w:val="center"/>
              <w:rPr>
                <w:rFonts w:ascii="VIC" w:hAnsi="VIC"/>
                <w:sz w:val="18"/>
                <w:szCs w:val="18"/>
              </w:rPr>
            </w:pPr>
            <w:r w:rsidRPr="00427725">
              <w:rPr>
                <w:rFonts w:ascii="VIC" w:eastAsia="Verdana" w:hAnsi="VIC"/>
                <w:color w:val="000000"/>
                <w:sz w:val="18"/>
                <w:szCs w:val="18"/>
              </w:rPr>
              <w:t>53 %</w:t>
            </w:r>
          </w:p>
        </w:tc>
        <w:tc>
          <w:tcPr>
            <w:tcW w:w="1364" w:type="dxa"/>
            <w:shd w:val="clear" w:color="auto" w:fill="BFCED6"/>
          </w:tcPr>
          <w:p w14:paraId="0936612B" w14:textId="0406FD51" w:rsidR="00847E82" w:rsidRPr="005B1FEF" w:rsidRDefault="00847E82" w:rsidP="00847E82">
            <w:pPr>
              <w:jc w:val="center"/>
              <w:rPr>
                <w:rFonts w:ascii="VIC" w:hAnsi="VIC"/>
                <w:sz w:val="18"/>
                <w:szCs w:val="18"/>
              </w:rPr>
            </w:pPr>
            <w:r w:rsidRPr="00427725">
              <w:rPr>
                <w:rFonts w:ascii="VIC" w:eastAsia="Verdana" w:hAnsi="VIC"/>
                <w:color w:val="000000"/>
                <w:sz w:val="18"/>
                <w:szCs w:val="18"/>
              </w:rPr>
              <w:t>1 %</w:t>
            </w:r>
          </w:p>
        </w:tc>
        <w:tc>
          <w:tcPr>
            <w:tcW w:w="1365" w:type="dxa"/>
            <w:shd w:val="clear" w:color="auto" w:fill="BFCED6"/>
          </w:tcPr>
          <w:p w14:paraId="063A621A" w14:textId="1B30CB12" w:rsidR="00847E82" w:rsidRPr="005B1FEF" w:rsidRDefault="00847E82" w:rsidP="00847E82">
            <w:pPr>
              <w:jc w:val="center"/>
              <w:rPr>
                <w:rFonts w:ascii="VIC" w:hAnsi="VIC"/>
                <w:sz w:val="18"/>
                <w:szCs w:val="18"/>
              </w:rPr>
            </w:pPr>
            <w:r w:rsidRPr="00427725">
              <w:rPr>
                <w:rFonts w:ascii="VIC" w:eastAsia="Verdana" w:hAnsi="VIC"/>
                <w:color w:val="000000"/>
                <w:sz w:val="18"/>
                <w:szCs w:val="18"/>
              </w:rPr>
              <w:t>198.3</w:t>
            </w:r>
          </w:p>
        </w:tc>
        <w:tc>
          <w:tcPr>
            <w:tcW w:w="1364" w:type="dxa"/>
            <w:shd w:val="clear" w:color="auto" w:fill="BFCED6"/>
          </w:tcPr>
          <w:p w14:paraId="08D22AC2" w14:textId="39EB1F52" w:rsidR="00847E82" w:rsidRPr="005B1FEF" w:rsidRDefault="00847E82" w:rsidP="00847E82">
            <w:pPr>
              <w:jc w:val="center"/>
              <w:rPr>
                <w:rFonts w:ascii="VIC" w:hAnsi="VIC"/>
                <w:sz w:val="18"/>
                <w:szCs w:val="18"/>
              </w:rPr>
            </w:pPr>
            <w:r w:rsidRPr="00427725">
              <w:rPr>
                <w:rFonts w:ascii="VIC" w:eastAsia="Verdana" w:hAnsi="VIC"/>
                <w:color w:val="000000"/>
                <w:sz w:val="18"/>
                <w:szCs w:val="18"/>
              </w:rPr>
              <w:t>0.0</w:t>
            </w:r>
          </w:p>
        </w:tc>
        <w:tc>
          <w:tcPr>
            <w:tcW w:w="1364" w:type="dxa"/>
            <w:shd w:val="clear" w:color="auto" w:fill="BFCED6"/>
          </w:tcPr>
          <w:p w14:paraId="01BF0782" w14:textId="0C1D65F5"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365" w:type="dxa"/>
            <w:shd w:val="clear" w:color="auto" w:fill="BFCED6"/>
          </w:tcPr>
          <w:p w14:paraId="188FAE17" w14:textId="5EDD2153" w:rsidR="00847E82" w:rsidRPr="005B1FEF" w:rsidRDefault="00847E82" w:rsidP="00847E82">
            <w:pPr>
              <w:jc w:val="center"/>
              <w:rPr>
                <w:rFonts w:ascii="VIC" w:hAnsi="VIC"/>
                <w:sz w:val="18"/>
                <w:szCs w:val="18"/>
              </w:rPr>
            </w:pPr>
            <w:r w:rsidRPr="00427725">
              <w:rPr>
                <w:rFonts w:ascii="VIC" w:eastAsia="Verdana" w:hAnsi="VIC"/>
                <w:color w:val="000000"/>
                <w:sz w:val="18"/>
                <w:szCs w:val="18"/>
              </w:rPr>
              <w:t>19.3</w:t>
            </w:r>
          </w:p>
        </w:tc>
        <w:tc>
          <w:tcPr>
            <w:tcW w:w="1364" w:type="dxa"/>
            <w:shd w:val="clear" w:color="auto" w:fill="BFCED6"/>
          </w:tcPr>
          <w:p w14:paraId="5B16741C" w14:textId="6454454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365" w:type="dxa"/>
            <w:shd w:val="clear" w:color="auto" w:fill="BFCED6"/>
          </w:tcPr>
          <w:p w14:paraId="07713928" w14:textId="0FF232EC"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r>
      <w:tr w:rsidR="00847E82" w:rsidRPr="00A6366B" w14:paraId="68566912" w14:textId="77777777" w:rsidTr="003330EE">
        <w:trPr>
          <w:trHeight w:val="454"/>
        </w:trPr>
        <w:tc>
          <w:tcPr>
            <w:tcW w:w="2135" w:type="dxa"/>
            <w:vMerge/>
            <w:shd w:val="clear" w:color="auto" w:fill="BFCED6"/>
          </w:tcPr>
          <w:p w14:paraId="2CF0ECE4"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31BCBC66" w14:textId="42C7D9E6" w:rsidR="00847E82" w:rsidRPr="00382424" w:rsidRDefault="00847E82" w:rsidP="00847E82">
            <w:pPr>
              <w:pStyle w:val="DHHStabletext"/>
              <w:spacing w:before="0" w:after="0"/>
              <w:rPr>
                <w:rFonts w:ascii="VIC" w:hAnsi="VIC"/>
                <w:w w:val="105"/>
                <w:sz w:val="18"/>
                <w:szCs w:val="18"/>
              </w:rPr>
            </w:pPr>
            <w:r w:rsidRPr="00427725">
              <w:rPr>
                <w:rFonts w:ascii="VIC" w:eastAsia="Verdana" w:hAnsi="VIC"/>
                <w:color w:val="000000"/>
                <w:sz w:val="18"/>
                <w:szCs w:val="18"/>
              </w:rPr>
              <w:t>Dandenong</w:t>
            </w:r>
          </w:p>
        </w:tc>
        <w:tc>
          <w:tcPr>
            <w:tcW w:w="1364" w:type="dxa"/>
            <w:shd w:val="clear" w:color="auto" w:fill="BFCED6"/>
          </w:tcPr>
          <w:p w14:paraId="3094592A" w14:textId="07FF1C95"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364" w:type="dxa"/>
            <w:shd w:val="clear" w:color="auto" w:fill="BFCED6"/>
          </w:tcPr>
          <w:p w14:paraId="462D7E5E" w14:textId="60F8334E"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365" w:type="dxa"/>
            <w:shd w:val="clear" w:color="auto" w:fill="BFCED6"/>
          </w:tcPr>
          <w:p w14:paraId="5A55BB62" w14:textId="2CD51380" w:rsidR="00847E82" w:rsidRPr="005B1FEF" w:rsidRDefault="00847E82" w:rsidP="00847E82">
            <w:pPr>
              <w:jc w:val="center"/>
              <w:rPr>
                <w:rFonts w:ascii="VIC" w:hAnsi="VIC"/>
                <w:sz w:val="18"/>
                <w:szCs w:val="18"/>
              </w:rPr>
            </w:pPr>
            <w:r w:rsidRPr="00427725">
              <w:rPr>
                <w:rFonts w:ascii="VIC" w:eastAsia="Verdana" w:hAnsi="VIC"/>
                <w:color w:val="000000"/>
                <w:sz w:val="18"/>
                <w:szCs w:val="18"/>
              </w:rPr>
              <w:t>618.1</w:t>
            </w:r>
          </w:p>
        </w:tc>
        <w:tc>
          <w:tcPr>
            <w:tcW w:w="1364" w:type="dxa"/>
            <w:shd w:val="clear" w:color="auto" w:fill="BFCED6"/>
          </w:tcPr>
          <w:p w14:paraId="26027346" w14:textId="0559D904" w:rsidR="00847E82" w:rsidRPr="005B1FEF" w:rsidRDefault="00847E82" w:rsidP="00847E82">
            <w:pPr>
              <w:jc w:val="center"/>
              <w:rPr>
                <w:rFonts w:ascii="VIC" w:hAnsi="VIC"/>
                <w:sz w:val="18"/>
                <w:szCs w:val="18"/>
              </w:rPr>
            </w:pPr>
            <w:r w:rsidRPr="00427725">
              <w:rPr>
                <w:rFonts w:ascii="VIC" w:eastAsia="Verdana" w:hAnsi="VIC"/>
                <w:color w:val="000000"/>
                <w:sz w:val="18"/>
                <w:szCs w:val="18"/>
              </w:rPr>
              <w:t>2.8</w:t>
            </w:r>
          </w:p>
        </w:tc>
        <w:tc>
          <w:tcPr>
            <w:tcW w:w="1364" w:type="dxa"/>
            <w:shd w:val="clear" w:color="auto" w:fill="BFCED6"/>
          </w:tcPr>
          <w:p w14:paraId="470D01A5" w14:textId="62E714D1"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365" w:type="dxa"/>
            <w:shd w:val="clear" w:color="auto" w:fill="BFCED6"/>
          </w:tcPr>
          <w:p w14:paraId="59050024" w14:textId="56166FC4" w:rsidR="00847E82" w:rsidRPr="005B1FEF" w:rsidRDefault="00847E82" w:rsidP="00847E82">
            <w:pPr>
              <w:jc w:val="center"/>
              <w:rPr>
                <w:rFonts w:ascii="VIC" w:hAnsi="VIC"/>
                <w:sz w:val="18"/>
                <w:szCs w:val="18"/>
              </w:rPr>
            </w:pPr>
            <w:r w:rsidRPr="00427725">
              <w:rPr>
                <w:rFonts w:ascii="VIC" w:eastAsia="Verdana" w:hAnsi="VIC"/>
                <w:color w:val="000000"/>
                <w:sz w:val="18"/>
                <w:szCs w:val="18"/>
              </w:rPr>
              <w:t>19.2</w:t>
            </w:r>
          </w:p>
        </w:tc>
        <w:tc>
          <w:tcPr>
            <w:tcW w:w="1364" w:type="dxa"/>
            <w:shd w:val="clear" w:color="auto" w:fill="BFCED6"/>
          </w:tcPr>
          <w:p w14:paraId="2FE33FD1" w14:textId="35CA83E0" w:rsidR="00847E82" w:rsidRPr="005B1FEF" w:rsidRDefault="00847E82" w:rsidP="00847E82">
            <w:pPr>
              <w:jc w:val="center"/>
              <w:rPr>
                <w:rFonts w:ascii="VIC" w:hAnsi="VIC"/>
                <w:sz w:val="18"/>
                <w:szCs w:val="18"/>
              </w:rPr>
            </w:pPr>
            <w:r w:rsidRPr="00427725">
              <w:rPr>
                <w:rFonts w:ascii="VIC" w:eastAsia="Verdana" w:hAnsi="VIC"/>
                <w:color w:val="000000"/>
                <w:sz w:val="18"/>
                <w:szCs w:val="18"/>
              </w:rPr>
              <w:t>92 %</w:t>
            </w:r>
          </w:p>
        </w:tc>
        <w:tc>
          <w:tcPr>
            <w:tcW w:w="1365" w:type="dxa"/>
            <w:shd w:val="clear" w:color="auto" w:fill="BFCED6"/>
          </w:tcPr>
          <w:p w14:paraId="3C140D7E" w14:textId="353201C4" w:rsidR="00847E82" w:rsidRPr="005B1FEF" w:rsidRDefault="00847E82" w:rsidP="00847E82">
            <w:pPr>
              <w:jc w:val="center"/>
              <w:rPr>
                <w:rFonts w:ascii="VIC" w:hAnsi="VIC"/>
                <w:sz w:val="18"/>
                <w:szCs w:val="18"/>
              </w:rPr>
            </w:pPr>
            <w:r w:rsidRPr="00427725">
              <w:rPr>
                <w:rFonts w:ascii="VIC" w:eastAsia="Verdana" w:hAnsi="VIC"/>
                <w:color w:val="000000"/>
                <w:sz w:val="18"/>
                <w:szCs w:val="18"/>
              </w:rPr>
              <w:t>13 %</w:t>
            </w:r>
          </w:p>
        </w:tc>
      </w:tr>
      <w:tr w:rsidR="00847E82" w:rsidRPr="00A6366B" w14:paraId="5D381A2E" w14:textId="77777777" w:rsidTr="003330EE">
        <w:trPr>
          <w:trHeight w:val="454"/>
        </w:trPr>
        <w:tc>
          <w:tcPr>
            <w:tcW w:w="2135" w:type="dxa"/>
            <w:vMerge/>
            <w:shd w:val="clear" w:color="auto" w:fill="BFCED6"/>
          </w:tcPr>
          <w:p w14:paraId="5609D09F" w14:textId="77777777" w:rsidR="00847E82" w:rsidRPr="00382424" w:rsidRDefault="00847E82" w:rsidP="00847E82">
            <w:pPr>
              <w:pStyle w:val="DHHStabletext"/>
              <w:spacing w:before="0" w:after="0"/>
              <w:rPr>
                <w:rFonts w:ascii="VIC" w:hAnsi="VIC"/>
                <w:sz w:val="18"/>
                <w:szCs w:val="18"/>
              </w:rPr>
            </w:pPr>
          </w:p>
        </w:tc>
        <w:tc>
          <w:tcPr>
            <w:tcW w:w="2695" w:type="dxa"/>
            <w:shd w:val="clear" w:color="auto" w:fill="BFCED6"/>
          </w:tcPr>
          <w:p w14:paraId="519551FB" w14:textId="2A1D69B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1364" w:type="dxa"/>
            <w:shd w:val="clear" w:color="auto" w:fill="BFCED6"/>
          </w:tcPr>
          <w:p w14:paraId="6876EB70" w14:textId="456D5D75" w:rsidR="00847E82" w:rsidRPr="005B1FEF" w:rsidRDefault="00847E82" w:rsidP="00847E82">
            <w:pPr>
              <w:jc w:val="center"/>
              <w:rPr>
                <w:rFonts w:ascii="VIC" w:hAnsi="VIC"/>
                <w:sz w:val="18"/>
                <w:szCs w:val="18"/>
              </w:rPr>
            </w:pPr>
            <w:r w:rsidRPr="00427725">
              <w:rPr>
                <w:rFonts w:ascii="VIC" w:eastAsia="Verdana" w:hAnsi="VIC"/>
                <w:color w:val="000000"/>
                <w:sz w:val="18"/>
                <w:szCs w:val="18"/>
              </w:rPr>
              <w:t>87 %</w:t>
            </w:r>
          </w:p>
        </w:tc>
        <w:tc>
          <w:tcPr>
            <w:tcW w:w="1364" w:type="dxa"/>
            <w:shd w:val="clear" w:color="auto" w:fill="BFCED6"/>
          </w:tcPr>
          <w:p w14:paraId="35331F0D" w14:textId="0FA73264"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365" w:type="dxa"/>
            <w:shd w:val="clear" w:color="auto" w:fill="BFCED6"/>
          </w:tcPr>
          <w:p w14:paraId="053AF6C4" w14:textId="1C44D47D" w:rsidR="00847E82" w:rsidRPr="005B1FEF" w:rsidRDefault="00847E82" w:rsidP="00847E82">
            <w:pPr>
              <w:jc w:val="center"/>
              <w:rPr>
                <w:rFonts w:ascii="VIC" w:hAnsi="VIC"/>
                <w:sz w:val="18"/>
                <w:szCs w:val="18"/>
              </w:rPr>
            </w:pPr>
            <w:r w:rsidRPr="00427725">
              <w:rPr>
                <w:rFonts w:ascii="VIC" w:eastAsia="Verdana" w:hAnsi="VIC"/>
                <w:color w:val="000000"/>
                <w:sz w:val="18"/>
                <w:szCs w:val="18"/>
              </w:rPr>
              <w:t>559.6</w:t>
            </w:r>
          </w:p>
        </w:tc>
        <w:tc>
          <w:tcPr>
            <w:tcW w:w="1364" w:type="dxa"/>
            <w:shd w:val="clear" w:color="auto" w:fill="BFCED6"/>
          </w:tcPr>
          <w:p w14:paraId="421963CB" w14:textId="17986EB1" w:rsidR="00847E82" w:rsidRPr="005B1FEF" w:rsidRDefault="00847E82" w:rsidP="00847E82">
            <w:pPr>
              <w:jc w:val="center"/>
              <w:rPr>
                <w:rFonts w:ascii="VIC" w:hAnsi="VIC"/>
                <w:sz w:val="18"/>
                <w:szCs w:val="18"/>
              </w:rPr>
            </w:pPr>
            <w:r w:rsidRPr="00427725">
              <w:rPr>
                <w:rFonts w:ascii="VIC" w:eastAsia="Verdana" w:hAnsi="VIC"/>
                <w:color w:val="000000"/>
                <w:sz w:val="18"/>
                <w:szCs w:val="18"/>
              </w:rPr>
              <w:t>2.5</w:t>
            </w:r>
          </w:p>
        </w:tc>
        <w:tc>
          <w:tcPr>
            <w:tcW w:w="1364" w:type="dxa"/>
            <w:shd w:val="clear" w:color="auto" w:fill="BFCED6"/>
          </w:tcPr>
          <w:p w14:paraId="63162B20" w14:textId="4DDB4761"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365" w:type="dxa"/>
            <w:shd w:val="clear" w:color="auto" w:fill="BFCED6"/>
          </w:tcPr>
          <w:p w14:paraId="6481564C" w14:textId="704E2E39" w:rsidR="00847E82" w:rsidRPr="005B1FEF" w:rsidRDefault="00847E82" w:rsidP="00847E82">
            <w:pPr>
              <w:jc w:val="center"/>
              <w:rPr>
                <w:rFonts w:ascii="VIC" w:hAnsi="VIC"/>
                <w:sz w:val="18"/>
                <w:szCs w:val="18"/>
              </w:rPr>
            </w:pPr>
            <w:r w:rsidRPr="00427725">
              <w:rPr>
                <w:rFonts w:ascii="VIC" w:eastAsia="Verdana" w:hAnsi="VIC"/>
                <w:color w:val="000000"/>
                <w:sz w:val="18"/>
                <w:szCs w:val="18"/>
              </w:rPr>
              <w:t>19.2</w:t>
            </w:r>
          </w:p>
        </w:tc>
        <w:tc>
          <w:tcPr>
            <w:tcW w:w="1364" w:type="dxa"/>
            <w:shd w:val="clear" w:color="auto" w:fill="BFCED6"/>
          </w:tcPr>
          <w:p w14:paraId="50D87C1F" w14:textId="025046AF" w:rsidR="00847E82" w:rsidRPr="005B1FEF" w:rsidRDefault="00847E82" w:rsidP="00847E82">
            <w:pPr>
              <w:jc w:val="center"/>
              <w:rPr>
                <w:rFonts w:ascii="VIC" w:hAnsi="VIC"/>
                <w:sz w:val="18"/>
                <w:szCs w:val="18"/>
              </w:rPr>
            </w:pPr>
            <w:r w:rsidRPr="00427725">
              <w:rPr>
                <w:rFonts w:ascii="VIC" w:eastAsia="Verdana" w:hAnsi="VIC"/>
                <w:color w:val="000000"/>
                <w:sz w:val="18"/>
                <w:szCs w:val="18"/>
              </w:rPr>
              <w:t>79 %</w:t>
            </w:r>
          </w:p>
        </w:tc>
        <w:tc>
          <w:tcPr>
            <w:tcW w:w="1365" w:type="dxa"/>
            <w:shd w:val="clear" w:color="auto" w:fill="BFCED6"/>
          </w:tcPr>
          <w:p w14:paraId="1C1E9B4A" w14:textId="5CB4525B"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r>
      <w:tr w:rsidR="00847E82" w:rsidRPr="00847E82" w14:paraId="44ECA3EB" w14:textId="77777777" w:rsidTr="003330EE">
        <w:trPr>
          <w:trHeight w:val="454"/>
        </w:trPr>
        <w:tc>
          <w:tcPr>
            <w:tcW w:w="2135" w:type="dxa"/>
            <w:shd w:val="clear" w:color="auto" w:fill="B1C9E8"/>
          </w:tcPr>
          <w:p w14:paraId="4C514EAC" w14:textId="7E73BEC3"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METRO</w:t>
            </w:r>
          </w:p>
        </w:tc>
        <w:tc>
          <w:tcPr>
            <w:tcW w:w="2695" w:type="dxa"/>
            <w:shd w:val="clear" w:color="auto" w:fill="B1C9E8"/>
          </w:tcPr>
          <w:p w14:paraId="6643EEE7" w14:textId="3DE44504"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364" w:type="dxa"/>
            <w:shd w:val="clear" w:color="auto" w:fill="B1C9E8"/>
          </w:tcPr>
          <w:p w14:paraId="57310CA0" w14:textId="79388902"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87 %</w:t>
            </w:r>
          </w:p>
        </w:tc>
        <w:tc>
          <w:tcPr>
            <w:tcW w:w="1364" w:type="dxa"/>
            <w:shd w:val="clear" w:color="auto" w:fill="B1C9E8"/>
          </w:tcPr>
          <w:p w14:paraId="0FBE47DF" w14:textId="08ED1AC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6 %</w:t>
            </w:r>
          </w:p>
        </w:tc>
        <w:tc>
          <w:tcPr>
            <w:tcW w:w="1365" w:type="dxa"/>
            <w:shd w:val="clear" w:color="auto" w:fill="B1C9E8"/>
          </w:tcPr>
          <w:p w14:paraId="11D7DF27" w14:textId="0B28D9F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686.3</w:t>
            </w:r>
          </w:p>
        </w:tc>
        <w:tc>
          <w:tcPr>
            <w:tcW w:w="1364" w:type="dxa"/>
            <w:shd w:val="clear" w:color="auto" w:fill="B1C9E8"/>
          </w:tcPr>
          <w:p w14:paraId="219883EE" w14:textId="393E05B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3.1</w:t>
            </w:r>
          </w:p>
        </w:tc>
        <w:tc>
          <w:tcPr>
            <w:tcW w:w="1364" w:type="dxa"/>
            <w:shd w:val="clear" w:color="auto" w:fill="B1C9E8"/>
          </w:tcPr>
          <w:p w14:paraId="730A141B" w14:textId="1B6DE711"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93 %</w:t>
            </w:r>
          </w:p>
        </w:tc>
        <w:tc>
          <w:tcPr>
            <w:tcW w:w="1365" w:type="dxa"/>
            <w:shd w:val="clear" w:color="auto" w:fill="B1C9E8"/>
          </w:tcPr>
          <w:p w14:paraId="64B2370F" w14:textId="624649B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17.7</w:t>
            </w:r>
          </w:p>
        </w:tc>
        <w:tc>
          <w:tcPr>
            <w:tcW w:w="1364" w:type="dxa"/>
            <w:shd w:val="clear" w:color="auto" w:fill="B1C9E8"/>
          </w:tcPr>
          <w:p w14:paraId="23F71FFB" w14:textId="3D8804AC"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78 %</w:t>
            </w:r>
          </w:p>
        </w:tc>
        <w:tc>
          <w:tcPr>
            <w:tcW w:w="1365" w:type="dxa"/>
            <w:shd w:val="clear" w:color="auto" w:fill="B1C9E8"/>
          </w:tcPr>
          <w:p w14:paraId="5A929861" w14:textId="2627FD9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15 %</w:t>
            </w:r>
          </w:p>
        </w:tc>
      </w:tr>
      <w:tr w:rsidR="00847E82" w:rsidRPr="00A6366B" w14:paraId="558774AE" w14:textId="77777777" w:rsidTr="003330EE">
        <w:trPr>
          <w:trHeight w:val="454"/>
        </w:trPr>
        <w:tc>
          <w:tcPr>
            <w:tcW w:w="2135" w:type="dxa"/>
            <w:shd w:val="clear" w:color="auto" w:fill="BFCED6"/>
          </w:tcPr>
          <w:p w14:paraId="455950AD" w14:textId="25E3742C"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Ballarat Health</w:t>
            </w:r>
          </w:p>
        </w:tc>
        <w:tc>
          <w:tcPr>
            <w:tcW w:w="2695" w:type="dxa"/>
            <w:shd w:val="clear" w:color="auto" w:fill="BFCED6"/>
          </w:tcPr>
          <w:p w14:paraId="0E78E2AE" w14:textId="0ABB62A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Grampians</w:t>
            </w:r>
          </w:p>
        </w:tc>
        <w:tc>
          <w:tcPr>
            <w:tcW w:w="1364" w:type="dxa"/>
            <w:shd w:val="clear" w:color="auto" w:fill="BFCED6"/>
          </w:tcPr>
          <w:p w14:paraId="4E9CDAEB" w14:textId="51C48931"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364" w:type="dxa"/>
            <w:shd w:val="clear" w:color="auto" w:fill="BFCED6"/>
          </w:tcPr>
          <w:p w14:paraId="72873B91" w14:textId="7BD0058C"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c>
          <w:tcPr>
            <w:tcW w:w="1365" w:type="dxa"/>
            <w:shd w:val="clear" w:color="auto" w:fill="BFCED6"/>
          </w:tcPr>
          <w:p w14:paraId="49050D7B" w14:textId="7671C983" w:rsidR="00847E82" w:rsidRPr="005B1FEF" w:rsidRDefault="00847E82" w:rsidP="00847E82">
            <w:pPr>
              <w:jc w:val="center"/>
              <w:rPr>
                <w:rFonts w:ascii="VIC" w:hAnsi="VIC"/>
                <w:sz w:val="18"/>
                <w:szCs w:val="18"/>
              </w:rPr>
            </w:pPr>
            <w:r w:rsidRPr="00427725">
              <w:rPr>
                <w:rFonts w:ascii="VIC" w:eastAsia="Verdana" w:hAnsi="VIC"/>
                <w:color w:val="000000"/>
                <w:sz w:val="18"/>
                <w:szCs w:val="18"/>
              </w:rPr>
              <w:t>508.4</w:t>
            </w:r>
          </w:p>
        </w:tc>
        <w:tc>
          <w:tcPr>
            <w:tcW w:w="1364" w:type="dxa"/>
            <w:shd w:val="clear" w:color="auto" w:fill="BFCED6"/>
          </w:tcPr>
          <w:p w14:paraId="61E2FF6C" w14:textId="064C97F6" w:rsidR="00847E82" w:rsidRPr="005B1FEF" w:rsidRDefault="00847E82" w:rsidP="00847E82">
            <w:pPr>
              <w:jc w:val="center"/>
              <w:rPr>
                <w:rFonts w:ascii="VIC" w:hAnsi="VIC"/>
                <w:sz w:val="18"/>
                <w:szCs w:val="18"/>
              </w:rPr>
            </w:pPr>
            <w:r w:rsidRPr="00427725">
              <w:rPr>
                <w:rFonts w:ascii="VIC" w:eastAsia="Verdana" w:hAnsi="VIC"/>
                <w:color w:val="000000"/>
                <w:sz w:val="18"/>
                <w:szCs w:val="18"/>
              </w:rPr>
              <w:t>13.3</w:t>
            </w:r>
          </w:p>
        </w:tc>
        <w:tc>
          <w:tcPr>
            <w:tcW w:w="1364" w:type="dxa"/>
            <w:shd w:val="clear" w:color="auto" w:fill="BFCED6"/>
          </w:tcPr>
          <w:p w14:paraId="5C6DC6F9" w14:textId="436E6519" w:rsidR="00847E82" w:rsidRPr="005B1FEF" w:rsidRDefault="00847E82" w:rsidP="00847E82">
            <w:pPr>
              <w:jc w:val="center"/>
              <w:rPr>
                <w:rFonts w:ascii="VIC" w:hAnsi="VIC"/>
                <w:sz w:val="18"/>
                <w:szCs w:val="18"/>
              </w:rPr>
            </w:pPr>
            <w:r w:rsidRPr="00427725">
              <w:rPr>
                <w:rFonts w:ascii="VIC" w:eastAsia="Verdana" w:hAnsi="VIC"/>
                <w:color w:val="000000"/>
                <w:sz w:val="18"/>
                <w:szCs w:val="18"/>
              </w:rPr>
              <w:t>98 %</w:t>
            </w:r>
          </w:p>
        </w:tc>
        <w:tc>
          <w:tcPr>
            <w:tcW w:w="1365" w:type="dxa"/>
            <w:shd w:val="clear" w:color="auto" w:fill="BFCED6"/>
          </w:tcPr>
          <w:p w14:paraId="7A771825" w14:textId="7D295AC7" w:rsidR="00847E82" w:rsidRPr="005B1FEF" w:rsidRDefault="00847E82" w:rsidP="00847E82">
            <w:pPr>
              <w:jc w:val="center"/>
              <w:rPr>
                <w:rFonts w:ascii="VIC" w:hAnsi="VIC"/>
                <w:sz w:val="18"/>
                <w:szCs w:val="18"/>
              </w:rPr>
            </w:pPr>
            <w:r w:rsidRPr="00427725">
              <w:rPr>
                <w:rFonts w:ascii="VIC" w:eastAsia="Verdana" w:hAnsi="VIC"/>
                <w:color w:val="000000"/>
                <w:sz w:val="18"/>
                <w:szCs w:val="18"/>
              </w:rPr>
              <w:t>23.3</w:t>
            </w:r>
          </w:p>
        </w:tc>
        <w:tc>
          <w:tcPr>
            <w:tcW w:w="1364" w:type="dxa"/>
            <w:shd w:val="clear" w:color="auto" w:fill="BFCED6"/>
          </w:tcPr>
          <w:p w14:paraId="45E62D8A" w14:textId="368C774F" w:rsidR="00847E82" w:rsidRPr="005B1FEF" w:rsidRDefault="00847E82" w:rsidP="00847E82">
            <w:pPr>
              <w:jc w:val="center"/>
              <w:rPr>
                <w:rFonts w:ascii="VIC" w:hAnsi="VIC"/>
                <w:sz w:val="18"/>
                <w:szCs w:val="18"/>
              </w:rPr>
            </w:pPr>
            <w:r w:rsidRPr="00427725">
              <w:rPr>
                <w:rFonts w:ascii="VIC" w:eastAsia="Verdana" w:hAnsi="VIC"/>
                <w:color w:val="000000"/>
                <w:sz w:val="18"/>
                <w:szCs w:val="18"/>
              </w:rPr>
              <w:t>78 %</w:t>
            </w:r>
          </w:p>
        </w:tc>
        <w:tc>
          <w:tcPr>
            <w:tcW w:w="1365" w:type="dxa"/>
            <w:shd w:val="clear" w:color="auto" w:fill="BFCED6"/>
          </w:tcPr>
          <w:p w14:paraId="2A6DE8C4" w14:textId="45C9E4A5"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r>
      <w:tr w:rsidR="00847E82" w:rsidRPr="00A6366B" w14:paraId="7E7A9E83" w14:textId="77777777" w:rsidTr="003330EE">
        <w:trPr>
          <w:trHeight w:val="454"/>
        </w:trPr>
        <w:tc>
          <w:tcPr>
            <w:tcW w:w="2135" w:type="dxa"/>
            <w:shd w:val="clear" w:color="auto" w:fill="FFFFFF" w:themeFill="background1"/>
          </w:tcPr>
          <w:p w14:paraId="48940A02" w14:textId="00EB504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Bendigo Health</w:t>
            </w:r>
          </w:p>
        </w:tc>
        <w:tc>
          <w:tcPr>
            <w:tcW w:w="2695" w:type="dxa"/>
            <w:shd w:val="clear" w:color="auto" w:fill="FFFFFF" w:themeFill="background1"/>
          </w:tcPr>
          <w:p w14:paraId="7250BD8C" w14:textId="1C679A4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Loddon/Southern Mallee</w:t>
            </w:r>
          </w:p>
        </w:tc>
        <w:tc>
          <w:tcPr>
            <w:tcW w:w="1364" w:type="dxa"/>
            <w:shd w:val="clear" w:color="auto" w:fill="FFFFFF" w:themeFill="background1"/>
          </w:tcPr>
          <w:p w14:paraId="1E84A75C" w14:textId="4D96C5B9" w:rsidR="00847E82" w:rsidRPr="005B1FEF" w:rsidRDefault="00847E82" w:rsidP="00847E82">
            <w:pPr>
              <w:jc w:val="center"/>
              <w:rPr>
                <w:rFonts w:ascii="VIC" w:hAnsi="VIC"/>
                <w:sz w:val="18"/>
                <w:szCs w:val="18"/>
              </w:rPr>
            </w:pPr>
            <w:r w:rsidRPr="00427725">
              <w:rPr>
                <w:rFonts w:ascii="VIC" w:eastAsia="Verdana" w:hAnsi="VIC"/>
                <w:color w:val="000000"/>
                <w:sz w:val="18"/>
                <w:szCs w:val="18"/>
              </w:rPr>
              <w:t>76 %</w:t>
            </w:r>
          </w:p>
        </w:tc>
        <w:tc>
          <w:tcPr>
            <w:tcW w:w="1364" w:type="dxa"/>
            <w:shd w:val="clear" w:color="auto" w:fill="FFFFFF" w:themeFill="background1"/>
          </w:tcPr>
          <w:p w14:paraId="621545DE" w14:textId="2C2C36EE"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365" w:type="dxa"/>
            <w:shd w:val="clear" w:color="auto" w:fill="FFFFFF" w:themeFill="background1"/>
          </w:tcPr>
          <w:p w14:paraId="6526407F" w14:textId="37441171" w:rsidR="00847E82" w:rsidRPr="005B1FEF" w:rsidRDefault="00847E82" w:rsidP="00847E82">
            <w:pPr>
              <w:jc w:val="center"/>
              <w:rPr>
                <w:rFonts w:ascii="VIC" w:hAnsi="VIC"/>
                <w:sz w:val="18"/>
                <w:szCs w:val="18"/>
              </w:rPr>
            </w:pPr>
            <w:r w:rsidRPr="00427725">
              <w:rPr>
                <w:rFonts w:ascii="VIC" w:eastAsia="Verdana" w:hAnsi="VIC"/>
                <w:color w:val="000000"/>
                <w:sz w:val="18"/>
                <w:szCs w:val="18"/>
              </w:rPr>
              <w:t>130.5</w:t>
            </w:r>
          </w:p>
        </w:tc>
        <w:tc>
          <w:tcPr>
            <w:tcW w:w="1364" w:type="dxa"/>
            <w:shd w:val="clear" w:color="auto" w:fill="FFFFFF" w:themeFill="background1"/>
          </w:tcPr>
          <w:p w14:paraId="078522BB" w14:textId="495DF2BE" w:rsidR="00847E82" w:rsidRPr="005B1FEF" w:rsidRDefault="00847E82" w:rsidP="00847E82">
            <w:pPr>
              <w:jc w:val="center"/>
              <w:rPr>
                <w:rFonts w:ascii="VIC" w:hAnsi="VIC"/>
                <w:sz w:val="18"/>
                <w:szCs w:val="18"/>
              </w:rPr>
            </w:pPr>
            <w:r w:rsidRPr="00427725">
              <w:rPr>
                <w:rFonts w:ascii="VIC" w:eastAsia="Verdana" w:hAnsi="VIC"/>
                <w:color w:val="000000"/>
                <w:sz w:val="18"/>
                <w:szCs w:val="18"/>
              </w:rPr>
              <w:t>1.6</w:t>
            </w:r>
          </w:p>
        </w:tc>
        <w:tc>
          <w:tcPr>
            <w:tcW w:w="1364" w:type="dxa"/>
            <w:shd w:val="clear" w:color="auto" w:fill="FFFFFF" w:themeFill="background1"/>
          </w:tcPr>
          <w:p w14:paraId="19920434" w14:textId="343642EF"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365" w:type="dxa"/>
            <w:shd w:val="clear" w:color="auto" w:fill="FFFFFF" w:themeFill="background1"/>
          </w:tcPr>
          <w:p w14:paraId="11B7EF13" w14:textId="20B2917C" w:rsidR="00847E82" w:rsidRPr="005B1FEF" w:rsidRDefault="00847E82" w:rsidP="00847E82">
            <w:pPr>
              <w:jc w:val="center"/>
              <w:rPr>
                <w:rFonts w:ascii="VIC" w:hAnsi="VIC"/>
                <w:sz w:val="18"/>
                <w:szCs w:val="18"/>
              </w:rPr>
            </w:pPr>
            <w:r w:rsidRPr="00427725">
              <w:rPr>
                <w:rFonts w:ascii="VIC" w:eastAsia="Verdana" w:hAnsi="VIC"/>
                <w:color w:val="000000"/>
                <w:sz w:val="18"/>
                <w:szCs w:val="18"/>
              </w:rPr>
              <w:t>14.1</w:t>
            </w:r>
          </w:p>
        </w:tc>
        <w:tc>
          <w:tcPr>
            <w:tcW w:w="1364" w:type="dxa"/>
            <w:shd w:val="clear" w:color="auto" w:fill="FFFFFF" w:themeFill="background1"/>
          </w:tcPr>
          <w:p w14:paraId="585B5782" w14:textId="77777777" w:rsidR="00847E82" w:rsidRPr="005B1FEF" w:rsidRDefault="00847E82" w:rsidP="00847E82">
            <w:pPr>
              <w:jc w:val="center"/>
              <w:rPr>
                <w:rFonts w:ascii="VIC" w:hAnsi="VIC"/>
                <w:sz w:val="18"/>
                <w:szCs w:val="18"/>
              </w:rPr>
            </w:pPr>
          </w:p>
        </w:tc>
        <w:tc>
          <w:tcPr>
            <w:tcW w:w="1365" w:type="dxa"/>
            <w:shd w:val="clear" w:color="auto" w:fill="FFFFFF" w:themeFill="background1"/>
          </w:tcPr>
          <w:p w14:paraId="43390B7D" w14:textId="77777777" w:rsidR="00847E82" w:rsidRPr="005B1FEF" w:rsidRDefault="00847E82" w:rsidP="00847E82">
            <w:pPr>
              <w:jc w:val="center"/>
              <w:rPr>
                <w:rFonts w:ascii="VIC" w:hAnsi="VIC"/>
                <w:sz w:val="18"/>
                <w:szCs w:val="18"/>
              </w:rPr>
            </w:pPr>
          </w:p>
        </w:tc>
      </w:tr>
      <w:tr w:rsidR="00847E82" w:rsidRPr="00A6366B" w14:paraId="71370FD9" w14:textId="77777777" w:rsidTr="003330EE">
        <w:trPr>
          <w:trHeight w:val="454"/>
        </w:trPr>
        <w:tc>
          <w:tcPr>
            <w:tcW w:w="2135" w:type="dxa"/>
            <w:shd w:val="clear" w:color="auto" w:fill="BFCED6"/>
          </w:tcPr>
          <w:p w14:paraId="411FFB34" w14:textId="4C15745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Latrobe Regional</w:t>
            </w:r>
          </w:p>
        </w:tc>
        <w:tc>
          <w:tcPr>
            <w:tcW w:w="2695" w:type="dxa"/>
            <w:shd w:val="clear" w:color="auto" w:fill="BFCED6"/>
          </w:tcPr>
          <w:p w14:paraId="02F4DE39" w14:textId="6BD8A4E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Gippsland</w:t>
            </w:r>
          </w:p>
        </w:tc>
        <w:tc>
          <w:tcPr>
            <w:tcW w:w="1364" w:type="dxa"/>
            <w:shd w:val="clear" w:color="auto" w:fill="BFCED6"/>
          </w:tcPr>
          <w:p w14:paraId="06FDEC81" w14:textId="713AC03A"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364" w:type="dxa"/>
            <w:shd w:val="clear" w:color="auto" w:fill="BFCED6"/>
          </w:tcPr>
          <w:p w14:paraId="5666C264" w14:textId="75ED6595"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365" w:type="dxa"/>
            <w:shd w:val="clear" w:color="auto" w:fill="BFCED6"/>
          </w:tcPr>
          <w:p w14:paraId="3F3C69A2" w14:textId="2F5EF05A" w:rsidR="00847E82" w:rsidRPr="005B1FEF" w:rsidRDefault="00847E82" w:rsidP="00847E82">
            <w:pPr>
              <w:jc w:val="center"/>
              <w:rPr>
                <w:rFonts w:ascii="VIC" w:hAnsi="VIC"/>
                <w:sz w:val="18"/>
                <w:szCs w:val="18"/>
              </w:rPr>
            </w:pPr>
            <w:r w:rsidRPr="00427725">
              <w:rPr>
                <w:rFonts w:ascii="VIC" w:eastAsia="Verdana" w:hAnsi="VIC"/>
                <w:color w:val="000000"/>
                <w:sz w:val="18"/>
                <w:szCs w:val="18"/>
              </w:rPr>
              <w:t>46.9</w:t>
            </w:r>
          </w:p>
        </w:tc>
        <w:tc>
          <w:tcPr>
            <w:tcW w:w="1364" w:type="dxa"/>
            <w:shd w:val="clear" w:color="auto" w:fill="BFCED6"/>
          </w:tcPr>
          <w:p w14:paraId="0BAD4B50" w14:textId="683783D6" w:rsidR="00847E82" w:rsidRPr="005B1FEF" w:rsidRDefault="00847E82" w:rsidP="00847E82">
            <w:pPr>
              <w:jc w:val="center"/>
              <w:rPr>
                <w:rFonts w:ascii="VIC" w:hAnsi="VIC"/>
                <w:sz w:val="18"/>
                <w:szCs w:val="18"/>
              </w:rPr>
            </w:pPr>
            <w:r w:rsidRPr="00427725">
              <w:rPr>
                <w:rFonts w:ascii="VIC" w:eastAsia="Verdana" w:hAnsi="VIC"/>
                <w:color w:val="000000"/>
                <w:sz w:val="18"/>
                <w:szCs w:val="18"/>
              </w:rPr>
              <w:t>0.0</w:t>
            </w:r>
          </w:p>
        </w:tc>
        <w:tc>
          <w:tcPr>
            <w:tcW w:w="1364" w:type="dxa"/>
            <w:shd w:val="clear" w:color="auto" w:fill="BFCED6"/>
          </w:tcPr>
          <w:p w14:paraId="122EFF47" w14:textId="34C98C19" w:rsidR="00847E82" w:rsidRPr="005B1FEF" w:rsidRDefault="00847E82" w:rsidP="00847E82">
            <w:pPr>
              <w:jc w:val="center"/>
              <w:rPr>
                <w:rFonts w:ascii="VIC" w:hAnsi="VIC"/>
                <w:sz w:val="18"/>
                <w:szCs w:val="18"/>
              </w:rPr>
            </w:pPr>
            <w:r w:rsidRPr="00427725">
              <w:rPr>
                <w:rFonts w:ascii="VIC" w:eastAsia="Verdana" w:hAnsi="VIC"/>
                <w:color w:val="000000"/>
                <w:sz w:val="18"/>
                <w:szCs w:val="18"/>
              </w:rPr>
              <w:t>69 %</w:t>
            </w:r>
          </w:p>
        </w:tc>
        <w:tc>
          <w:tcPr>
            <w:tcW w:w="1365" w:type="dxa"/>
            <w:shd w:val="clear" w:color="auto" w:fill="BFCED6"/>
          </w:tcPr>
          <w:p w14:paraId="3003F7A6" w14:textId="33106F61" w:rsidR="00847E82" w:rsidRPr="005B1FEF" w:rsidRDefault="00847E82" w:rsidP="00847E82">
            <w:pPr>
              <w:jc w:val="center"/>
              <w:rPr>
                <w:rFonts w:ascii="VIC" w:hAnsi="VIC"/>
                <w:sz w:val="18"/>
                <w:szCs w:val="18"/>
              </w:rPr>
            </w:pPr>
            <w:r w:rsidRPr="00427725">
              <w:rPr>
                <w:rFonts w:ascii="VIC" w:eastAsia="Verdana" w:hAnsi="VIC"/>
                <w:color w:val="000000"/>
                <w:sz w:val="18"/>
                <w:szCs w:val="18"/>
              </w:rPr>
              <w:t>16.7</w:t>
            </w:r>
          </w:p>
        </w:tc>
        <w:tc>
          <w:tcPr>
            <w:tcW w:w="1364" w:type="dxa"/>
            <w:shd w:val="clear" w:color="auto" w:fill="BFCED6"/>
          </w:tcPr>
          <w:p w14:paraId="23405F44" w14:textId="188D9CFB" w:rsidR="00847E82" w:rsidRPr="005B1FEF" w:rsidRDefault="00847E82" w:rsidP="00847E82">
            <w:pPr>
              <w:jc w:val="center"/>
              <w:rPr>
                <w:rFonts w:ascii="VIC" w:hAnsi="VIC"/>
                <w:sz w:val="18"/>
                <w:szCs w:val="18"/>
              </w:rPr>
            </w:pPr>
            <w:r w:rsidRPr="00427725">
              <w:rPr>
                <w:rFonts w:ascii="VIC" w:eastAsia="Verdana" w:hAnsi="VIC"/>
                <w:color w:val="000000"/>
                <w:sz w:val="18"/>
                <w:szCs w:val="18"/>
              </w:rPr>
              <w:t>34 %</w:t>
            </w:r>
          </w:p>
        </w:tc>
        <w:tc>
          <w:tcPr>
            <w:tcW w:w="1365" w:type="dxa"/>
            <w:shd w:val="clear" w:color="auto" w:fill="BFCED6"/>
          </w:tcPr>
          <w:p w14:paraId="779383E0" w14:textId="0BCBFA44"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r>
      <w:tr w:rsidR="00847E82" w:rsidRPr="00A6366B" w14:paraId="46473F87" w14:textId="77777777" w:rsidTr="003330EE">
        <w:trPr>
          <w:trHeight w:val="454"/>
        </w:trPr>
        <w:tc>
          <w:tcPr>
            <w:tcW w:w="2135" w:type="dxa"/>
            <w:shd w:val="clear" w:color="auto" w:fill="FFFFFF" w:themeFill="background1"/>
          </w:tcPr>
          <w:p w14:paraId="6867F230" w14:textId="38D0761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South West Health</w:t>
            </w:r>
          </w:p>
        </w:tc>
        <w:tc>
          <w:tcPr>
            <w:tcW w:w="2695" w:type="dxa"/>
            <w:shd w:val="clear" w:color="auto" w:fill="FFFFFF" w:themeFill="background1"/>
          </w:tcPr>
          <w:p w14:paraId="76C30D1A" w14:textId="420AA7DD"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South West Health Care</w:t>
            </w:r>
          </w:p>
        </w:tc>
        <w:tc>
          <w:tcPr>
            <w:tcW w:w="1364" w:type="dxa"/>
            <w:shd w:val="clear" w:color="auto" w:fill="FFFFFF" w:themeFill="background1"/>
          </w:tcPr>
          <w:p w14:paraId="33DA8D57" w14:textId="2DD69C75"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364" w:type="dxa"/>
            <w:shd w:val="clear" w:color="auto" w:fill="FFFFFF" w:themeFill="background1"/>
          </w:tcPr>
          <w:p w14:paraId="626D15D9" w14:textId="1D3CFFCF"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365" w:type="dxa"/>
            <w:shd w:val="clear" w:color="auto" w:fill="FFFFFF" w:themeFill="background1"/>
          </w:tcPr>
          <w:p w14:paraId="0DEC1E78" w14:textId="482E70BB" w:rsidR="00847E82" w:rsidRPr="005B1FEF" w:rsidRDefault="00847E82" w:rsidP="00847E82">
            <w:pPr>
              <w:jc w:val="center"/>
              <w:rPr>
                <w:rFonts w:ascii="VIC" w:hAnsi="VIC"/>
                <w:sz w:val="18"/>
                <w:szCs w:val="18"/>
              </w:rPr>
            </w:pPr>
            <w:r w:rsidRPr="00427725">
              <w:rPr>
                <w:rFonts w:ascii="VIC" w:eastAsia="Verdana" w:hAnsi="VIC"/>
                <w:color w:val="000000"/>
                <w:sz w:val="18"/>
                <w:szCs w:val="18"/>
              </w:rPr>
              <w:t>196.1</w:t>
            </w:r>
          </w:p>
        </w:tc>
        <w:tc>
          <w:tcPr>
            <w:tcW w:w="1364" w:type="dxa"/>
            <w:shd w:val="clear" w:color="auto" w:fill="FFFFFF" w:themeFill="background1"/>
          </w:tcPr>
          <w:p w14:paraId="3659A601" w14:textId="38A7892E" w:rsidR="00847E82" w:rsidRPr="005B1FEF" w:rsidRDefault="00847E82" w:rsidP="00847E82">
            <w:pPr>
              <w:jc w:val="center"/>
              <w:rPr>
                <w:rFonts w:ascii="VIC" w:hAnsi="VIC"/>
                <w:sz w:val="18"/>
                <w:szCs w:val="18"/>
              </w:rPr>
            </w:pPr>
            <w:r w:rsidRPr="00427725">
              <w:rPr>
                <w:rFonts w:ascii="VIC" w:eastAsia="Verdana" w:hAnsi="VIC"/>
                <w:color w:val="000000"/>
                <w:sz w:val="18"/>
                <w:szCs w:val="18"/>
              </w:rPr>
              <w:t>0.0</w:t>
            </w:r>
          </w:p>
        </w:tc>
        <w:tc>
          <w:tcPr>
            <w:tcW w:w="1364" w:type="dxa"/>
            <w:shd w:val="clear" w:color="auto" w:fill="FFFFFF" w:themeFill="background1"/>
          </w:tcPr>
          <w:p w14:paraId="284247FC" w14:textId="0E467BFC" w:rsidR="00847E82" w:rsidRPr="005B1FEF" w:rsidRDefault="00847E82" w:rsidP="00847E82">
            <w:pPr>
              <w:jc w:val="center"/>
              <w:rPr>
                <w:rFonts w:ascii="VIC" w:hAnsi="VIC"/>
                <w:sz w:val="18"/>
                <w:szCs w:val="18"/>
              </w:rPr>
            </w:pPr>
            <w:r w:rsidRPr="00427725">
              <w:rPr>
                <w:rFonts w:ascii="VIC" w:eastAsia="Verdana" w:hAnsi="VIC"/>
                <w:color w:val="000000"/>
                <w:sz w:val="18"/>
                <w:szCs w:val="18"/>
              </w:rPr>
              <w:t>44 %</w:t>
            </w:r>
          </w:p>
        </w:tc>
        <w:tc>
          <w:tcPr>
            <w:tcW w:w="1365" w:type="dxa"/>
            <w:shd w:val="clear" w:color="auto" w:fill="FFFFFF" w:themeFill="background1"/>
          </w:tcPr>
          <w:p w14:paraId="11D05D4D" w14:textId="410F36F5" w:rsidR="00847E82" w:rsidRPr="005B1FEF" w:rsidRDefault="00847E82" w:rsidP="00847E82">
            <w:pPr>
              <w:jc w:val="center"/>
              <w:rPr>
                <w:rFonts w:ascii="VIC" w:hAnsi="VIC"/>
                <w:sz w:val="18"/>
                <w:szCs w:val="18"/>
              </w:rPr>
            </w:pPr>
            <w:r w:rsidRPr="00427725">
              <w:rPr>
                <w:rFonts w:ascii="VIC" w:eastAsia="Verdana" w:hAnsi="VIC"/>
                <w:color w:val="000000"/>
                <w:sz w:val="18"/>
                <w:szCs w:val="18"/>
              </w:rPr>
              <w:t>12.3</w:t>
            </w:r>
          </w:p>
        </w:tc>
        <w:tc>
          <w:tcPr>
            <w:tcW w:w="1364" w:type="dxa"/>
            <w:shd w:val="clear" w:color="auto" w:fill="FFFFFF" w:themeFill="background1"/>
          </w:tcPr>
          <w:p w14:paraId="019802C8" w14:textId="7FBC289F"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365" w:type="dxa"/>
            <w:shd w:val="clear" w:color="auto" w:fill="FFFFFF" w:themeFill="background1"/>
          </w:tcPr>
          <w:p w14:paraId="3FAF61C9" w14:textId="706F50DF"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r>
      <w:tr w:rsidR="00847E82" w:rsidRPr="00847E82" w14:paraId="584E3C6B" w14:textId="77777777" w:rsidTr="003330EE">
        <w:trPr>
          <w:trHeight w:val="454"/>
        </w:trPr>
        <w:tc>
          <w:tcPr>
            <w:tcW w:w="2135" w:type="dxa"/>
            <w:shd w:val="clear" w:color="auto" w:fill="B1C9E8"/>
          </w:tcPr>
          <w:p w14:paraId="365CE560" w14:textId="03BFC4F0"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RURAL</w:t>
            </w:r>
          </w:p>
        </w:tc>
        <w:tc>
          <w:tcPr>
            <w:tcW w:w="2695" w:type="dxa"/>
            <w:shd w:val="clear" w:color="auto" w:fill="B1C9E8"/>
          </w:tcPr>
          <w:p w14:paraId="24D86AB8" w14:textId="7837DBB3"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1364" w:type="dxa"/>
            <w:shd w:val="clear" w:color="auto" w:fill="B1C9E8"/>
          </w:tcPr>
          <w:p w14:paraId="1D82DC54" w14:textId="11F4602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86 %</w:t>
            </w:r>
          </w:p>
        </w:tc>
        <w:tc>
          <w:tcPr>
            <w:tcW w:w="1364" w:type="dxa"/>
            <w:shd w:val="clear" w:color="auto" w:fill="B1C9E8"/>
          </w:tcPr>
          <w:p w14:paraId="404B40EE" w14:textId="6718C6C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8 %</w:t>
            </w:r>
          </w:p>
        </w:tc>
        <w:tc>
          <w:tcPr>
            <w:tcW w:w="1365" w:type="dxa"/>
            <w:shd w:val="clear" w:color="auto" w:fill="B1C9E8"/>
          </w:tcPr>
          <w:p w14:paraId="2206D011" w14:textId="3C8F8721"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165.6</w:t>
            </w:r>
          </w:p>
        </w:tc>
        <w:tc>
          <w:tcPr>
            <w:tcW w:w="1364" w:type="dxa"/>
            <w:shd w:val="clear" w:color="auto" w:fill="B1C9E8"/>
          </w:tcPr>
          <w:p w14:paraId="7A68DB56" w14:textId="693FE2F7"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4.8</w:t>
            </w:r>
          </w:p>
        </w:tc>
        <w:tc>
          <w:tcPr>
            <w:tcW w:w="1364" w:type="dxa"/>
            <w:shd w:val="clear" w:color="auto" w:fill="B1C9E8"/>
          </w:tcPr>
          <w:p w14:paraId="23B3772B" w14:textId="52F2FFBC"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77 %</w:t>
            </w:r>
          </w:p>
        </w:tc>
        <w:tc>
          <w:tcPr>
            <w:tcW w:w="1365" w:type="dxa"/>
            <w:shd w:val="clear" w:color="auto" w:fill="B1C9E8"/>
          </w:tcPr>
          <w:p w14:paraId="36EF6917" w14:textId="4F49BF9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15.8</w:t>
            </w:r>
          </w:p>
        </w:tc>
        <w:tc>
          <w:tcPr>
            <w:tcW w:w="1364" w:type="dxa"/>
            <w:shd w:val="clear" w:color="auto" w:fill="B1C9E8"/>
          </w:tcPr>
          <w:p w14:paraId="199F613D" w14:textId="5B48CE9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42 %</w:t>
            </w:r>
          </w:p>
        </w:tc>
        <w:tc>
          <w:tcPr>
            <w:tcW w:w="1365" w:type="dxa"/>
            <w:shd w:val="clear" w:color="auto" w:fill="B1C9E8"/>
          </w:tcPr>
          <w:p w14:paraId="12621863" w14:textId="132A478E"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4 %</w:t>
            </w:r>
          </w:p>
        </w:tc>
      </w:tr>
      <w:tr w:rsidR="00847E82" w:rsidRPr="008D13A2" w14:paraId="1CD3202C" w14:textId="77777777" w:rsidTr="003330EE">
        <w:trPr>
          <w:trHeight w:val="454"/>
        </w:trPr>
        <w:tc>
          <w:tcPr>
            <w:tcW w:w="2135" w:type="dxa"/>
            <w:shd w:val="clear" w:color="auto" w:fill="244C5A"/>
          </w:tcPr>
          <w:p w14:paraId="4C70C663" w14:textId="40E0DBF9"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695" w:type="dxa"/>
            <w:shd w:val="clear" w:color="auto" w:fill="244C5A"/>
          </w:tcPr>
          <w:p w14:paraId="1D77A4ED" w14:textId="42F12B00"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1364" w:type="dxa"/>
            <w:shd w:val="clear" w:color="auto" w:fill="244C5A"/>
          </w:tcPr>
          <w:p w14:paraId="11FECD3A" w14:textId="390B7F35"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87 %</w:t>
            </w:r>
          </w:p>
        </w:tc>
        <w:tc>
          <w:tcPr>
            <w:tcW w:w="1364" w:type="dxa"/>
            <w:shd w:val="clear" w:color="auto" w:fill="244C5A"/>
          </w:tcPr>
          <w:p w14:paraId="7713D53A" w14:textId="091BF6CA"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7 %</w:t>
            </w:r>
          </w:p>
        </w:tc>
        <w:tc>
          <w:tcPr>
            <w:tcW w:w="1365" w:type="dxa"/>
            <w:shd w:val="clear" w:color="auto" w:fill="244C5A"/>
          </w:tcPr>
          <w:p w14:paraId="4EE803E3" w14:textId="10D75164"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449.2</w:t>
            </w:r>
          </w:p>
        </w:tc>
        <w:tc>
          <w:tcPr>
            <w:tcW w:w="1364" w:type="dxa"/>
            <w:shd w:val="clear" w:color="auto" w:fill="244C5A"/>
          </w:tcPr>
          <w:p w14:paraId="35E9F202" w14:textId="2F5A310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3.5</w:t>
            </w:r>
          </w:p>
        </w:tc>
        <w:tc>
          <w:tcPr>
            <w:tcW w:w="1364" w:type="dxa"/>
            <w:shd w:val="clear" w:color="auto" w:fill="244C5A"/>
          </w:tcPr>
          <w:p w14:paraId="6AF608B2" w14:textId="3217F997"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86 %</w:t>
            </w:r>
          </w:p>
        </w:tc>
        <w:tc>
          <w:tcPr>
            <w:tcW w:w="1365" w:type="dxa"/>
            <w:shd w:val="clear" w:color="auto" w:fill="244C5A"/>
          </w:tcPr>
          <w:p w14:paraId="7BB889EC" w14:textId="5CCEEF18"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16.6</w:t>
            </w:r>
          </w:p>
        </w:tc>
        <w:tc>
          <w:tcPr>
            <w:tcW w:w="1364" w:type="dxa"/>
            <w:shd w:val="clear" w:color="auto" w:fill="244C5A"/>
          </w:tcPr>
          <w:p w14:paraId="71902D46" w14:textId="09B75260"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67 %</w:t>
            </w:r>
          </w:p>
        </w:tc>
        <w:tc>
          <w:tcPr>
            <w:tcW w:w="1365" w:type="dxa"/>
            <w:shd w:val="clear" w:color="auto" w:fill="244C5A"/>
          </w:tcPr>
          <w:p w14:paraId="4325D116" w14:textId="58DFDA81"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12 %</w:t>
            </w:r>
          </w:p>
        </w:tc>
      </w:tr>
    </w:tbl>
    <w:p w14:paraId="2AE83252" w14:textId="21EACFAF" w:rsidR="00257865" w:rsidRDefault="00257865">
      <w:pPr>
        <w:widowControl/>
        <w:rPr>
          <w:sz w:val="6"/>
        </w:rPr>
      </w:pPr>
      <w:r>
        <w:rPr>
          <w:sz w:val="6"/>
        </w:rPr>
        <w:br w:type="page"/>
      </w:r>
    </w:p>
    <w:p w14:paraId="05EE3A61" w14:textId="77777777" w:rsidR="0069621D" w:rsidRPr="00FF4734" w:rsidRDefault="0069621D">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714A8" w:rsidRPr="00A6366B" w14:paraId="45533157" w14:textId="77777777" w:rsidTr="00C714A8">
        <w:trPr>
          <w:trHeight w:val="1062"/>
          <w:tblHeader/>
        </w:trPr>
        <w:tc>
          <w:tcPr>
            <w:tcW w:w="6813" w:type="dxa"/>
            <w:gridSpan w:val="3"/>
            <w:shd w:val="clear" w:color="auto" w:fill="FFFFFF"/>
            <w:vAlign w:val="bottom"/>
          </w:tcPr>
          <w:p w14:paraId="714F56DB" w14:textId="03C12B3C" w:rsidR="00C714A8" w:rsidRPr="00EC71A3" w:rsidRDefault="00C00109" w:rsidP="00EC71A3">
            <w:pPr>
              <w:pStyle w:val="Heading1"/>
              <w:spacing w:before="0" w:line="240" w:lineRule="auto"/>
              <w:rPr>
                <w:rFonts w:eastAsia="Verdana"/>
                <w:bCs w:val="0"/>
                <w:color w:val="244C5A"/>
                <w:sz w:val="22"/>
              </w:rPr>
            </w:pPr>
            <w:bookmarkStart w:id="10" w:name="_Toc37867222"/>
            <w:r>
              <w:rPr>
                <w:bCs w:val="0"/>
                <w:color w:val="244C5A"/>
                <w:sz w:val="22"/>
              </w:rPr>
              <w:t xml:space="preserve">Metropolitan </w:t>
            </w:r>
            <w:r w:rsidR="00EC71A3">
              <w:rPr>
                <w:bCs w:val="0"/>
                <w:color w:val="244C5A"/>
                <w:sz w:val="22"/>
              </w:rPr>
              <w:t>PARC</w:t>
            </w:r>
            <w:r w:rsidR="00EC71A3" w:rsidRPr="00EC71A3">
              <w:rPr>
                <w:bCs w:val="0"/>
                <w:color w:val="244C5A"/>
                <w:sz w:val="22"/>
              </w:rPr>
              <w:br w:type="textWrapping" w:clear="all"/>
            </w:r>
            <w:r w:rsidR="005406C4">
              <w:rPr>
                <w:bCs w:val="0"/>
                <w:color w:val="244C5A"/>
                <w:sz w:val="22"/>
              </w:rPr>
              <w:t>2019–20 Q</w:t>
            </w:r>
            <w:r w:rsidR="0056356A">
              <w:rPr>
                <w:bCs w:val="0"/>
                <w:color w:val="244C5A"/>
                <w:sz w:val="22"/>
              </w:rPr>
              <w:t>3</w:t>
            </w:r>
            <w:bookmarkEnd w:id="10"/>
          </w:p>
        </w:tc>
        <w:tc>
          <w:tcPr>
            <w:tcW w:w="1090" w:type="dxa"/>
            <w:shd w:val="clear" w:color="auto" w:fill="FFFFFF"/>
            <w:vAlign w:val="bottom"/>
          </w:tcPr>
          <w:p w14:paraId="0BC40606" w14:textId="266AECEC" w:rsidR="00C714A8" w:rsidRPr="00C714A8" w:rsidRDefault="00C714A8" w:rsidP="00C714A8">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C714A8">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C714A8">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C714A8">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C714A8">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C714A8">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C714A8">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C714A8">
            <w:pPr>
              <w:pStyle w:val="VAHItablecolhead"/>
              <w:rPr>
                <w:rFonts w:eastAsia="Verdana"/>
                <w:color w:val="244C5A"/>
                <w:sz w:val="16"/>
              </w:rPr>
            </w:pPr>
            <w:r w:rsidRPr="00C714A8">
              <w:rPr>
                <w:sz w:val="16"/>
              </w:rPr>
              <w:t>Average HoNOS at episode start</w:t>
            </w:r>
          </w:p>
        </w:tc>
      </w:tr>
      <w:tr w:rsidR="00847E82" w:rsidRPr="00A6366B" w14:paraId="5333F54C" w14:textId="77777777" w:rsidTr="00257865">
        <w:trPr>
          <w:trHeight w:val="284"/>
        </w:trPr>
        <w:tc>
          <w:tcPr>
            <w:tcW w:w="1570" w:type="dxa"/>
            <w:shd w:val="clear" w:color="auto" w:fill="BFCED6"/>
          </w:tcPr>
          <w:p w14:paraId="2398BEC2" w14:textId="7392B35A"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Alfred Health</w:t>
            </w:r>
          </w:p>
        </w:tc>
        <w:tc>
          <w:tcPr>
            <w:tcW w:w="2410" w:type="dxa"/>
            <w:shd w:val="clear" w:color="auto" w:fill="BFCED6"/>
          </w:tcPr>
          <w:p w14:paraId="35DADE63" w14:textId="7BED9BE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South East (The Alfred)</w:t>
            </w:r>
          </w:p>
        </w:tc>
        <w:tc>
          <w:tcPr>
            <w:tcW w:w="2833" w:type="dxa"/>
            <w:shd w:val="clear" w:color="auto" w:fill="BFCED6"/>
          </w:tcPr>
          <w:p w14:paraId="28924180" w14:textId="68098FE0" w:rsidR="00847E82" w:rsidRPr="005B1FEF" w:rsidRDefault="00847E82" w:rsidP="00847E82">
            <w:pPr>
              <w:rPr>
                <w:rFonts w:ascii="VIC" w:hAnsi="VIC"/>
                <w:sz w:val="18"/>
                <w:szCs w:val="18"/>
              </w:rPr>
            </w:pPr>
            <w:r w:rsidRPr="00427725">
              <w:rPr>
                <w:rFonts w:ascii="VIC" w:eastAsia="Verdana" w:hAnsi="VIC"/>
                <w:color w:val="000000"/>
                <w:sz w:val="18"/>
                <w:szCs w:val="18"/>
              </w:rPr>
              <w:t>Alfred PARC</w:t>
            </w:r>
          </w:p>
        </w:tc>
        <w:tc>
          <w:tcPr>
            <w:tcW w:w="1090" w:type="dxa"/>
            <w:shd w:val="clear" w:color="auto" w:fill="BFCED6"/>
          </w:tcPr>
          <w:p w14:paraId="0DE7948F" w14:textId="51E17238" w:rsidR="00847E82" w:rsidRPr="005B1FEF" w:rsidRDefault="00847E82" w:rsidP="00847E82">
            <w:pPr>
              <w:jc w:val="center"/>
              <w:rPr>
                <w:rFonts w:ascii="VIC" w:hAnsi="VIC"/>
                <w:sz w:val="18"/>
                <w:szCs w:val="18"/>
              </w:rPr>
            </w:pPr>
            <w:r w:rsidRPr="00427725">
              <w:rPr>
                <w:rFonts w:ascii="VIC" w:eastAsia="Verdana" w:hAnsi="VIC"/>
                <w:color w:val="000000"/>
                <w:sz w:val="18"/>
                <w:szCs w:val="18"/>
              </w:rPr>
              <w:t>70 %</w:t>
            </w:r>
          </w:p>
        </w:tc>
        <w:tc>
          <w:tcPr>
            <w:tcW w:w="1090" w:type="dxa"/>
            <w:shd w:val="clear" w:color="auto" w:fill="BFCED6"/>
          </w:tcPr>
          <w:p w14:paraId="083AE940" w14:textId="50E7B31F" w:rsidR="00847E82" w:rsidRPr="005B1FEF" w:rsidRDefault="00847E82" w:rsidP="00847E82">
            <w:pPr>
              <w:jc w:val="center"/>
              <w:rPr>
                <w:rFonts w:ascii="VIC" w:hAnsi="VIC"/>
                <w:sz w:val="18"/>
                <w:szCs w:val="18"/>
              </w:rPr>
            </w:pPr>
            <w:r w:rsidRPr="00427725">
              <w:rPr>
                <w:rFonts w:ascii="VIC" w:eastAsia="Verdana" w:hAnsi="VIC"/>
                <w:color w:val="000000"/>
                <w:sz w:val="18"/>
                <w:szCs w:val="18"/>
              </w:rPr>
              <w:t>18.3</w:t>
            </w:r>
          </w:p>
        </w:tc>
        <w:tc>
          <w:tcPr>
            <w:tcW w:w="1090" w:type="dxa"/>
            <w:shd w:val="clear" w:color="auto" w:fill="BFCED6"/>
          </w:tcPr>
          <w:p w14:paraId="5712F1AC" w14:textId="63CF91DD"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0CCE40E2" w14:textId="2D1BB0D1" w:rsidR="00847E82" w:rsidRPr="005B1FEF" w:rsidRDefault="00847E82" w:rsidP="00847E82">
            <w:pPr>
              <w:jc w:val="center"/>
              <w:rPr>
                <w:rFonts w:ascii="VIC" w:hAnsi="VIC"/>
                <w:sz w:val="18"/>
                <w:szCs w:val="18"/>
              </w:rPr>
            </w:pPr>
            <w:r w:rsidRPr="00427725">
              <w:rPr>
                <w:rFonts w:ascii="VIC" w:eastAsia="Verdana" w:hAnsi="VIC"/>
                <w:color w:val="000000"/>
                <w:sz w:val="18"/>
                <w:szCs w:val="18"/>
              </w:rPr>
              <w:t>17.6</w:t>
            </w:r>
          </w:p>
        </w:tc>
        <w:tc>
          <w:tcPr>
            <w:tcW w:w="1090" w:type="dxa"/>
            <w:shd w:val="clear" w:color="auto" w:fill="BFCED6"/>
          </w:tcPr>
          <w:p w14:paraId="5F9BD912" w14:textId="1A5AFA20" w:rsidR="00847E82" w:rsidRPr="005B1FEF" w:rsidRDefault="00847E82" w:rsidP="00847E82">
            <w:pPr>
              <w:jc w:val="center"/>
              <w:rPr>
                <w:rFonts w:ascii="VIC" w:hAnsi="VIC"/>
                <w:sz w:val="18"/>
                <w:szCs w:val="18"/>
              </w:rPr>
            </w:pPr>
            <w:r w:rsidRPr="00427725">
              <w:rPr>
                <w:rFonts w:ascii="VIC" w:eastAsia="Verdana" w:hAnsi="VIC"/>
                <w:color w:val="000000"/>
                <w:sz w:val="18"/>
                <w:szCs w:val="18"/>
              </w:rPr>
              <w:t>5 %</w:t>
            </w:r>
          </w:p>
        </w:tc>
        <w:tc>
          <w:tcPr>
            <w:tcW w:w="1090" w:type="dxa"/>
            <w:shd w:val="clear" w:color="auto" w:fill="BFCED6"/>
          </w:tcPr>
          <w:p w14:paraId="78E35F80" w14:textId="2F3A59F2" w:rsidR="00847E82" w:rsidRPr="005B1FEF"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44448A1C" w14:textId="6C9954DB"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091" w:type="dxa"/>
            <w:shd w:val="clear" w:color="auto" w:fill="BFCED6"/>
          </w:tcPr>
          <w:p w14:paraId="45D3BB25" w14:textId="51593B63" w:rsidR="00847E82" w:rsidRPr="005B1FEF" w:rsidRDefault="00847E82" w:rsidP="00847E82">
            <w:pPr>
              <w:jc w:val="center"/>
              <w:rPr>
                <w:rFonts w:ascii="VIC" w:hAnsi="VIC"/>
                <w:sz w:val="18"/>
                <w:szCs w:val="18"/>
              </w:rPr>
            </w:pPr>
            <w:r w:rsidRPr="00427725">
              <w:rPr>
                <w:rFonts w:ascii="VIC" w:eastAsia="Verdana" w:hAnsi="VIC"/>
                <w:color w:val="000000"/>
                <w:sz w:val="18"/>
                <w:szCs w:val="18"/>
              </w:rPr>
              <w:t>8.2</w:t>
            </w:r>
          </w:p>
        </w:tc>
      </w:tr>
      <w:tr w:rsidR="00847E82" w:rsidRPr="00A6366B" w14:paraId="5372D05D" w14:textId="77777777" w:rsidTr="00257865">
        <w:trPr>
          <w:trHeight w:val="284"/>
        </w:trPr>
        <w:tc>
          <w:tcPr>
            <w:tcW w:w="1570" w:type="dxa"/>
          </w:tcPr>
          <w:p w14:paraId="543D80AE" w14:textId="53F82056"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Austin Health</w:t>
            </w:r>
          </w:p>
        </w:tc>
        <w:tc>
          <w:tcPr>
            <w:tcW w:w="2410" w:type="dxa"/>
          </w:tcPr>
          <w:p w14:paraId="567E633C" w14:textId="43C8F63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(Austin)</w:t>
            </w:r>
          </w:p>
        </w:tc>
        <w:tc>
          <w:tcPr>
            <w:tcW w:w="2833" w:type="dxa"/>
          </w:tcPr>
          <w:p w14:paraId="49B1CE56" w14:textId="3167E4D4" w:rsidR="00847E82" w:rsidRPr="005B1FEF" w:rsidRDefault="00847E82" w:rsidP="00847E82">
            <w:pPr>
              <w:rPr>
                <w:rFonts w:ascii="VIC" w:hAnsi="VIC"/>
                <w:sz w:val="18"/>
                <w:szCs w:val="18"/>
              </w:rPr>
            </w:pPr>
            <w:r w:rsidRPr="00427725">
              <w:rPr>
                <w:rFonts w:ascii="VIC" w:eastAsia="Verdana" w:hAnsi="VIC"/>
                <w:color w:val="000000"/>
                <w:sz w:val="18"/>
                <w:szCs w:val="18"/>
              </w:rPr>
              <w:t>Austin PARC</w:t>
            </w:r>
          </w:p>
        </w:tc>
        <w:tc>
          <w:tcPr>
            <w:tcW w:w="1090" w:type="dxa"/>
          </w:tcPr>
          <w:p w14:paraId="45459567" w14:textId="79C25E9F" w:rsidR="00847E82" w:rsidRPr="005B1FEF" w:rsidRDefault="00847E82" w:rsidP="00847E82">
            <w:pPr>
              <w:jc w:val="center"/>
              <w:rPr>
                <w:rFonts w:ascii="VIC" w:hAnsi="VIC"/>
                <w:sz w:val="18"/>
                <w:szCs w:val="18"/>
              </w:rPr>
            </w:pPr>
            <w:r w:rsidRPr="00427725">
              <w:rPr>
                <w:rFonts w:ascii="VIC" w:eastAsia="Verdana" w:hAnsi="VIC"/>
                <w:color w:val="000000"/>
                <w:sz w:val="18"/>
                <w:szCs w:val="18"/>
              </w:rPr>
              <w:t>59 %</w:t>
            </w:r>
          </w:p>
        </w:tc>
        <w:tc>
          <w:tcPr>
            <w:tcW w:w="1090" w:type="dxa"/>
          </w:tcPr>
          <w:p w14:paraId="19817A4B" w14:textId="30B4F026" w:rsidR="00847E82" w:rsidRPr="005B1FEF" w:rsidRDefault="00847E82" w:rsidP="00847E82">
            <w:pPr>
              <w:jc w:val="center"/>
              <w:rPr>
                <w:rFonts w:ascii="VIC" w:hAnsi="VIC"/>
                <w:sz w:val="18"/>
                <w:szCs w:val="18"/>
              </w:rPr>
            </w:pPr>
            <w:r w:rsidRPr="00427725">
              <w:rPr>
                <w:rFonts w:ascii="VIC" w:eastAsia="Verdana" w:hAnsi="VIC"/>
                <w:color w:val="000000"/>
                <w:sz w:val="18"/>
                <w:szCs w:val="18"/>
              </w:rPr>
              <w:t>17.3</w:t>
            </w:r>
          </w:p>
        </w:tc>
        <w:tc>
          <w:tcPr>
            <w:tcW w:w="1090" w:type="dxa"/>
          </w:tcPr>
          <w:p w14:paraId="173D5BFA" w14:textId="286DBB59"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tcPr>
          <w:p w14:paraId="27FE394C" w14:textId="14B8FB22" w:rsidR="00847E82" w:rsidRPr="005B1FEF" w:rsidRDefault="00847E82" w:rsidP="00847E82">
            <w:pPr>
              <w:jc w:val="center"/>
              <w:rPr>
                <w:rFonts w:ascii="VIC" w:hAnsi="VIC"/>
                <w:sz w:val="18"/>
                <w:szCs w:val="18"/>
              </w:rPr>
            </w:pPr>
            <w:r w:rsidRPr="00427725">
              <w:rPr>
                <w:rFonts w:ascii="VIC" w:eastAsia="Verdana" w:hAnsi="VIC"/>
                <w:color w:val="000000"/>
                <w:sz w:val="18"/>
                <w:szCs w:val="18"/>
              </w:rPr>
              <w:t>16.5</w:t>
            </w:r>
          </w:p>
        </w:tc>
        <w:tc>
          <w:tcPr>
            <w:tcW w:w="1090" w:type="dxa"/>
          </w:tcPr>
          <w:p w14:paraId="5EE8EA48" w14:textId="17870ADD"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tcPr>
          <w:p w14:paraId="2870A58C" w14:textId="32B88D03" w:rsidR="00847E82" w:rsidRPr="005B1FEF" w:rsidRDefault="00847E82" w:rsidP="00847E82">
            <w:pPr>
              <w:jc w:val="center"/>
              <w:rPr>
                <w:rFonts w:ascii="VIC" w:hAnsi="VIC"/>
                <w:sz w:val="18"/>
                <w:szCs w:val="18"/>
              </w:rPr>
            </w:pPr>
            <w:r w:rsidRPr="00427725">
              <w:rPr>
                <w:rFonts w:ascii="VIC" w:eastAsia="Verdana" w:hAnsi="VIC"/>
                <w:color w:val="000000"/>
                <w:sz w:val="18"/>
                <w:szCs w:val="18"/>
              </w:rPr>
              <w:t>20 %</w:t>
            </w:r>
          </w:p>
        </w:tc>
        <w:tc>
          <w:tcPr>
            <w:tcW w:w="1090" w:type="dxa"/>
          </w:tcPr>
          <w:p w14:paraId="1F7FD45F" w14:textId="6D0685ED"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091" w:type="dxa"/>
          </w:tcPr>
          <w:p w14:paraId="048BBA17" w14:textId="2E4CCD22" w:rsidR="00847E82" w:rsidRPr="005B1FEF" w:rsidRDefault="00847E82" w:rsidP="00847E82">
            <w:pPr>
              <w:jc w:val="center"/>
              <w:rPr>
                <w:rFonts w:ascii="VIC" w:hAnsi="VIC"/>
                <w:sz w:val="18"/>
                <w:szCs w:val="18"/>
              </w:rPr>
            </w:pPr>
            <w:r w:rsidRPr="00427725">
              <w:rPr>
                <w:rFonts w:ascii="VIC" w:eastAsia="Verdana" w:hAnsi="VIC"/>
                <w:color w:val="000000"/>
                <w:sz w:val="18"/>
                <w:szCs w:val="18"/>
              </w:rPr>
              <w:t>14.1</w:t>
            </w:r>
          </w:p>
        </w:tc>
      </w:tr>
      <w:tr w:rsidR="00847E82" w:rsidRPr="00A6366B" w14:paraId="1A5C8578" w14:textId="77777777" w:rsidTr="00257865">
        <w:trPr>
          <w:trHeight w:val="284"/>
        </w:trPr>
        <w:tc>
          <w:tcPr>
            <w:tcW w:w="1570" w:type="dxa"/>
            <w:vMerge w:val="restart"/>
            <w:shd w:val="clear" w:color="auto" w:fill="BFCED6"/>
          </w:tcPr>
          <w:p w14:paraId="65482139" w14:textId="1B1F88FE" w:rsidR="00847E82" w:rsidRPr="00C714A8" w:rsidRDefault="00847E82" w:rsidP="00847E82">
            <w:pPr>
              <w:rPr>
                <w:rFonts w:ascii="VIC" w:hAnsi="VIC"/>
                <w:sz w:val="18"/>
                <w:szCs w:val="18"/>
              </w:rPr>
            </w:pPr>
            <w:r w:rsidRPr="00427725">
              <w:rPr>
                <w:rFonts w:ascii="VIC" w:eastAsia="Verdana" w:hAnsi="VIC"/>
                <w:color w:val="000000"/>
                <w:sz w:val="18"/>
                <w:szCs w:val="18"/>
              </w:rPr>
              <w:t>Eastern Health</w:t>
            </w:r>
          </w:p>
        </w:tc>
        <w:tc>
          <w:tcPr>
            <w:tcW w:w="2410" w:type="dxa"/>
            <w:shd w:val="clear" w:color="auto" w:fill="BFCED6"/>
          </w:tcPr>
          <w:p w14:paraId="1B2F7B53" w14:textId="131D5AC0"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Central East (Box Hill)</w:t>
            </w:r>
          </w:p>
        </w:tc>
        <w:tc>
          <w:tcPr>
            <w:tcW w:w="2833" w:type="dxa"/>
            <w:shd w:val="clear" w:color="auto" w:fill="BFCED6"/>
          </w:tcPr>
          <w:p w14:paraId="079ADD0C" w14:textId="749A21BD" w:rsidR="00847E82" w:rsidRPr="005B1FEF" w:rsidRDefault="00847E82" w:rsidP="00847E82">
            <w:pPr>
              <w:rPr>
                <w:rFonts w:ascii="VIC" w:hAnsi="VIC"/>
                <w:sz w:val="18"/>
                <w:szCs w:val="18"/>
              </w:rPr>
            </w:pPr>
            <w:r w:rsidRPr="00427725">
              <w:rPr>
                <w:rFonts w:ascii="VIC" w:eastAsia="Verdana" w:hAnsi="VIC"/>
                <w:color w:val="000000"/>
                <w:sz w:val="18"/>
                <w:szCs w:val="18"/>
              </w:rPr>
              <w:t>Linwood House PARC</w:t>
            </w:r>
          </w:p>
        </w:tc>
        <w:tc>
          <w:tcPr>
            <w:tcW w:w="1090" w:type="dxa"/>
            <w:shd w:val="clear" w:color="auto" w:fill="BFCED6"/>
          </w:tcPr>
          <w:p w14:paraId="5B1ECA2F" w14:textId="580D4F69"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090" w:type="dxa"/>
            <w:shd w:val="clear" w:color="auto" w:fill="BFCED6"/>
          </w:tcPr>
          <w:p w14:paraId="473F4916" w14:textId="11AC63D0" w:rsidR="00847E82" w:rsidRPr="005B1FEF" w:rsidRDefault="00847E82" w:rsidP="00847E82">
            <w:pPr>
              <w:jc w:val="center"/>
              <w:rPr>
                <w:rFonts w:ascii="VIC" w:hAnsi="VIC"/>
                <w:sz w:val="18"/>
                <w:szCs w:val="18"/>
              </w:rPr>
            </w:pPr>
            <w:r w:rsidRPr="00427725">
              <w:rPr>
                <w:rFonts w:ascii="VIC" w:eastAsia="Verdana" w:hAnsi="VIC"/>
                <w:color w:val="000000"/>
                <w:sz w:val="18"/>
                <w:szCs w:val="18"/>
              </w:rPr>
              <w:t>17.1</w:t>
            </w:r>
          </w:p>
        </w:tc>
        <w:tc>
          <w:tcPr>
            <w:tcW w:w="1090" w:type="dxa"/>
            <w:shd w:val="clear" w:color="auto" w:fill="BFCED6"/>
          </w:tcPr>
          <w:p w14:paraId="61E3ACED" w14:textId="1D7DCEEC"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766DFB6D" w14:textId="7E77FB96" w:rsidR="00847E82" w:rsidRPr="005B1FEF" w:rsidRDefault="00847E82" w:rsidP="00847E82">
            <w:pPr>
              <w:jc w:val="center"/>
              <w:rPr>
                <w:rFonts w:ascii="VIC" w:hAnsi="VIC"/>
                <w:sz w:val="18"/>
                <w:szCs w:val="18"/>
              </w:rPr>
            </w:pPr>
            <w:r w:rsidRPr="00427725">
              <w:rPr>
                <w:rFonts w:ascii="VIC" w:eastAsia="Verdana" w:hAnsi="VIC"/>
                <w:color w:val="000000"/>
                <w:sz w:val="18"/>
                <w:szCs w:val="18"/>
              </w:rPr>
              <w:t>17.4</w:t>
            </w:r>
          </w:p>
        </w:tc>
        <w:tc>
          <w:tcPr>
            <w:tcW w:w="1090" w:type="dxa"/>
            <w:shd w:val="clear" w:color="auto" w:fill="BFCED6"/>
          </w:tcPr>
          <w:p w14:paraId="7453840C" w14:textId="5BFBB11C" w:rsidR="00847E82" w:rsidRPr="005B1FEF"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42FDBF83" w14:textId="61C676AE"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3BD27183" w14:textId="15C3E68D"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1BA8E7DF" w14:textId="177073EF" w:rsidR="00847E82" w:rsidRPr="005B1FEF" w:rsidRDefault="00847E82" w:rsidP="00847E82">
            <w:pPr>
              <w:jc w:val="center"/>
              <w:rPr>
                <w:rFonts w:ascii="VIC" w:hAnsi="VIC"/>
                <w:sz w:val="18"/>
                <w:szCs w:val="18"/>
              </w:rPr>
            </w:pPr>
            <w:r w:rsidRPr="00427725">
              <w:rPr>
                <w:rFonts w:ascii="VIC" w:eastAsia="Verdana" w:hAnsi="VIC"/>
                <w:color w:val="000000"/>
                <w:sz w:val="18"/>
                <w:szCs w:val="18"/>
              </w:rPr>
              <w:t>14.3</w:t>
            </w:r>
          </w:p>
        </w:tc>
      </w:tr>
      <w:tr w:rsidR="00847E82" w:rsidRPr="00A6366B" w14:paraId="058BE2F6" w14:textId="77777777" w:rsidTr="00257865">
        <w:trPr>
          <w:trHeight w:val="284"/>
        </w:trPr>
        <w:tc>
          <w:tcPr>
            <w:tcW w:w="1570" w:type="dxa"/>
            <w:vMerge/>
            <w:shd w:val="clear" w:color="auto" w:fill="BFCED6"/>
          </w:tcPr>
          <w:p w14:paraId="6A78FD4B"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3E9A28FF" w14:textId="6BC05544" w:rsidR="00847E82" w:rsidRPr="00382424" w:rsidRDefault="00847E82" w:rsidP="00847E82">
            <w:pPr>
              <w:pStyle w:val="DHHStabletext"/>
              <w:spacing w:before="0" w:after="0"/>
              <w:rPr>
                <w:rFonts w:ascii="VIC" w:hAnsi="VIC"/>
                <w:w w:val="105"/>
                <w:sz w:val="18"/>
                <w:szCs w:val="18"/>
              </w:rPr>
            </w:pPr>
            <w:r w:rsidRPr="00427725">
              <w:rPr>
                <w:rFonts w:ascii="VIC" w:eastAsia="Verdana" w:hAnsi="VIC"/>
                <w:color w:val="000000"/>
                <w:sz w:val="18"/>
                <w:szCs w:val="18"/>
              </w:rPr>
              <w:t>Outer East (Maroondah)</w:t>
            </w:r>
          </w:p>
        </w:tc>
        <w:tc>
          <w:tcPr>
            <w:tcW w:w="2833" w:type="dxa"/>
            <w:shd w:val="clear" w:color="auto" w:fill="BFCED6"/>
          </w:tcPr>
          <w:p w14:paraId="3B23970D" w14:textId="672C66DA" w:rsidR="00847E82" w:rsidRPr="005B1FEF" w:rsidRDefault="00847E82" w:rsidP="00847E82">
            <w:pPr>
              <w:rPr>
                <w:rFonts w:ascii="VIC" w:hAnsi="VIC"/>
                <w:sz w:val="18"/>
                <w:szCs w:val="18"/>
              </w:rPr>
            </w:pPr>
            <w:r w:rsidRPr="00427725">
              <w:rPr>
                <w:rFonts w:ascii="VIC" w:eastAsia="Verdana" w:hAnsi="VIC"/>
                <w:color w:val="000000"/>
                <w:sz w:val="18"/>
                <w:szCs w:val="18"/>
              </w:rPr>
              <w:t>Maroondah PARC</w:t>
            </w:r>
          </w:p>
        </w:tc>
        <w:tc>
          <w:tcPr>
            <w:tcW w:w="1090" w:type="dxa"/>
            <w:shd w:val="clear" w:color="auto" w:fill="BFCED6"/>
          </w:tcPr>
          <w:p w14:paraId="5F66B473" w14:textId="2D72A4F2"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090" w:type="dxa"/>
            <w:shd w:val="clear" w:color="auto" w:fill="BFCED6"/>
          </w:tcPr>
          <w:p w14:paraId="02257ABF" w14:textId="222E9309" w:rsidR="00847E82" w:rsidRPr="005B1FEF" w:rsidRDefault="00847E82" w:rsidP="00847E82">
            <w:pPr>
              <w:jc w:val="center"/>
              <w:rPr>
                <w:rFonts w:ascii="VIC" w:hAnsi="VIC"/>
                <w:sz w:val="18"/>
                <w:szCs w:val="18"/>
              </w:rPr>
            </w:pPr>
            <w:r w:rsidRPr="00427725">
              <w:rPr>
                <w:rFonts w:ascii="VIC" w:eastAsia="Verdana" w:hAnsi="VIC"/>
                <w:color w:val="000000"/>
                <w:sz w:val="18"/>
                <w:szCs w:val="18"/>
              </w:rPr>
              <w:t>16.5</w:t>
            </w:r>
          </w:p>
        </w:tc>
        <w:tc>
          <w:tcPr>
            <w:tcW w:w="1090" w:type="dxa"/>
            <w:shd w:val="clear" w:color="auto" w:fill="BFCED6"/>
          </w:tcPr>
          <w:p w14:paraId="72E29221" w14:textId="6FCB7FCE"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790CE44A" w14:textId="6CF3033C" w:rsidR="00847E82" w:rsidRPr="005B1FEF" w:rsidRDefault="00847E82" w:rsidP="00847E82">
            <w:pPr>
              <w:jc w:val="center"/>
              <w:rPr>
                <w:rFonts w:ascii="VIC" w:hAnsi="VIC"/>
                <w:sz w:val="18"/>
                <w:szCs w:val="18"/>
              </w:rPr>
            </w:pPr>
            <w:r w:rsidRPr="00427725">
              <w:rPr>
                <w:rFonts w:ascii="VIC" w:eastAsia="Verdana" w:hAnsi="VIC"/>
                <w:color w:val="000000"/>
                <w:sz w:val="18"/>
                <w:szCs w:val="18"/>
              </w:rPr>
              <w:t>16.3</w:t>
            </w:r>
          </w:p>
        </w:tc>
        <w:tc>
          <w:tcPr>
            <w:tcW w:w="1090" w:type="dxa"/>
            <w:shd w:val="clear" w:color="auto" w:fill="BFCED6"/>
          </w:tcPr>
          <w:p w14:paraId="7E9ED5CD" w14:textId="41D00950"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BFCED6"/>
          </w:tcPr>
          <w:p w14:paraId="2E7D2178" w14:textId="650206EB"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c>
          <w:tcPr>
            <w:tcW w:w="1090" w:type="dxa"/>
            <w:shd w:val="clear" w:color="auto" w:fill="BFCED6"/>
          </w:tcPr>
          <w:p w14:paraId="6BBA024E" w14:textId="19D062CE"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1179C626" w14:textId="6A6B2EDB" w:rsidR="00847E82" w:rsidRPr="005B1FEF" w:rsidRDefault="00847E82" w:rsidP="00847E82">
            <w:pPr>
              <w:jc w:val="center"/>
              <w:rPr>
                <w:rFonts w:ascii="VIC" w:hAnsi="VIC"/>
                <w:sz w:val="18"/>
                <w:szCs w:val="18"/>
              </w:rPr>
            </w:pPr>
            <w:r w:rsidRPr="00427725">
              <w:rPr>
                <w:rFonts w:ascii="VIC" w:eastAsia="Verdana" w:hAnsi="VIC"/>
                <w:color w:val="000000"/>
                <w:sz w:val="18"/>
                <w:szCs w:val="18"/>
              </w:rPr>
              <w:t>16.8</w:t>
            </w:r>
          </w:p>
        </w:tc>
      </w:tr>
      <w:tr w:rsidR="00847E82" w:rsidRPr="00A6366B" w14:paraId="0AB2E8A8" w14:textId="77777777" w:rsidTr="00257865">
        <w:trPr>
          <w:trHeight w:val="284"/>
        </w:trPr>
        <w:tc>
          <w:tcPr>
            <w:tcW w:w="1570" w:type="dxa"/>
            <w:vMerge/>
            <w:shd w:val="clear" w:color="auto" w:fill="BFCED6"/>
          </w:tcPr>
          <w:p w14:paraId="628EAE83"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16C9CBCE" w14:textId="48BB77F8"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2833" w:type="dxa"/>
            <w:shd w:val="clear" w:color="auto" w:fill="BFCED6"/>
          </w:tcPr>
          <w:p w14:paraId="569C6D1C" w14:textId="3404468F" w:rsidR="00847E82" w:rsidRPr="005B1FEF" w:rsidRDefault="00847E82" w:rsidP="00847E82">
            <w:pPr>
              <w:rPr>
                <w:rFonts w:ascii="VIC" w:hAnsi="VIC"/>
                <w:sz w:val="18"/>
                <w:szCs w:val="18"/>
              </w:rPr>
            </w:pPr>
            <w:r w:rsidRPr="00427725">
              <w:rPr>
                <w:rFonts w:ascii="VIC" w:eastAsia="Verdana" w:hAnsi="VIC"/>
                <w:color w:val="000000"/>
                <w:sz w:val="18"/>
                <w:szCs w:val="18"/>
              </w:rPr>
              <w:t xml:space="preserve"> </w:t>
            </w:r>
          </w:p>
        </w:tc>
        <w:tc>
          <w:tcPr>
            <w:tcW w:w="1090" w:type="dxa"/>
            <w:shd w:val="clear" w:color="auto" w:fill="BFCED6"/>
          </w:tcPr>
          <w:p w14:paraId="4A12ABC1" w14:textId="23139DE3"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090" w:type="dxa"/>
            <w:shd w:val="clear" w:color="auto" w:fill="BFCED6"/>
          </w:tcPr>
          <w:p w14:paraId="4953EA1F" w14:textId="429CE14F" w:rsidR="00847E82" w:rsidRPr="005B1FEF" w:rsidRDefault="00847E82" w:rsidP="00847E82">
            <w:pPr>
              <w:jc w:val="center"/>
              <w:rPr>
                <w:rFonts w:ascii="VIC" w:hAnsi="VIC"/>
                <w:sz w:val="18"/>
                <w:szCs w:val="18"/>
              </w:rPr>
            </w:pPr>
            <w:r w:rsidRPr="00427725">
              <w:rPr>
                <w:rFonts w:ascii="VIC" w:eastAsia="Verdana" w:hAnsi="VIC"/>
                <w:color w:val="000000"/>
                <w:sz w:val="18"/>
                <w:szCs w:val="18"/>
              </w:rPr>
              <w:t>16.7</w:t>
            </w:r>
          </w:p>
        </w:tc>
        <w:tc>
          <w:tcPr>
            <w:tcW w:w="1090" w:type="dxa"/>
            <w:shd w:val="clear" w:color="auto" w:fill="BFCED6"/>
          </w:tcPr>
          <w:p w14:paraId="33498D64" w14:textId="177C775B"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27C1FEE9" w14:textId="1CFBA7DE" w:rsidR="00847E82" w:rsidRPr="005B1FEF" w:rsidRDefault="00847E82" w:rsidP="00847E82">
            <w:pPr>
              <w:jc w:val="center"/>
              <w:rPr>
                <w:rFonts w:ascii="VIC" w:hAnsi="VIC"/>
                <w:sz w:val="18"/>
                <w:szCs w:val="18"/>
              </w:rPr>
            </w:pPr>
            <w:r w:rsidRPr="00427725">
              <w:rPr>
                <w:rFonts w:ascii="VIC" w:eastAsia="Verdana" w:hAnsi="VIC"/>
                <w:color w:val="000000"/>
                <w:sz w:val="18"/>
                <w:szCs w:val="18"/>
              </w:rPr>
              <w:t>16.7</w:t>
            </w:r>
          </w:p>
        </w:tc>
        <w:tc>
          <w:tcPr>
            <w:tcW w:w="1090" w:type="dxa"/>
            <w:shd w:val="clear" w:color="auto" w:fill="BFCED6"/>
          </w:tcPr>
          <w:p w14:paraId="585CF25B" w14:textId="7D639FE6"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00CA725E" w14:textId="71FA39DB"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BFCED6"/>
          </w:tcPr>
          <w:p w14:paraId="00F621F5" w14:textId="278A77C7"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71922370" w14:textId="0621D275" w:rsidR="00847E82" w:rsidRPr="005B1FEF" w:rsidRDefault="00847E82" w:rsidP="00847E82">
            <w:pPr>
              <w:jc w:val="center"/>
              <w:rPr>
                <w:rFonts w:ascii="VIC" w:hAnsi="VIC"/>
                <w:sz w:val="18"/>
                <w:szCs w:val="18"/>
              </w:rPr>
            </w:pPr>
            <w:r w:rsidRPr="00427725">
              <w:rPr>
                <w:rFonts w:ascii="VIC" w:eastAsia="Verdana" w:hAnsi="VIC"/>
                <w:color w:val="000000"/>
                <w:sz w:val="18"/>
                <w:szCs w:val="18"/>
              </w:rPr>
              <w:t>15.8</w:t>
            </w:r>
          </w:p>
        </w:tc>
      </w:tr>
      <w:tr w:rsidR="00847E82" w:rsidRPr="00A6366B" w14:paraId="5AD545C0" w14:textId="77777777" w:rsidTr="00257865">
        <w:trPr>
          <w:trHeight w:val="284"/>
        </w:trPr>
        <w:tc>
          <w:tcPr>
            <w:tcW w:w="1570" w:type="dxa"/>
            <w:vMerge w:val="restart"/>
            <w:shd w:val="clear" w:color="auto" w:fill="FFFFFF" w:themeFill="background1"/>
          </w:tcPr>
          <w:p w14:paraId="21223B21" w14:textId="668AF6BE"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Melbourne Health</w:t>
            </w:r>
          </w:p>
        </w:tc>
        <w:tc>
          <w:tcPr>
            <w:tcW w:w="2410" w:type="dxa"/>
            <w:shd w:val="clear" w:color="auto" w:fill="FFFFFF" w:themeFill="background1"/>
          </w:tcPr>
          <w:p w14:paraId="39432B05" w14:textId="45D87D9D"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Inner West (RMH)</w:t>
            </w:r>
          </w:p>
        </w:tc>
        <w:tc>
          <w:tcPr>
            <w:tcW w:w="2833" w:type="dxa"/>
            <w:shd w:val="clear" w:color="auto" w:fill="FFFFFF" w:themeFill="background1"/>
          </w:tcPr>
          <w:p w14:paraId="60D623F9" w14:textId="4B3BEFCE" w:rsidR="00847E82" w:rsidRPr="005B1FEF" w:rsidRDefault="00847E82" w:rsidP="00847E82">
            <w:pPr>
              <w:rPr>
                <w:rFonts w:ascii="VIC" w:hAnsi="VIC"/>
                <w:sz w:val="18"/>
                <w:szCs w:val="18"/>
              </w:rPr>
            </w:pPr>
            <w:r w:rsidRPr="00427725">
              <w:rPr>
                <w:rFonts w:ascii="VIC" w:eastAsia="Verdana" w:hAnsi="VIC"/>
                <w:color w:val="000000"/>
                <w:sz w:val="18"/>
                <w:szCs w:val="18"/>
              </w:rPr>
              <w:t>Arion PARC</w:t>
            </w:r>
          </w:p>
        </w:tc>
        <w:tc>
          <w:tcPr>
            <w:tcW w:w="1090" w:type="dxa"/>
            <w:shd w:val="clear" w:color="auto" w:fill="FFFFFF" w:themeFill="background1"/>
          </w:tcPr>
          <w:p w14:paraId="122EFA66" w14:textId="556B9C4F"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090" w:type="dxa"/>
            <w:shd w:val="clear" w:color="auto" w:fill="FFFFFF" w:themeFill="background1"/>
          </w:tcPr>
          <w:p w14:paraId="2F48E6F5" w14:textId="1C5860D0" w:rsidR="00847E82" w:rsidRPr="005B1FEF" w:rsidRDefault="00847E82" w:rsidP="00847E82">
            <w:pPr>
              <w:jc w:val="center"/>
              <w:rPr>
                <w:rFonts w:ascii="VIC" w:hAnsi="VIC"/>
                <w:sz w:val="18"/>
                <w:szCs w:val="18"/>
              </w:rPr>
            </w:pPr>
            <w:r w:rsidRPr="00427725">
              <w:rPr>
                <w:rFonts w:ascii="VIC" w:eastAsia="Verdana" w:hAnsi="VIC"/>
                <w:color w:val="000000"/>
                <w:sz w:val="18"/>
                <w:szCs w:val="18"/>
              </w:rPr>
              <w:t>27.6</w:t>
            </w:r>
          </w:p>
        </w:tc>
        <w:tc>
          <w:tcPr>
            <w:tcW w:w="1090" w:type="dxa"/>
            <w:shd w:val="clear" w:color="auto" w:fill="FFFFFF" w:themeFill="background1"/>
          </w:tcPr>
          <w:p w14:paraId="1AD11EEC" w14:textId="0586C470"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c>
          <w:tcPr>
            <w:tcW w:w="1090" w:type="dxa"/>
            <w:shd w:val="clear" w:color="auto" w:fill="FFFFFF" w:themeFill="background1"/>
          </w:tcPr>
          <w:p w14:paraId="639BF602" w14:textId="1E2AAAFF" w:rsidR="00847E82" w:rsidRPr="005B1FEF" w:rsidRDefault="00847E82" w:rsidP="00847E82">
            <w:pPr>
              <w:jc w:val="center"/>
              <w:rPr>
                <w:rFonts w:ascii="VIC" w:hAnsi="VIC"/>
                <w:sz w:val="18"/>
                <w:szCs w:val="18"/>
              </w:rPr>
            </w:pPr>
            <w:r w:rsidRPr="00427725">
              <w:rPr>
                <w:rFonts w:ascii="VIC" w:eastAsia="Verdana" w:hAnsi="VIC"/>
                <w:color w:val="000000"/>
                <w:sz w:val="18"/>
                <w:szCs w:val="18"/>
              </w:rPr>
              <w:t>103.8</w:t>
            </w:r>
          </w:p>
        </w:tc>
        <w:tc>
          <w:tcPr>
            <w:tcW w:w="1090" w:type="dxa"/>
            <w:shd w:val="clear" w:color="auto" w:fill="FFFFFF" w:themeFill="background1"/>
          </w:tcPr>
          <w:p w14:paraId="7139A65B" w14:textId="65EEB5DA"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FFFFFF" w:themeFill="background1"/>
          </w:tcPr>
          <w:p w14:paraId="4BAFE605" w14:textId="11C35566" w:rsidR="00847E82" w:rsidRPr="005B1FEF" w:rsidRDefault="00847E82" w:rsidP="00847E82">
            <w:pPr>
              <w:jc w:val="center"/>
              <w:rPr>
                <w:rFonts w:ascii="VIC" w:hAnsi="VIC"/>
                <w:sz w:val="18"/>
                <w:szCs w:val="18"/>
              </w:rPr>
            </w:pPr>
            <w:r w:rsidRPr="00427725">
              <w:rPr>
                <w:rFonts w:ascii="VIC" w:eastAsia="Verdana" w:hAnsi="VIC"/>
                <w:color w:val="000000"/>
                <w:sz w:val="18"/>
                <w:szCs w:val="18"/>
              </w:rPr>
              <w:t>42 %</w:t>
            </w:r>
          </w:p>
        </w:tc>
        <w:tc>
          <w:tcPr>
            <w:tcW w:w="1090" w:type="dxa"/>
            <w:shd w:val="clear" w:color="auto" w:fill="FFFFFF" w:themeFill="background1"/>
          </w:tcPr>
          <w:p w14:paraId="6754D7E6" w14:textId="0DAFDE6F" w:rsidR="00847E82" w:rsidRPr="005B1FEF" w:rsidRDefault="00847E82" w:rsidP="00847E82">
            <w:pPr>
              <w:jc w:val="center"/>
              <w:rPr>
                <w:rFonts w:ascii="VIC" w:hAnsi="VIC"/>
                <w:sz w:val="18"/>
                <w:szCs w:val="18"/>
              </w:rPr>
            </w:pPr>
            <w:r w:rsidRPr="00427725">
              <w:rPr>
                <w:rFonts w:ascii="VIC" w:eastAsia="Verdana" w:hAnsi="VIC"/>
                <w:color w:val="000000"/>
                <w:sz w:val="18"/>
                <w:szCs w:val="18"/>
              </w:rPr>
              <w:t>33 %</w:t>
            </w:r>
          </w:p>
        </w:tc>
        <w:tc>
          <w:tcPr>
            <w:tcW w:w="1091" w:type="dxa"/>
            <w:shd w:val="clear" w:color="auto" w:fill="FFFFFF" w:themeFill="background1"/>
          </w:tcPr>
          <w:p w14:paraId="36183C7D" w14:textId="2EF4FA87" w:rsidR="00847E82" w:rsidRPr="005B1FEF" w:rsidRDefault="00847E82" w:rsidP="00847E82">
            <w:pPr>
              <w:jc w:val="center"/>
              <w:rPr>
                <w:rFonts w:ascii="VIC" w:hAnsi="VIC"/>
                <w:sz w:val="18"/>
                <w:szCs w:val="18"/>
              </w:rPr>
            </w:pPr>
            <w:r w:rsidRPr="00427725">
              <w:rPr>
                <w:rFonts w:ascii="VIC" w:eastAsia="Verdana" w:hAnsi="VIC"/>
                <w:color w:val="000000"/>
                <w:sz w:val="18"/>
                <w:szCs w:val="18"/>
              </w:rPr>
              <w:t>11.1</w:t>
            </w:r>
          </w:p>
        </w:tc>
      </w:tr>
      <w:tr w:rsidR="00847E82" w:rsidRPr="00A6366B" w14:paraId="3EB04D4A" w14:textId="77777777" w:rsidTr="00257865">
        <w:trPr>
          <w:trHeight w:val="284"/>
        </w:trPr>
        <w:tc>
          <w:tcPr>
            <w:tcW w:w="1570" w:type="dxa"/>
            <w:vMerge/>
            <w:shd w:val="clear" w:color="auto" w:fill="FFFFFF" w:themeFill="background1"/>
          </w:tcPr>
          <w:p w14:paraId="0EE50843"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037A9A0E" w14:textId="1E5A91B1"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Mid West (Sunshine)</w:t>
            </w:r>
          </w:p>
        </w:tc>
        <w:tc>
          <w:tcPr>
            <w:tcW w:w="2833" w:type="dxa"/>
            <w:shd w:val="clear" w:color="auto" w:fill="FFFFFF" w:themeFill="background1"/>
          </w:tcPr>
          <w:p w14:paraId="1174C8E8" w14:textId="2F170ECA" w:rsidR="00847E82" w:rsidRPr="005B1FEF" w:rsidRDefault="00847E82" w:rsidP="00847E82">
            <w:pPr>
              <w:rPr>
                <w:rFonts w:ascii="VIC" w:hAnsi="VIC"/>
                <w:sz w:val="18"/>
                <w:szCs w:val="18"/>
              </w:rPr>
            </w:pPr>
            <w:r w:rsidRPr="00427725">
              <w:rPr>
                <w:rFonts w:ascii="VIC" w:eastAsia="Verdana" w:hAnsi="VIC"/>
                <w:color w:val="000000"/>
                <w:sz w:val="18"/>
                <w:szCs w:val="18"/>
              </w:rPr>
              <w:t>Mid West PARC</w:t>
            </w:r>
          </w:p>
        </w:tc>
        <w:tc>
          <w:tcPr>
            <w:tcW w:w="1090" w:type="dxa"/>
            <w:shd w:val="clear" w:color="auto" w:fill="FFFFFF" w:themeFill="background1"/>
          </w:tcPr>
          <w:p w14:paraId="484C1A23" w14:textId="229F2C62"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090" w:type="dxa"/>
            <w:shd w:val="clear" w:color="auto" w:fill="FFFFFF" w:themeFill="background1"/>
          </w:tcPr>
          <w:p w14:paraId="2A9390D9" w14:textId="4F766CA4" w:rsidR="00847E82" w:rsidRPr="005B1FEF" w:rsidRDefault="00847E82" w:rsidP="00847E82">
            <w:pPr>
              <w:jc w:val="center"/>
              <w:rPr>
                <w:rFonts w:ascii="VIC" w:hAnsi="VIC"/>
                <w:sz w:val="18"/>
                <w:szCs w:val="18"/>
              </w:rPr>
            </w:pPr>
            <w:r w:rsidRPr="00427725">
              <w:rPr>
                <w:rFonts w:ascii="VIC" w:eastAsia="Verdana" w:hAnsi="VIC"/>
                <w:color w:val="000000"/>
                <w:sz w:val="18"/>
                <w:szCs w:val="18"/>
              </w:rPr>
              <w:t>20.8</w:t>
            </w:r>
          </w:p>
        </w:tc>
        <w:tc>
          <w:tcPr>
            <w:tcW w:w="1090" w:type="dxa"/>
            <w:shd w:val="clear" w:color="auto" w:fill="FFFFFF" w:themeFill="background1"/>
          </w:tcPr>
          <w:p w14:paraId="7A28B064" w14:textId="0D329C88" w:rsidR="00847E82" w:rsidRPr="005B1FEF" w:rsidRDefault="00847E82" w:rsidP="00847E82">
            <w:pPr>
              <w:jc w:val="center"/>
              <w:rPr>
                <w:rFonts w:ascii="VIC" w:hAnsi="VIC"/>
                <w:sz w:val="18"/>
                <w:szCs w:val="18"/>
              </w:rPr>
            </w:pPr>
            <w:r w:rsidRPr="00427725">
              <w:rPr>
                <w:rFonts w:ascii="VIC" w:eastAsia="Verdana" w:hAnsi="VIC"/>
                <w:color w:val="000000"/>
                <w:sz w:val="18"/>
                <w:szCs w:val="18"/>
              </w:rPr>
              <w:t>1 %</w:t>
            </w:r>
          </w:p>
        </w:tc>
        <w:tc>
          <w:tcPr>
            <w:tcW w:w="1090" w:type="dxa"/>
            <w:shd w:val="clear" w:color="auto" w:fill="FFFFFF" w:themeFill="background1"/>
          </w:tcPr>
          <w:p w14:paraId="0603EB30" w14:textId="69ABD5C9" w:rsidR="00847E82" w:rsidRPr="005B1FEF" w:rsidRDefault="00847E82" w:rsidP="00847E82">
            <w:pPr>
              <w:jc w:val="center"/>
              <w:rPr>
                <w:rFonts w:ascii="VIC" w:hAnsi="VIC"/>
                <w:sz w:val="18"/>
                <w:szCs w:val="18"/>
              </w:rPr>
            </w:pPr>
            <w:r w:rsidRPr="00427725">
              <w:rPr>
                <w:rFonts w:ascii="VIC" w:eastAsia="Verdana" w:hAnsi="VIC"/>
                <w:color w:val="000000"/>
                <w:sz w:val="18"/>
                <w:szCs w:val="18"/>
              </w:rPr>
              <w:t>20.3</w:t>
            </w:r>
          </w:p>
        </w:tc>
        <w:tc>
          <w:tcPr>
            <w:tcW w:w="1090" w:type="dxa"/>
            <w:shd w:val="clear" w:color="auto" w:fill="FFFFFF" w:themeFill="background1"/>
          </w:tcPr>
          <w:p w14:paraId="5F62317B" w14:textId="00356BB2"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FFFFFF" w:themeFill="background1"/>
          </w:tcPr>
          <w:p w14:paraId="5511197E" w14:textId="1C713FD1"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FFFFFF" w:themeFill="background1"/>
          </w:tcPr>
          <w:p w14:paraId="32C0814A" w14:textId="3FA9F896" w:rsidR="00847E82" w:rsidRPr="005B1FEF" w:rsidRDefault="00847E82" w:rsidP="00847E82">
            <w:pPr>
              <w:jc w:val="center"/>
              <w:rPr>
                <w:rFonts w:ascii="VIC" w:hAnsi="VIC"/>
                <w:sz w:val="18"/>
                <w:szCs w:val="18"/>
              </w:rPr>
            </w:pPr>
            <w:r w:rsidRPr="00427725">
              <w:rPr>
                <w:rFonts w:ascii="VIC" w:eastAsia="Verdana" w:hAnsi="VIC"/>
                <w:color w:val="000000"/>
                <w:sz w:val="18"/>
                <w:szCs w:val="18"/>
              </w:rPr>
              <w:t>97 %</w:t>
            </w:r>
          </w:p>
        </w:tc>
        <w:tc>
          <w:tcPr>
            <w:tcW w:w="1091" w:type="dxa"/>
            <w:shd w:val="clear" w:color="auto" w:fill="FFFFFF" w:themeFill="background1"/>
          </w:tcPr>
          <w:p w14:paraId="0C0BE080" w14:textId="76B27B8A" w:rsidR="00847E82" w:rsidRPr="005B1FEF" w:rsidRDefault="00847E82" w:rsidP="00847E82">
            <w:pPr>
              <w:jc w:val="center"/>
              <w:rPr>
                <w:rFonts w:ascii="VIC" w:hAnsi="VIC"/>
                <w:sz w:val="18"/>
                <w:szCs w:val="18"/>
              </w:rPr>
            </w:pPr>
            <w:r w:rsidRPr="00427725">
              <w:rPr>
                <w:rFonts w:ascii="VIC" w:eastAsia="Verdana" w:hAnsi="VIC"/>
                <w:color w:val="000000"/>
                <w:sz w:val="18"/>
                <w:szCs w:val="18"/>
              </w:rPr>
              <w:t>12.4</w:t>
            </w:r>
          </w:p>
        </w:tc>
      </w:tr>
      <w:tr w:rsidR="00847E82" w:rsidRPr="00A6366B" w14:paraId="3CD12387" w14:textId="77777777" w:rsidTr="00257865">
        <w:trPr>
          <w:trHeight w:val="284"/>
        </w:trPr>
        <w:tc>
          <w:tcPr>
            <w:tcW w:w="1570" w:type="dxa"/>
            <w:vMerge/>
            <w:shd w:val="clear" w:color="auto" w:fill="FFFFFF" w:themeFill="background1"/>
          </w:tcPr>
          <w:p w14:paraId="623F0164"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262536FE" w14:textId="3027547E"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 West (Broadmeadows)</w:t>
            </w:r>
          </w:p>
        </w:tc>
        <w:tc>
          <w:tcPr>
            <w:tcW w:w="2833" w:type="dxa"/>
            <w:shd w:val="clear" w:color="auto" w:fill="FFFFFF" w:themeFill="background1"/>
          </w:tcPr>
          <w:p w14:paraId="7CBB63B2" w14:textId="2E8624E4" w:rsidR="00847E82" w:rsidRPr="005B1FEF" w:rsidRDefault="00847E82" w:rsidP="00847E82">
            <w:pPr>
              <w:rPr>
                <w:rFonts w:ascii="VIC" w:hAnsi="VIC"/>
                <w:sz w:val="18"/>
                <w:szCs w:val="18"/>
              </w:rPr>
            </w:pPr>
            <w:r w:rsidRPr="00427725">
              <w:rPr>
                <w:rFonts w:ascii="VIC" w:eastAsia="Verdana" w:hAnsi="VIC"/>
                <w:color w:val="000000"/>
                <w:sz w:val="18"/>
                <w:szCs w:val="18"/>
              </w:rPr>
              <w:t>Broadmeadows PARC</w:t>
            </w:r>
          </w:p>
        </w:tc>
        <w:tc>
          <w:tcPr>
            <w:tcW w:w="1090" w:type="dxa"/>
            <w:shd w:val="clear" w:color="auto" w:fill="FFFFFF" w:themeFill="background1"/>
          </w:tcPr>
          <w:p w14:paraId="3BEC910F" w14:textId="6B4209FB" w:rsidR="00847E82" w:rsidRPr="005B1FEF" w:rsidRDefault="00847E82" w:rsidP="00847E82">
            <w:pPr>
              <w:jc w:val="center"/>
              <w:rPr>
                <w:rFonts w:ascii="VIC" w:hAnsi="VIC"/>
                <w:sz w:val="18"/>
                <w:szCs w:val="18"/>
              </w:rPr>
            </w:pPr>
            <w:r w:rsidRPr="00427725">
              <w:rPr>
                <w:rFonts w:ascii="VIC" w:eastAsia="Verdana" w:hAnsi="VIC"/>
                <w:color w:val="000000"/>
                <w:sz w:val="18"/>
                <w:szCs w:val="18"/>
              </w:rPr>
              <w:t>78 %</w:t>
            </w:r>
          </w:p>
        </w:tc>
        <w:tc>
          <w:tcPr>
            <w:tcW w:w="1090" w:type="dxa"/>
            <w:shd w:val="clear" w:color="auto" w:fill="FFFFFF" w:themeFill="background1"/>
          </w:tcPr>
          <w:p w14:paraId="7D85CDC7" w14:textId="5F85C324" w:rsidR="00847E82" w:rsidRPr="005B1FEF" w:rsidRDefault="00847E82" w:rsidP="00847E82">
            <w:pPr>
              <w:jc w:val="center"/>
              <w:rPr>
                <w:rFonts w:ascii="VIC" w:hAnsi="VIC"/>
                <w:sz w:val="18"/>
                <w:szCs w:val="18"/>
              </w:rPr>
            </w:pPr>
            <w:r w:rsidRPr="00427725">
              <w:rPr>
                <w:rFonts w:ascii="VIC" w:eastAsia="Verdana" w:hAnsi="VIC"/>
                <w:color w:val="000000"/>
                <w:sz w:val="18"/>
                <w:szCs w:val="18"/>
              </w:rPr>
              <w:t>19.7</w:t>
            </w:r>
          </w:p>
        </w:tc>
        <w:tc>
          <w:tcPr>
            <w:tcW w:w="1090" w:type="dxa"/>
            <w:shd w:val="clear" w:color="auto" w:fill="FFFFFF" w:themeFill="background1"/>
          </w:tcPr>
          <w:p w14:paraId="113449A0" w14:textId="299C17B8"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FFFFFF" w:themeFill="background1"/>
          </w:tcPr>
          <w:p w14:paraId="1DF93C32" w14:textId="6446A6F0" w:rsidR="00847E82" w:rsidRPr="005B1FEF" w:rsidRDefault="00847E82" w:rsidP="00847E82">
            <w:pPr>
              <w:jc w:val="center"/>
              <w:rPr>
                <w:rFonts w:ascii="VIC" w:hAnsi="VIC"/>
                <w:sz w:val="18"/>
                <w:szCs w:val="18"/>
              </w:rPr>
            </w:pPr>
            <w:r w:rsidRPr="00427725">
              <w:rPr>
                <w:rFonts w:ascii="VIC" w:eastAsia="Verdana" w:hAnsi="VIC"/>
                <w:color w:val="000000"/>
                <w:sz w:val="18"/>
                <w:szCs w:val="18"/>
              </w:rPr>
              <w:t>18.7</w:t>
            </w:r>
          </w:p>
        </w:tc>
        <w:tc>
          <w:tcPr>
            <w:tcW w:w="1090" w:type="dxa"/>
            <w:shd w:val="clear" w:color="auto" w:fill="FFFFFF" w:themeFill="background1"/>
          </w:tcPr>
          <w:p w14:paraId="7D86FF0F" w14:textId="057F2EC4"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FFFFFF" w:themeFill="background1"/>
          </w:tcPr>
          <w:p w14:paraId="3EF3EBCB" w14:textId="7B31C60E"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FFFFFF" w:themeFill="background1"/>
          </w:tcPr>
          <w:p w14:paraId="37364B61" w14:textId="3F87F169"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FFFFFF" w:themeFill="background1"/>
          </w:tcPr>
          <w:p w14:paraId="2EA9A2A3" w14:textId="5D451964" w:rsidR="00847E82" w:rsidRPr="005B1FEF" w:rsidRDefault="00847E82" w:rsidP="00847E82">
            <w:pPr>
              <w:jc w:val="center"/>
              <w:rPr>
                <w:rFonts w:ascii="VIC" w:hAnsi="VIC"/>
                <w:sz w:val="18"/>
                <w:szCs w:val="18"/>
              </w:rPr>
            </w:pPr>
            <w:r w:rsidRPr="00427725">
              <w:rPr>
                <w:rFonts w:ascii="VIC" w:eastAsia="Verdana" w:hAnsi="VIC"/>
                <w:color w:val="000000"/>
                <w:sz w:val="18"/>
                <w:szCs w:val="18"/>
              </w:rPr>
              <w:t>17.3</w:t>
            </w:r>
          </w:p>
        </w:tc>
      </w:tr>
      <w:tr w:rsidR="00847E82" w:rsidRPr="00A6366B" w14:paraId="03C014CD" w14:textId="77777777" w:rsidTr="00257865">
        <w:trPr>
          <w:trHeight w:val="284"/>
        </w:trPr>
        <w:tc>
          <w:tcPr>
            <w:tcW w:w="1570" w:type="dxa"/>
            <w:vMerge/>
            <w:shd w:val="clear" w:color="auto" w:fill="FFFFFF" w:themeFill="background1"/>
          </w:tcPr>
          <w:p w14:paraId="45665FCA"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0375A73F" w14:textId="7EC01EBA"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Northern</w:t>
            </w:r>
          </w:p>
        </w:tc>
        <w:tc>
          <w:tcPr>
            <w:tcW w:w="2833" w:type="dxa"/>
            <w:shd w:val="clear" w:color="auto" w:fill="FFFFFF" w:themeFill="background1"/>
          </w:tcPr>
          <w:p w14:paraId="539DD92D" w14:textId="43ED9333" w:rsidR="00847E82" w:rsidRPr="005B1FEF" w:rsidRDefault="00847E82" w:rsidP="00847E82">
            <w:pPr>
              <w:rPr>
                <w:rFonts w:ascii="VIC" w:hAnsi="VIC"/>
                <w:sz w:val="18"/>
                <w:szCs w:val="18"/>
              </w:rPr>
            </w:pPr>
            <w:r w:rsidRPr="00427725">
              <w:rPr>
                <w:rFonts w:ascii="VIC" w:eastAsia="Verdana" w:hAnsi="VIC"/>
                <w:color w:val="000000"/>
                <w:sz w:val="18"/>
                <w:szCs w:val="18"/>
              </w:rPr>
              <w:t>Northern PARC</w:t>
            </w:r>
          </w:p>
        </w:tc>
        <w:tc>
          <w:tcPr>
            <w:tcW w:w="1090" w:type="dxa"/>
            <w:shd w:val="clear" w:color="auto" w:fill="FFFFFF" w:themeFill="background1"/>
          </w:tcPr>
          <w:p w14:paraId="69A18383" w14:textId="0C34F448" w:rsidR="00847E82" w:rsidRPr="005B1FEF" w:rsidRDefault="00847E82" w:rsidP="00847E82">
            <w:pPr>
              <w:jc w:val="center"/>
              <w:rPr>
                <w:rFonts w:ascii="VIC" w:hAnsi="VIC"/>
                <w:sz w:val="18"/>
                <w:szCs w:val="18"/>
              </w:rPr>
            </w:pPr>
            <w:r w:rsidRPr="00427725">
              <w:rPr>
                <w:rFonts w:ascii="VIC" w:eastAsia="Verdana" w:hAnsi="VIC"/>
                <w:color w:val="000000"/>
                <w:sz w:val="18"/>
                <w:szCs w:val="18"/>
              </w:rPr>
              <w:t>75 %</w:t>
            </w:r>
          </w:p>
        </w:tc>
        <w:tc>
          <w:tcPr>
            <w:tcW w:w="1090" w:type="dxa"/>
            <w:shd w:val="clear" w:color="auto" w:fill="FFFFFF" w:themeFill="background1"/>
          </w:tcPr>
          <w:p w14:paraId="743F3591" w14:textId="668C1F15" w:rsidR="00847E82" w:rsidRPr="005B1FEF" w:rsidRDefault="00847E82" w:rsidP="00847E82">
            <w:pPr>
              <w:jc w:val="center"/>
              <w:rPr>
                <w:rFonts w:ascii="VIC" w:hAnsi="VIC"/>
                <w:sz w:val="18"/>
                <w:szCs w:val="18"/>
              </w:rPr>
            </w:pPr>
            <w:r w:rsidRPr="00427725">
              <w:rPr>
                <w:rFonts w:ascii="VIC" w:eastAsia="Verdana" w:hAnsi="VIC"/>
                <w:color w:val="000000"/>
                <w:sz w:val="18"/>
                <w:szCs w:val="18"/>
              </w:rPr>
              <w:t>20.6</w:t>
            </w:r>
          </w:p>
        </w:tc>
        <w:tc>
          <w:tcPr>
            <w:tcW w:w="1090" w:type="dxa"/>
            <w:shd w:val="clear" w:color="auto" w:fill="FFFFFF" w:themeFill="background1"/>
          </w:tcPr>
          <w:p w14:paraId="37F6FAFB" w14:textId="289159EC"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19073A0A" w14:textId="6B337EC9" w:rsidR="00847E82" w:rsidRPr="005B1FEF" w:rsidRDefault="00847E82" w:rsidP="00847E82">
            <w:pPr>
              <w:jc w:val="center"/>
              <w:rPr>
                <w:rFonts w:ascii="VIC" w:hAnsi="VIC"/>
                <w:sz w:val="18"/>
                <w:szCs w:val="18"/>
              </w:rPr>
            </w:pPr>
            <w:r w:rsidRPr="00427725">
              <w:rPr>
                <w:rFonts w:ascii="VIC" w:eastAsia="Verdana" w:hAnsi="VIC"/>
                <w:color w:val="000000"/>
                <w:sz w:val="18"/>
                <w:szCs w:val="18"/>
              </w:rPr>
              <w:t>20.9</w:t>
            </w:r>
          </w:p>
        </w:tc>
        <w:tc>
          <w:tcPr>
            <w:tcW w:w="1090" w:type="dxa"/>
            <w:shd w:val="clear" w:color="auto" w:fill="FFFFFF" w:themeFill="background1"/>
          </w:tcPr>
          <w:p w14:paraId="454A56B7" w14:textId="3193CCDF"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FFFFFF" w:themeFill="background1"/>
          </w:tcPr>
          <w:p w14:paraId="4FED9674" w14:textId="0E275790" w:rsidR="00847E82" w:rsidRPr="005B1FEF" w:rsidRDefault="00847E82" w:rsidP="00847E82">
            <w:pPr>
              <w:jc w:val="center"/>
              <w:rPr>
                <w:rFonts w:ascii="VIC" w:hAnsi="VIC"/>
                <w:sz w:val="18"/>
                <w:szCs w:val="18"/>
              </w:rPr>
            </w:pPr>
            <w:r w:rsidRPr="00427725">
              <w:rPr>
                <w:rFonts w:ascii="VIC" w:eastAsia="Verdana" w:hAnsi="VIC"/>
                <w:color w:val="000000"/>
                <w:sz w:val="18"/>
                <w:szCs w:val="18"/>
              </w:rPr>
              <w:t>18 %</w:t>
            </w:r>
          </w:p>
        </w:tc>
        <w:tc>
          <w:tcPr>
            <w:tcW w:w="1090" w:type="dxa"/>
            <w:shd w:val="clear" w:color="auto" w:fill="FFFFFF" w:themeFill="background1"/>
          </w:tcPr>
          <w:p w14:paraId="69F69C73" w14:textId="1656ECE8"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091" w:type="dxa"/>
            <w:shd w:val="clear" w:color="auto" w:fill="FFFFFF" w:themeFill="background1"/>
          </w:tcPr>
          <w:p w14:paraId="68B1B029" w14:textId="1FCB3F99" w:rsidR="00847E82" w:rsidRPr="005B1FEF" w:rsidRDefault="00847E82" w:rsidP="00847E82">
            <w:pPr>
              <w:jc w:val="center"/>
              <w:rPr>
                <w:rFonts w:ascii="VIC" w:hAnsi="VIC"/>
                <w:sz w:val="18"/>
                <w:szCs w:val="18"/>
              </w:rPr>
            </w:pPr>
            <w:r w:rsidRPr="00427725">
              <w:rPr>
                <w:rFonts w:ascii="VIC" w:eastAsia="Verdana" w:hAnsi="VIC"/>
                <w:color w:val="000000"/>
                <w:sz w:val="18"/>
                <w:szCs w:val="18"/>
              </w:rPr>
              <w:t>14.7</w:t>
            </w:r>
          </w:p>
        </w:tc>
      </w:tr>
      <w:tr w:rsidR="00847E82" w:rsidRPr="00A6366B" w14:paraId="083D34F1" w14:textId="77777777" w:rsidTr="00257865">
        <w:trPr>
          <w:trHeight w:val="284"/>
        </w:trPr>
        <w:tc>
          <w:tcPr>
            <w:tcW w:w="1570" w:type="dxa"/>
            <w:vMerge/>
            <w:shd w:val="clear" w:color="auto" w:fill="FFFFFF" w:themeFill="background1"/>
          </w:tcPr>
          <w:p w14:paraId="10C5CB7F"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0F1C7FC9" w14:textId="48C9C4EB"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TOTAL</w:t>
            </w:r>
          </w:p>
        </w:tc>
        <w:tc>
          <w:tcPr>
            <w:tcW w:w="2833" w:type="dxa"/>
            <w:shd w:val="clear" w:color="auto" w:fill="FFFFFF" w:themeFill="background1"/>
          </w:tcPr>
          <w:p w14:paraId="535F01C8" w14:textId="77918A61" w:rsidR="00847E82" w:rsidRPr="005B1FEF" w:rsidRDefault="00847E82" w:rsidP="00847E82">
            <w:pPr>
              <w:rPr>
                <w:rFonts w:ascii="VIC" w:hAnsi="VIC"/>
                <w:sz w:val="18"/>
                <w:szCs w:val="18"/>
              </w:rPr>
            </w:pPr>
            <w:r w:rsidRPr="00427725">
              <w:rPr>
                <w:rFonts w:ascii="VIC" w:eastAsia="Verdana" w:hAnsi="VIC"/>
                <w:color w:val="000000"/>
                <w:sz w:val="18"/>
                <w:szCs w:val="18"/>
              </w:rPr>
              <w:t xml:space="preserve"> </w:t>
            </w:r>
          </w:p>
        </w:tc>
        <w:tc>
          <w:tcPr>
            <w:tcW w:w="1090" w:type="dxa"/>
            <w:shd w:val="clear" w:color="auto" w:fill="FFFFFF" w:themeFill="background1"/>
          </w:tcPr>
          <w:p w14:paraId="7ED44598" w14:textId="2576A2E7" w:rsidR="00847E82" w:rsidRPr="005B1FEF" w:rsidRDefault="00847E82" w:rsidP="00847E82">
            <w:pPr>
              <w:jc w:val="center"/>
              <w:rPr>
                <w:rFonts w:ascii="VIC" w:hAnsi="VIC"/>
                <w:sz w:val="18"/>
                <w:szCs w:val="18"/>
              </w:rPr>
            </w:pPr>
            <w:r w:rsidRPr="00427725">
              <w:rPr>
                <w:rFonts w:ascii="VIC" w:eastAsia="Verdana" w:hAnsi="VIC"/>
                <w:color w:val="000000"/>
                <w:sz w:val="18"/>
                <w:szCs w:val="18"/>
              </w:rPr>
              <w:t>76 %</w:t>
            </w:r>
          </w:p>
        </w:tc>
        <w:tc>
          <w:tcPr>
            <w:tcW w:w="1090" w:type="dxa"/>
            <w:shd w:val="clear" w:color="auto" w:fill="FFFFFF" w:themeFill="background1"/>
          </w:tcPr>
          <w:p w14:paraId="307EE6A9" w14:textId="53542E8A" w:rsidR="00847E82" w:rsidRPr="005B1FEF" w:rsidRDefault="00847E82" w:rsidP="00847E82">
            <w:pPr>
              <w:jc w:val="center"/>
              <w:rPr>
                <w:rFonts w:ascii="VIC" w:hAnsi="VIC"/>
                <w:sz w:val="18"/>
                <w:szCs w:val="18"/>
              </w:rPr>
            </w:pPr>
            <w:r w:rsidRPr="00427725">
              <w:rPr>
                <w:rFonts w:ascii="VIC" w:eastAsia="Verdana" w:hAnsi="VIC"/>
                <w:color w:val="000000"/>
                <w:sz w:val="18"/>
                <w:szCs w:val="18"/>
              </w:rPr>
              <w:t>21.9</w:t>
            </w:r>
          </w:p>
        </w:tc>
        <w:tc>
          <w:tcPr>
            <w:tcW w:w="1090" w:type="dxa"/>
            <w:shd w:val="clear" w:color="auto" w:fill="FFFFFF" w:themeFill="background1"/>
          </w:tcPr>
          <w:p w14:paraId="0F63A06A" w14:textId="5F8A4DEE"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FFFFFF" w:themeFill="background1"/>
          </w:tcPr>
          <w:p w14:paraId="7C0DACC4" w14:textId="57DC8F95" w:rsidR="00847E82" w:rsidRPr="005B1FEF" w:rsidRDefault="00847E82" w:rsidP="00847E82">
            <w:pPr>
              <w:jc w:val="center"/>
              <w:rPr>
                <w:rFonts w:ascii="VIC" w:hAnsi="VIC"/>
                <w:sz w:val="18"/>
                <w:szCs w:val="18"/>
              </w:rPr>
            </w:pPr>
            <w:r w:rsidRPr="00427725">
              <w:rPr>
                <w:rFonts w:ascii="VIC" w:eastAsia="Verdana" w:hAnsi="VIC"/>
                <w:color w:val="000000"/>
                <w:sz w:val="18"/>
                <w:szCs w:val="18"/>
              </w:rPr>
              <w:t>36.6</w:t>
            </w:r>
          </w:p>
        </w:tc>
        <w:tc>
          <w:tcPr>
            <w:tcW w:w="1090" w:type="dxa"/>
            <w:shd w:val="clear" w:color="auto" w:fill="FFFFFF" w:themeFill="background1"/>
          </w:tcPr>
          <w:p w14:paraId="33A9C620" w14:textId="437D2517"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FFFFFF" w:themeFill="background1"/>
          </w:tcPr>
          <w:p w14:paraId="13229B42" w14:textId="3304B4A7"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090" w:type="dxa"/>
            <w:shd w:val="clear" w:color="auto" w:fill="FFFFFF" w:themeFill="background1"/>
          </w:tcPr>
          <w:p w14:paraId="197D1CB4" w14:textId="56934794"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091" w:type="dxa"/>
            <w:shd w:val="clear" w:color="auto" w:fill="FFFFFF" w:themeFill="background1"/>
          </w:tcPr>
          <w:p w14:paraId="31AB0074" w14:textId="6B2DDB98" w:rsidR="00847E82" w:rsidRPr="005B1FEF" w:rsidRDefault="00847E82" w:rsidP="00847E82">
            <w:pPr>
              <w:jc w:val="center"/>
              <w:rPr>
                <w:rFonts w:ascii="VIC" w:hAnsi="VIC"/>
                <w:sz w:val="18"/>
                <w:szCs w:val="18"/>
              </w:rPr>
            </w:pPr>
            <w:r w:rsidRPr="00427725">
              <w:rPr>
                <w:rFonts w:ascii="VIC" w:eastAsia="Verdana" w:hAnsi="VIC"/>
                <w:color w:val="000000"/>
                <w:sz w:val="18"/>
                <w:szCs w:val="18"/>
              </w:rPr>
              <w:t>14.6</w:t>
            </w:r>
          </w:p>
        </w:tc>
      </w:tr>
      <w:tr w:rsidR="00847E82" w:rsidRPr="00A6366B" w14:paraId="6B65A7B0" w14:textId="77777777" w:rsidTr="00257865">
        <w:trPr>
          <w:trHeight w:val="284"/>
        </w:trPr>
        <w:tc>
          <w:tcPr>
            <w:tcW w:w="1570" w:type="dxa"/>
            <w:vMerge w:val="restart"/>
            <w:shd w:val="clear" w:color="auto" w:fill="BFCED6"/>
          </w:tcPr>
          <w:p w14:paraId="5E2578FF" w14:textId="2AF1FA9B"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Monash Health</w:t>
            </w:r>
          </w:p>
        </w:tc>
        <w:tc>
          <w:tcPr>
            <w:tcW w:w="2410" w:type="dxa"/>
            <w:vMerge w:val="restart"/>
            <w:shd w:val="clear" w:color="auto" w:fill="BFCED6"/>
          </w:tcPr>
          <w:p w14:paraId="5E9FA720" w14:textId="314B644E"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Casey</w:t>
            </w:r>
          </w:p>
        </w:tc>
        <w:tc>
          <w:tcPr>
            <w:tcW w:w="2833" w:type="dxa"/>
            <w:shd w:val="clear" w:color="auto" w:fill="BFCED6"/>
          </w:tcPr>
          <w:p w14:paraId="2DDB6452" w14:textId="0BED4AA9" w:rsidR="00847E82" w:rsidRPr="005B1FEF" w:rsidRDefault="00847E82" w:rsidP="00847E82">
            <w:pPr>
              <w:rPr>
                <w:rFonts w:ascii="VIC" w:hAnsi="VIC"/>
                <w:sz w:val="18"/>
                <w:szCs w:val="18"/>
              </w:rPr>
            </w:pPr>
            <w:r w:rsidRPr="00427725">
              <w:rPr>
                <w:rFonts w:ascii="VIC" w:eastAsia="Verdana" w:hAnsi="VIC"/>
                <w:color w:val="000000"/>
                <w:sz w:val="18"/>
                <w:szCs w:val="18"/>
              </w:rPr>
              <w:t>Casey Adult PARC</w:t>
            </w:r>
          </w:p>
        </w:tc>
        <w:tc>
          <w:tcPr>
            <w:tcW w:w="1090" w:type="dxa"/>
            <w:shd w:val="clear" w:color="auto" w:fill="BFCED6"/>
          </w:tcPr>
          <w:p w14:paraId="54A474A1" w14:textId="2955DDB5" w:rsidR="00847E82" w:rsidRPr="005B1FEF" w:rsidRDefault="00847E82" w:rsidP="00847E82">
            <w:pPr>
              <w:jc w:val="center"/>
              <w:rPr>
                <w:rFonts w:ascii="VIC" w:hAnsi="VIC"/>
                <w:sz w:val="18"/>
                <w:szCs w:val="18"/>
              </w:rPr>
            </w:pPr>
            <w:r w:rsidRPr="00427725">
              <w:rPr>
                <w:rFonts w:ascii="VIC" w:eastAsia="Verdana" w:hAnsi="VIC"/>
                <w:color w:val="000000"/>
                <w:sz w:val="18"/>
                <w:szCs w:val="18"/>
              </w:rPr>
              <w:t>67 %</w:t>
            </w:r>
          </w:p>
        </w:tc>
        <w:tc>
          <w:tcPr>
            <w:tcW w:w="1090" w:type="dxa"/>
            <w:shd w:val="clear" w:color="auto" w:fill="BFCED6"/>
          </w:tcPr>
          <w:p w14:paraId="441B3255" w14:textId="5E2737F4" w:rsidR="00847E82" w:rsidRPr="005B1FEF" w:rsidRDefault="00847E82" w:rsidP="00847E82">
            <w:pPr>
              <w:jc w:val="center"/>
              <w:rPr>
                <w:rFonts w:ascii="VIC" w:hAnsi="VIC"/>
                <w:sz w:val="18"/>
                <w:szCs w:val="18"/>
              </w:rPr>
            </w:pPr>
            <w:r w:rsidRPr="00427725">
              <w:rPr>
                <w:rFonts w:ascii="VIC" w:eastAsia="Verdana" w:hAnsi="VIC"/>
                <w:color w:val="000000"/>
                <w:sz w:val="18"/>
                <w:szCs w:val="18"/>
              </w:rPr>
              <w:t>19.4</w:t>
            </w:r>
          </w:p>
        </w:tc>
        <w:tc>
          <w:tcPr>
            <w:tcW w:w="1090" w:type="dxa"/>
            <w:shd w:val="clear" w:color="auto" w:fill="BFCED6"/>
          </w:tcPr>
          <w:p w14:paraId="6266CBA8" w14:textId="219A6542"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C9FD1A3" w14:textId="3B2B51BE" w:rsidR="00847E82" w:rsidRPr="005B1FEF" w:rsidRDefault="00847E82" w:rsidP="00847E82">
            <w:pPr>
              <w:jc w:val="center"/>
              <w:rPr>
                <w:rFonts w:ascii="VIC" w:hAnsi="VIC"/>
                <w:sz w:val="18"/>
                <w:szCs w:val="18"/>
              </w:rPr>
            </w:pPr>
            <w:r w:rsidRPr="00427725">
              <w:rPr>
                <w:rFonts w:ascii="VIC" w:eastAsia="Verdana" w:hAnsi="VIC"/>
                <w:color w:val="000000"/>
                <w:sz w:val="18"/>
                <w:szCs w:val="18"/>
              </w:rPr>
              <w:t>20.7</w:t>
            </w:r>
          </w:p>
        </w:tc>
        <w:tc>
          <w:tcPr>
            <w:tcW w:w="1090" w:type="dxa"/>
            <w:shd w:val="clear" w:color="auto" w:fill="BFCED6"/>
          </w:tcPr>
          <w:p w14:paraId="3A3A1961" w14:textId="07EBCBC8"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BFCED6"/>
          </w:tcPr>
          <w:p w14:paraId="61EC7CCC" w14:textId="7BF55E64" w:rsidR="00847E82" w:rsidRPr="005B1FEF" w:rsidRDefault="00847E82" w:rsidP="00847E82">
            <w:pPr>
              <w:jc w:val="center"/>
              <w:rPr>
                <w:rFonts w:ascii="VIC" w:hAnsi="VIC"/>
                <w:sz w:val="18"/>
                <w:szCs w:val="18"/>
              </w:rPr>
            </w:pPr>
            <w:r w:rsidRPr="00427725">
              <w:rPr>
                <w:rFonts w:ascii="VIC" w:eastAsia="Verdana" w:hAnsi="VIC"/>
                <w:color w:val="000000"/>
                <w:sz w:val="18"/>
                <w:szCs w:val="18"/>
              </w:rPr>
              <w:t>19 %</w:t>
            </w:r>
          </w:p>
        </w:tc>
        <w:tc>
          <w:tcPr>
            <w:tcW w:w="1090" w:type="dxa"/>
            <w:shd w:val="clear" w:color="auto" w:fill="BFCED6"/>
          </w:tcPr>
          <w:p w14:paraId="230BF70B" w14:textId="0F331F03"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487C80CA" w14:textId="37397328" w:rsidR="00847E82" w:rsidRPr="005B1FEF" w:rsidRDefault="00847E82" w:rsidP="00847E82">
            <w:pPr>
              <w:jc w:val="center"/>
              <w:rPr>
                <w:rFonts w:ascii="VIC" w:hAnsi="VIC"/>
                <w:sz w:val="18"/>
                <w:szCs w:val="18"/>
              </w:rPr>
            </w:pPr>
            <w:r w:rsidRPr="00427725">
              <w:rPr>
                <w:rFonts w:ascii="VIC" w:eastAsia="Verdana" w:hAnsi="VIC"/>
                <w:color w:val="000000"/>
                <w:sz w:val="18"/>
                <w:szCs w:val="18"/>
              </w:rPr>
              <w:t>13.9</w:t>
            </w:r>
          </w:p>
        </w:tc>
      </w:tr>
      <w:tr w:rsidR="00847E82" w:rsidRPr="00A6366B" w14:paraId="6F34885E" w14:textId="77777777" w:rsidTr="00A17C7C">
        <w:trPr>
          <w:trHeight w:val="284"/>
        </w:trPr>
        <w:tc>
          <w:tcPr>
            <w:tcW w:w="1570" w:type="dxa"/>
            <w:vMerge/>
            <w:shd w:val="clear" w:color="auto" w:fill="BFCED6"/>
          </w:tcPr>
          <w:p w14:paraId="435372EA"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736C64E1" w14:textId="6BE5DC13"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2066FED5" w14:textId="503C6EBA" w:rsidR="00847E82" w:rsidRPr="005B1FEF" w:rsidRDefault="00847E82" w:rsidP="00847E82">
            <w:pPr>
              <w:rPr>
                <w:rFonts w:ascii="VIC" w:hAnsi="VIC"/>
                <w:sz w:val="18"/>
                <w:szCs w:val="18"/>
              </w:rPr>
            </w:pPr>
            <w:r w:rsidRPr="00427725">
              <w:rPr>
                <w:rFonts w:ascii="VIC" w:eastAsia="Verdana" w:hAnsi="VIC"/>
                <w:color w:val="000000"/>
                <w:sz w:val="18"/>
                <w:szCs w:val="18"/>
              </w:rPr>
              <w:t>Casey Extended PARC</w:t>
            </w:r>
          </w:p>
        </w:tc>
        <w:tc>
          <w:tcPr>
            <w:tcW w:w="1090" w:type="dxa"/>
            <w:shd w:val="clear" w:color="auto" w:fill="BFCED6"/>
          </w:tcPr>
          <w:p w14:paraId="2A4AE4DB" w14:textId="3970AD63"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0" w:type="dxa"/>
            <w:shd w:val="clear" w:color="auto" w:fill="BFCED6"/>
          </w:tcPr>
          <w:p w14:paraId="163A773C" w14:textId="32B8844F" w:rsidR="00847E82" w:rsidRPr="005B1FEF" w:rsidRDefault="00847E82" w:rsidP="00847E82">
            <w:pPr>
              <w:jc w:val="center"/>
              <w:rPr>
                <w:rFonts w:ascii="VIC" w:hAnsi="VIC"/>
                <w:sz w:val="18"/>
                <w:szCs w:val="18"/>
              </w:rPr>
            </w:pPr>
            <w:r w:rsidRPr="00427725">
              <w:rPr>
                <w:rFonts w:ascii="VIC" w:eastAsia="Verdana" w:hAnsi="VIC"/>
                <w:color w:val="000000"/>
                <w:sz w:val="18"/>
                <w:szCs w:val="18"/>
              </w:rPr>
              <w:t>180.3</w:t>
            </w:r>
          </w:p>
        </w:tc>
        <w:tc>
          <w:tcPr>
            <w:tcW w:w="1090" w:type="dxa"/>
            <w:shd w:val="clear" w:color="auto" w:fill="BFCED6"/>
          </w:tcPr>
          <w:p w14:paraId="5BFCEBD2" w14:textId="6BB8A04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0EFCBE1" w14:textId="24E93B2E" w:rsidR="00847E82" w:rsidRPr="005B1FEF" w:rsidRDefault="00847E82" w:rsidP="00847E82">
            <w:pPr>
              <w:jc w:val="center"/>
              <w:rPr>
                <w:rFonts w:ascii="VIC" w:hAnsi="VIC"/>
                <w:sz w:val="18"/>
                <w:szCs w:val="18"/>
              </w:rPr>
            </w:pPr>
            <w:r w:rsidRPr="00427725">
              <w:rPr>
                <w:rFonts w:ascii="VIC" w:eastAsia="Verdana" w:hAnsi="VIC"/>
                <w:color w:val="000000"/>
                <w:sz w:val="18"/>
                <w:szCs w:val="18"/>
              </w:rPr>
              <w:t>127.7</w:t>
            </w:r>
          </w:p>
        </w:tc>
        <w:tc>
          <w:tcPr>
            <w:tcW w:w="1090" w:type="dxa"/>
            <w:shd w:val="clear" w:color="auto" w:fill="BFCED6"/>
          </w:tcPr>
          <w:p w14:paraId="5A6D427D" w14:textId="22900B89"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090" w:type="dxa"/>
            <w:shd w:val="clear" w:color="auto" w:fill="BFCED6"/>
          </w:tcPr>
          <w:p w14:paraId="2C9CA7C1" w14:textId="0B17469D" w:rsidR="00847E82" w:rsidRPr="005B1FEF" w:rsidRDefault="00847E82" w:rsidP="00847E82">
            <w:pPr>
              <w:jc w:val="center"/>
              <w:rPr>
                <w:rFonts w:ascii="VIC" w:hAnsi="VIC"/>
                <w:sz w:val="18"/>
                <w:szCs w:val="18"/>
              </w:rPr>
            </w:pPr>
            <w:r w:rsidRPr="00427725">
              <w:rPr>
                <w:rFonts w:ascii="VIC" w:eastAsia="Verdana" w:hAnsi="VIC"/>
                <w:color w:val="000000"/>
                <w:sz w:val="18"/>
                <w:szCs w:val="18"/>
              </w:rPr>
              <w:t>20 %</w:t>
            </w:r>
          </w:p>
        </w:tc>
        <w:tc>
          <w:tcPr>
            <w:tcW w:w="1090" w:type="dxa"/>
            <w:shd w:val="clear" w:color="auto" w:fill="BFCED6"/>
          </w:tcPr>
          <w:p w14:paraId="37110C2D" w14:textId="16FC9F39"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10DC51A3" w14:textId="74750B4C" w:rsidR="00847E82" w:rsidRPr="005B1FEF" w:rsidRDefault="00847E82" w:rsidP="00847E82">
            <w:pPr>
              <w:jc w:val="center"/>
              <w:rPr>
                <w:rFonts w:ascii="VIC" w:hAnsi="VIC"/>
                <w:sz w:val="18"/>
                <w:szCs w:val="18"/>
              </w:rPr>
            </w:pPr>
            <w:r w:rsidRPr="00427725">
              <w:rPr>
                <w:rFonts w:ascii="VIC" w:eastAsia="Verdana" w:hAnsi="VIC"/>
                <w:color w:val="000000"/>
                <w:sz w:val="18"/>
                <w:szCs w:val="18"/>
              </w:rPr>
              <w:t>16.4</w:t>
            </w:r>
          </w:p>
        </w:tc>
      </w:tr>
      <w:tr w:rsidR="00847E82" w:rsidRPr="00A6366B" w14:paraId="754A6DC2" w14:textId="77777777" w:rsidTr="00A17C7C">
        <w:trPr>
          <w:trHeight w:val="284"/>
        </w:trPr>
        <w:tc>
          <w:tcPr>
            <w:tcW w:w="1570" w:type="dxa"/>
            <w:vMerge/>
            <w:shd w:val="clear" w:color="auto" w:fill="BFCED6"/>
          </w:tcPr>
          <w:p w14:paraId="1D36DFE2"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5D37B399" w14:textId="1ACFA9A3"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3CF1CDE6" w14:textId="1BC50518" w:rsidR="00847E82" w:rsidRPr="005B1FEF"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BFCED6"/>
          </w:tcPr>
          <w:p w14:paraId="2374B7D0" w14:textId="706124C2"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090" w:type="dxa"/>
            <w:shd w:val="clear" w:color="auto" w:fill="BFCED6"/>
          </w:tcPr>
          <w:p w14:paraId="4FBC766F" w14:textId="59CC2BC6" w:rsidR="00847E82" w:rsidRPr="005B1FEF" w:rsidRDefault="00847E82" w:rsidP="00847E82">
            <w:pPr>
              <w:jc w:val="center"/>
              <w:rPr>
                <w:rFonts w:ascii="VIC" w:hAnsi="VIC"/>
                <w:sz w:val="18"/>
                <w:szCs w:val="18"/>
              </w:rPr>
            </w:pPr>
            <w:r w:rsidRPr="00427725">
              <w:rPr>
                <w:rFonts w:ascii="VIC" w:eastAsia="Verdana" w:hAnsi="VIC"/>
                <w:color w:val="000000"/>
                <w:sz w:val="18"/>
                <w:szCs w:val="18"/>
              </w:rPr>
              <w:t>46.2</w:t>
            </w:r>
          </w:p>
        </w:tc>
        <w:tc>
          <w:tcPr>
            <w:tcW w:w="1090" w:type="dxa"/>
            <w:shd w:val="clear" w:color="auto" w:fill="BFCED6"/>
          </w:tcPr>
          <w:p w14:paraId="0C18724B" w14:textId="08B82A2B"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20E5654A" w14:textId="1C3661EE" w:rsidR="00847E82" w:rsidRPr="005B1FEF" w:rsidRDefault="00847E82" w:rsidP="00847E82">
            <w:pPr>
              <w:jc w:val="center"/>
              <w:rPr>
                <w:rFonts w:ascii="VIC" w:hAnsi="VIC"/>
                <w:sz w:val="18"/>
                <w:szCs w:val="18"/>
              </w:rPr>
            </w:pPr>
            <w:r w:rsidRPr="00427725">
              <w:rPr>
                <w:rFonts w:ascii="VIC" w:eastAsia="Verdana" w:hAnsi="VIC"/>
                <w:color w:val="000000"/>
                <w:sz w:val="18"/>
                <w:szCs w:val="18"/>
              </w:rPr>
              <w:t>54.0</w:t>
            </w:r>
          </w:p>
        </w:tc>
        <w:tc>
          <w:tcPr>
            <w:tcW w:w="1090" w:type="dxa"/>
            <w:shd w:val="clear" w:color="auto" w:fill="BFCED6"/>
          </w:tcPr>
          <w:p w14:paraId="1B6B8AA5" w14:textId="6D57A4AD"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BFCED6"/>
          </w:tcPr>
          <w:p w14:paraId="07B2AFB7" w14:textId="56556A0C" w:rsidR="00847E82" w:rsidRPr="005B1FEF" w:rsidRDefault="00847E82" w:rsidP="00847E82">
            <w:pPr>
              <w:jc w:val="center"/>
              <w:rPr>
                <w:rFonts w:ascii="VIC" w:hAnsi="VIC"/>
                <w:sz w:val="18"/>
                <w:szCs w:val="18"/>
              </w:rPr>
            </w:pPr>
            <w:r w:rsidRPr="00427725">
              <w:rPr>
                <w:rFonts w:ascii="VIC" w:eastAsia="Verdana" w:hAnsi="VIC"/>
                <w:color w:val="000000"/>
                <w:sz w:val="18"/>
                <w:szCs w:val="18"/>
              </w:rPr>
              <w:t>20 %</w:t>
            </w:r>
          </w:p>
        </w:tc>
        <w:tc>
          <w:tcPr>
            <w:tcW w:w="1090" w:type="dxa"/>
            <w:shd w:val="clear" w:color="auto" w:fill="BFCED6"/>
          </w:tcPr>
          <w:p w14:paraId="1F656E18" w14:textId="25D22919"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6D0BB5CD" w14:textId="0A7F7CA7" w:rsidR="00847E82" w:rsidRPr="005B1FEF" w:rsidRDefault="00847E82" w:rsidP="00847E82">
            <w:pPr>
              <w:jc w:val="center"/>
              <w:rPr>
                <w:rFonts w:ascii="VIC" w:hAnsi="VIC"/>
                <w:sz w:val="18"/>
                <w:szCs w:val="18"/>
              </w:rPr>
            </w:pPr>
            <w:r w:rsidRPr="00427725">
              <w:rPr>
                <w:rFonts w:ascii="VIC" w:eastAsia="Verdana" w:hAnsi="VIC"/>
                <w:color w:val="000000"/>
                <w:sz w:val="18"/>
                <w:szCs w:val="18"/>
              </w:rPr>
              <w:t>14.3</w:t>
            </w:r>
          </w:p>
        </w:tc>
      </w:tr>
      <w:tr w:rsidR="00847E82" w:rsidRPr="00A6366B" w14:paraId="4E6E6223" w14:textId="77777777" w:rsidTr="00257865">
        <w:trPr>
          <w:trHeight w:val="284"/>
        </w:trPr>
        <w:tc>
          <w:tcPr>
            <w:tcW w:w="1570" w:type="dxa"/>
            <w:vMerge/>
            <w:shd w:val="clear" w:color="auto" w:fill="BFCED6"/>
          </w:tcPr>
          <w:p w14:paraId="5133FB62" w14:textId="77777777" w:rsidR="00847E82" w:rsidRPr="00382424" w:rsidRDefault="00847E82" w:rsidP="00847E82">
            <w:pPr>
              <w:pStyle w:val="DHHStabletext"/>
              <w:spacing w:before="0" w:after="0"/>
              <w:rPr>
                <w:rFonts w:ascii="VIC" w:hAnsi="VIC"/>
                <w:sz w:val="18"/>
                <w:szCs w:val="18"/>
              </w:rPr>
            </w:pPr>
          </w:p>
        </w:tc>
        <w:tc>
          <w:tcPr>
            <w:tcW w:w="2410" w:type="dxa"/>
            <w:vMerge w:val="restart"/>
            <w:shd w:val="clear" w:color="auto" w:fill="BFCED6"/>
          </w:tcPr>
          <w:p w14:paraId="523FC747" w14:textId="704C9F07"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Dandenong</w:t>
            </w:r>
          </w:p>
        </w:tc>
        <w:tc>
          <w:tcPr>
            <w:tcW w:w="2833" w:type="dxa"/>
            <w:shd w:val="clear" w:color="auto" w:fill="BFCED6"/>
          </w:tcPr>
          <w:p w14:paraId="73CCBF1D" w14:textId="60E5C32C" w:rsidR="00847E82" w:rsidRPr="005B1FEF" w:rsidRDefault="00847E82" w:rsidP="00847E82">
            <w:pPr>
              <w:rPr>
                <w:rFonts w:ascii="VIC" w:hAnsi="VIC"/>
                <w:sz w:val="18"/>
                <w:szCs w:val="18"/>
              </w:rPr>
            </w:pPr>
            <w:r w:rsidRPr="00427725">
              <w:rPr>
                <w:rFonts w:ascii="VIC" w:eastAsia="Verdana" w:hAnsi="VIC"/>
                <w:color w:val="000000"/>
                <w:sz w:val="18"/>
                <w:szCs w:val="18"/>
              </w:rPr>
              <w:t>Dandenong Youth PARC*</w:t>
            </w:r>
          </w:p>
        </w:tc>
        <w:tc>
          <w:tcPr>
            <w:tcW w:w="1090" w:type="dxa"/>
            <w:shd w:val="clear" w:color="auto" w:fill="BFCED6"/>
          </w:tcPr>
          <w:p w14:paraId="10CCB0F3" w14:textId="697D46F3" w:rsidR="00847E82" w:rsidRPr="005B1FEF" w:rsidRDefault="00847E82" w:rsidP="00847E82">
            <w:pPr>
              <w:jc w:val="center"/>
              <w:rPr>
                <w:rFonts w:ascii="VIC" w:hAnsi="VIC"/>
                <w:sz w:val="18"/>
                <w:szCs w:val="18"/>
              </w:rPr>
            </w:pPr>
            <w:r w:rsidRPr="00427725">
              <w:rPr>
                <w:rFonts w:ascii="VIC" w:eastAsia="Verdana" w:hAnsi="VIC"/>
                <w:color w:val="000000"/>
                <w:sz w:val="18"/>
                <w:szCs w:val="18"/>
              </w:rPr>
              <w:t>80 %</w:t>
            </w:r>
          </w:p>
        </w:tc>
        <w:tc>
          <w:tcPr>
            <w:tcW w:w="1090" w:type="dxa"/>
            <w:shd w:val="clear" w:color="auto" w:fill="BFCED6"/>
          </w:tcPr>
          <w:p w14:paraId="17AD2608" w14:textId="0617BB90" w:rsidR="00847E82" w:rsidRPr="005B1FEF" w:rsidRDefault="00847E82" w:rsidP="00847E82">
            <w:pPr>
              <w:jc w:val="center"/>
              <w:rPr>
                <w:rFonts w:ascii="VIC" w:hAnsi="VIC"/>
                <w:sz w:val="18"/>
                <w:szCs w:val="18"/>
              </w:rPr>
            </w:pPr>
            <w:r w:rsidRPr="00427725">
              <w:rPr>
                <w:rFonts w:ascii="VIC" w:eastAsia="Verdana" w:hAnsi="VIC"/>
                <w:color w:val="000000"/>
                <w:sz w:val="18"/>
                <w:szCs w:val="18"/>
              </w:rPr>
              <w:t>14.8</w:t>
            </w:r>
          </w:p>
        </w:tc>
        <w:tc>
          <w:tcPr>
            <w:tcW w:w="1090" w:type="dxa"/>
            <w:shd w:val="clear" w:color="auto" w:fill="BFCED6"/>
          </w:tcPr>
          <w:p w14:paraId="6898CCE2" w14:textId="57832A46"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48F8DAFC" w14:textId="5DF9AAA7" w:rsidR="00847E82" w:rsidRPr="005B1FEF" w:rsidRDefault="00847E82" w:rsidP="00847E82">
            <w:pPr>
              <w:jc w:val="center"/>
              <w:rPr>
                <w:rFonts w:ascii="VIC" w:hAnsi="VIC"/>
                <w:sz w:val="18"/>
                <w:szCs w:val="18"/>
              </w:rPr>
            </w:pPr>
            <w:r w:rsidRPr="00427725">
              <w:rPr>
                <w:rFonts w:ascii="VIC" w:eastAsia="Verdana" w:hAnsi="VIC"/>
                <w:color w:val="000000"/>
                <w:sz w:val="18"/>
                <w:szCs w:val="18"/>
              </w:rPr>
              <w:t>13.8</w:t>
            </w:r>
          </w:p>
        </w:tc>
        <w:tc>
          <w:tcPr>
            <w:tcW w:w="1090" w:type="dxa"/>
            <w:shd w:val="clear" w:color="auto" w:fill="BFCED6"/>
          </w:tcPr>
          <w:p w14:paraId="0DF5CA12" w14:textId="4E149FBC"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2955C3D2" w14:textId="0840CBB0"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7AAA9596" w14:textId="38D2D0FE"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091" w:type="dxa"/>
            <w:shd w:val="clear" w:color="auto" w:fill="BFCED6"/>
          </w:tcPr>
          <w:p w14:paraId="5A461A5E" w14:textId="0AA860A4" w:rsidR="00847E82" w:rsidRPr="005B1FEF" w:rsidRDefault="00847E82" w:rsidP="00847E82">
            <w:pPr>
              <w:jc w:val="center"/>
              <w:rPr>
                <w:rFonts w:ascii="VIC" w:hAnsi="VIC"/>
                <w:sz w:val="18"/>
                <w:szCs w:val="18"/>
              </w:rPr>
            </w:pPr>
            <w:r w:rsidRPr="00427725">
              <w:rPr>
                <w:rFonts w:ascii="VIC" w:eastAsia="Verdana" w:hAnsi="VIC"/>
                <w:color w:val="000000"/>
                <w:sz w:val="18"/>
                <w:szCs w:val="18"/>
              </w:rPr>
              <w:t>14.8</w:t>
            </w:r>
          </w:p>
        </w:tc>
      </w:tr>
      <w:tr w:rsidR="00847E82" w:rsidRPr="00A6366B" w14:paraId="7EDC808A" w14:textId="77777777" w:rsidTr="00A17C7C">
        <w:trPr>
          <w:trHeight w:val="284"/>
        </w:trPr>
        <w:tc>
          <w:tcPr>
            <w:tcW w:w="1570" w:type="dxa"/>
            <w:vMerge/>
            <w:shd w:val="clear" w:color="auto" w:fill="BFCED6"/>
          </w:tcPr>
          <w:p w14:paraId="0F4E62AD"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4D2C4C4E"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377834C9" w14:textId="4D6233D1" w:rsidR="00847E82" w:rsidRPr="005B1FEF" w:rsidRDefault="00847E82" w:rsidP="00847E82">
            <w:pPr>
              <w:rPr>
                <w:rFonts w:ascii="VIC" w:hAnsi="VIC"/>
                <w:sz w:val="18"/>
                <w:szCs w:val="18"/>
              </w:rPr>
            </w:pPr>
            <w:r w:rsidRPr="00427725">
              <w:rPr>
                <w:rFonts w:ascii="VIC" w:eastAsia="Verdana" w:hAnsi="VIC"/>
                <w:color w:val="000000"/>
                <w:sz w:val="18"/>
                <w:szCs w:val="18"/>
              </w:rPr>
              <w:t>Springvale Women's PARC</w:t>
            </w:r>
          </w:p>
        </w:tc>
        <w:tc>
          <w:tcPr>
            <w:tcW w:w="1090" w:type="dxa"/>
            <w:shd w:val="clear" w:color="auto" w:fill="BFCED6"/>
          </w:tcPr>
          <w:p w14:paraId="198DE4CE" w14:textId="4B6AC14D"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090" w:type="dxa"/>
            <w:shd w:val="clear" w:color="auto" w:fill="BFCED6"/>
          </w:tcPr>
          <w:p w14:paraId="738F67E2" w14:textId="598681C9" w:rsidR="00847E82" w:rsidRPr="005B1FEF" w:rsidRDefault="00847E82" w:rsidP="00847E82">
            <w:pPr>
              <w:jc w:val="center"/>
              <w:rPr>
                <w:rFonts w:ascii="VIC" w:hAnsi="VIC"/>
                <w:sz w:val="18"/>
                <w:szCs w:val="18"/>
              </w:rPr>
            </w:pPr>
            <w:r w:rsidRPr="00427725">
              <w:rPr>
                <w:rFonts w:ascii="VIC" w:eastAsia="Verdana" w:hAnsi="VIC"/>
                <w:color w:val="000000"/>
                <w:sz w:val="18"/>
                <w:szCs w:val="18"/>
              </w:rPr>
              <w:t>25.7</w:t>
            </w:r>
          </w:p>
        </w:tc>
        <w:tc>
          <w:tcPr>
            <w:tcW w:w="1090" w:type="dxa"/>
            <w:shd w:val="clear" w:color="auto" w:fill="BFCED6"/>
          </w:tcPr>
          <w:p w14:paraId="5F913A04" w14:textId="182DDB8E"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616BA177" w14:textId="324CA0C4" w:rsidR="00847E82" w:rsidRPr="005B1FEF" w:rsidRDefault="00847E82" w:rsidP="00847E82">
            <w:pPr>
              <w:jc w:val="center"/>
              <w:rPr>
                <w:rFonts w:ascii="VIC" w:hAnsi="VIC"/>
                <w:sz w:val="18"/>
                <w:szCs w:val="18"/>
              </w:rPr>
            </w:pPr>
            <w:r w:rsidRPr="00427725">
              <w:rPr>
                <w:rFonts w:ascii="VIC" w:eastAsia="Verdana" w:hAnsi="VIC"/>
                <w:color w:val="000000"/>
                <w:sz w:val="18"/>
                <w:szCs w:val="18"/>
              </w:rPr>
              <w:t>31.4</w:t>
            </w:r>
          </w:p>
        </w:tc>
        <w:tc>
          <w:tcPr>
            <w:tcW w:w="1090" w:type="dxa"/>
            <w:shd w:val="clear" w:color="auto" w:fill="BFCED6"/>
          </w:tcPr>
          <w:p w14:paraId="791E2F4A" w14:textId="40C0524D"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6091AA7" w14:textId="2D22184F" w:rsidR="00847E82" w:rsidRPr="005B1FEF"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23BB2892" w14:textId="100B5B5B"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091" w:type="dxa"/>
            <w:shd w:val="clear" w:color="auto" w:fill="BFCED6"/>
          </w:tcPr>
          <w:p w14:paraId="76503A61" w14:textId="1EBC5E92" w:rsidR="00847E82" w:rsidRPr="005B1FEF" w:rsidRDefault="00847E82" w:rsidP="00847E82">
            <w:pPr>
              <w:jc w:val="center"/>
              <w:rPr>
                <w:rFonts w:ascii="VIC" w:hAnsi="VIC"/>
                <w:sz w:val="18"/>
                <w:szCs w:val="18"/>
              </w:rPr>
            </w:pPr>
            <w:r w:rsidRPr="00427725">
              <w:rPr>
                <w:rFonts w:ascii="VIC" w:eastAsia="Verdana" w:hAnsi="VIC"/>
                <w:color w:val="000000"/>
                <w:sz w:val="18"/>
                <w:szCs w:val="18"/>
              </w:rPr>
              <w:t>9.0</w:t>
            </w:r>
          </w:p>
        </w:tc>
      </w:tr>
      <w:tr w:rsidR="00847E82" w:rsidRPr="00A6366B" w14:paraId="75B7AE18" w14:textId="77777777" w:rsidTr="00A17C7C">
        <w:trPr>
          <w:trHeight w:val="284"/>
        </w:trPr>
        <w:tc>
          <w:tcPr>
            <w:tcW w:w="1570" w:type="dxa"/>
            <w:vMerge/>
            <w:shd w:val="clear" w:color="auto" w:fill="BFCED6"/>
          </w:tcPr>
          <w:p w14:paraId="7D6D075D"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5AC06A94"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22C589E8" w14:textId="6D58F29B" w:rsidR="00847E82" w:rsidRPr="005B1FEF"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BFCED6"/>
          </w:tcPr>
          <w:p w14:paraId="0F485077" w14:textId="08601C6C"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090" w:type="dxa"/>
            <w:shd w:val="clear" w:color="auto" w:fill="BFCED6"/>
          </w:tcPr>
          <w:p w14:paraId="6443AE22" w14:textId="6A2F154D" w:rsidR="00847E82" w:rsidRPr="005B1FEF" w:rsidRDefault="00847E82" w:rsidP="00847E82">
            <w:pPr>
              <w:jc w:val="center"/>
              <w:rPr>
                <w:rFonts w:ascii="VIC" w:hAnsi="VIC"/>
                <w:sz w:val="18"/>
                <w:szCs w:val="18"/>
              </w:rPr>
            </w:pPr>
            <w:r w:rsidRPr="00427725">
              <w:rPr>
                <w:rFonts w:ascii="VIC" w:eastAsia="Verdana" w:hAnsi="VIC"/>
                <w:color w:val="000000"/>
                <w:sz w:val="18"/>
                <w:szCs w:val="18"/>
              </w:rPr>
              <w:t>18.6</w:t>
            </w:r>
          </w:p>
        </w:tc>
        <w:tc>
          <w:tcPr>
            <w:tcW w:w="1090" w:type="dxa"/>
            <w:shd w:val="clear" w:color="auto" w:fill="BFCED6"/>
          </w:tcPr>
          <w:p w14:paraId="137C4471" w14:textId="2B512269"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215A60B8" w14:textId="62A1DE26" w:rsidR="00847E82" w:rsidRPr="005B1FEF" w:rsidRDefault="00847E82" w:rsidP="00847E82">
            <w:pPr>
              <w:jc w:val="center"/>
              <w:rPr>
                <w:rFonts w:ascii="VIC" w:hAnsi="VIC"/>
                <w:sz w:val="18"/>
                <w:szCs w:val="18"/>
              </w:rPr>
            </w:pPr>
            <w:r w:rsidRPr="00427725">
              <w:rPr>
                <w:rFonts w:ascii="VIC" w:eastAsia="Verdana" w:hAnsi="VIC"/>
                <w:color w:val="000000"/>
                <w:sz w:val="18"/>
                <w:szCs w:val="18"/>
              </w:rPr>
              <w:t>19.9</w:t>
            </w:r>
          </w:p>
        </w:tc>
        <w:tc>
          <w:tcPr>
            <w:tcW w:w="1090" w:type="dxa"/>
            <w:shd w:val="clear" w:color="auto" w:fill="BFCED6"/>
          </w:tcPr>
          <w:p w14:paraId="233D3921" w14:textId="76D446FF"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BFCED6"/>
          </w:tcPr>
          <w:p w14:paraId="7EC568FF" w14:textId="48B493C1"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2F55D542" w14:textId="52953B56"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091" w:type="dxa"/>
            <w:shd w:val="clear" w:color="auto" w:fill="BFCED6"/>
          </w:tcPr>
          <w:p w14:paraId="7659FFCF" w14:textId="4212457B" w:rsidR="00847E82" w:rsidRPr="005B1FEF" w:rsidRDefault="00847E82" w:rsidP="00847E82">
            <w:pPr>
              <w:jc w:val="center"/>
              <w:rPr>
                <w:rFonts w:ascii="VIC" w:hAnsi="VIC"/>
                <w:sz w:val="18"/>
                <w:szCs w:val="18"/>
              </w:rPr>
            </w:pPr>
            <w:r w:rsidRPr="00427725">
              <w:rPr>
                <w:rFonts w:ascii="VIC" w:eastAsia="Verdana" w:hAnsi="VIC"/>
                <w:color w:val="000000"/>
                <w:sz w:val="18"/>
                <w:szCs w:val="18"/>
              </w:rPr>
              <w:t>13.0</w:t>
            </w:r>
          </w:p>
        </w:tc>
      </w:tr>
      <w:tr w:rsidR="00847E82" w:rsidRPr="00A6366B" w14:paraId="650B5071" w14:textId="77777777" w:rsidTr="00257865">
        <w:trPr>
          <w:trHeight w:val="284"/>
        </w:trPr>
        <w:tc>
          <w:tcPr>
            <w:tcW w:w="1570" w:type="dxa"/>
            <w:vMerge/>
            <w:shd w:val="clear" w:color="auto" w:fill="BFCED6"/>
          </w:tcPr>
          <w:p w14:paraId="16BCF298"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69B38091" w14:textId="748DE34B"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Middle South (Monash Adult)</w:t>
            </w:r>
          </w:p>
        </w:tc>
        <w:tc>
          <w:tcPr>
            <w:tcW w:w="2833" w:type="dxa"/>
            <w:shd w:val="clear" w:color="auto" w:fill="BFCED6"/>
          </w:tcPr>
          <w:p w14:paraId="2658223B" w14:textId="2D03F102" w:rsidR="00847E82" w:rsidRPr="005B1FEF" w:rsidRDefault="00847E82" w:rsidP="00847E82">
            <w:pPr>
              <w:rPr>
                <w:rFonts w:ascii="VIC" w:hAnsi="VIC"/>
                <w:sz w:val="18"/>
                <w:szCs w:val="18"/>
              </w:rPr>
            </w:pPr>
            <w:r w:rsidRPr="00427725">
              <w:rPr>
                <w:rFonts w:ascii="VIC" w:eastAsia="Verdana" w:hAnsi="VIC"/>
                <w:color w:val="000000"/>
                <w:sz w:val="18"/>
                <w:szCs w:val="18"/>
              </w:rPr>
              <w:t>Clayton PARC</w:t>
            </w:r>
          </w:p>
        </w:tc>
        <w:tc>
          <w:tcPr>
            <w:tcW w:w="1090" w:type="dxa"/>
            <w:shd w:val="clear" w:color="auto" w:fill="BFCED6"/>
          </w:tcPr>
          <w:p w14:paraId="1E25E5F6" w14:textId="0B41A99B" w:rsidR="00847E82" w:rsidRPr="005B1FEF" w:rsidRDefault="00847E82" w:rsidP="00847E82">
            <w:pPr>
              <w:jc w:val="center"/>
              <w:rPr>
                <w:rFonts w:ascii="VIC" w:hAnsi="VIC"/>
                <w:sz w:val="18"/>
                <w:szCs w:val="18"/>
              </w:rPr>
            </w:pPr>
            <w:r w:rsidRPr="00427725">
              <w:rPr>
                <w:rFonts w:ascii="VIC" w:eastAsia="Verdana" w:hAnsi="VIC"/>
                <w:color w:val="000000"/>
                <w:sz w:val="18"/>
                <w:szCs w:val="18"/>
              </w:rPr>
              <w:t>59 %</w:t>
            </w:r>
          </w:p>
        </w:tc>
        <w:tc>
          <w:tcPr>
            <w:tcW w:w="1090" w:type="dxa"/>
            <w:shd w:val="clear" w:color="auto" w:fill="BFCED6"/>
          </w:tcPr>
          <w:p w14:paraId="2EF3CE82" w14:textId="71145B8C" w:rsidR="00847E82" w:rsidRPr="005B1FEF" w:rsidRDefault="00847E82" w:rsidP="00847E82">
            <w:pPr>
              <w:jc w:val="center"/>
              <w:rPr>
                <w:rFonts w:ascii="VIC" w:hAnsi="VIC"/>
                <w:sz w:val="18"/>
                <w:szCs w:val="18"/>
              </w:rPr>
            </w:pPr>
            <w:r w:rsidRPr="00427725">
              <w:rPr>
                <w:rFonts w:ascii="VIC" w:eastAsia="Verdana" w:hAnsi="VIC"/>
                <w:color w:val="000000"/>
                <w:sz w:val="18"/>
                <w:szCs w:val="18"/>
              </w:rPr>
              <w:t>17.2</w:t>
            </w:r>
          </w:p>
        </w:tc>
        <w:tc>
          <w:tcPr>
            <w:tcW w:w="1090" w:type="dxa"/>
            <w:shd w:val="clear" w:color="auto" w:fill="BFCED6"/>
          </w:tcPr>
          <w:p w14:paraId="5A461749" w14:textId="35090B90"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4DF81EFD" w14:textId="370D56F9" w:rsidR="00847E82" w:rsidRPr="005B1FEF" w:rsidRDefault="00847E82" w:rsidP="00847E82">
            <w:pPr>
              <w:jc w:val="center"/>
              <w:rPr>
                <w:rFonts w:ascii="VIC" w:hAnsi="VIC"/>
                <w:sz w:val="18"/>
                <w:szCs w:val="18"/>
              </w:rPr>
            </w:pPr>
            <w:r w:rsidRPr="00427725">
              <w:rPr>
                <w:rFonts w:ascii="VIC" w:eastAsia="Verdana" w:hAnsi="VIC"/>
                <w:color w:val="000000"/>
                <w:sz w:val="18"/>
                <w:szCs w:val="18"/>
              </w:rPr>
              <w:t>18.4</w:t>
            </w:r>
          </w:p>
        </w:tc>
        <w:tc>
          <w:tcPr>
            <w:tcW w:w="1090" w:type="dxa"/>
            <w:shd w:val="clear" w:color="auto" w:fill="BFCED6"/>
          </w:tcPr>
          <w:p w14:paraId="42C9B716" w14:textId="15CE6920"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BFCED6"/>
          </w:tcPr>
          <w:p w14:paraId="4F81A567" w14:textId="2AA39BDC"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BFCED6"/>
          </w:tcPr>
          <w:p w14:paraId="450E1603" w14:textId="619F1957"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3BB3352A" w14:textId="2F9C1751" w:rsidR="00847E82" w:rsidRPr="005B1FEF" w:rsidRDefault="00847E82" w:rsidP="00847E82">
            <w:pPr>
              <w:jc w:val="center"/>
              <w:rPr>
                <w:rFonts w:ascii="VIC" w:hAnsi="VIC"/>
                <w:sz w:val="18"/>
                <w:szCs w:val="18"/>
              </w:rPr>
            </w:pPr>
            <w:r w:rsidRPr="00427725">
              <w:rPr>
                <w:rFonts w:ascii="VIC" w:eastAsia="Verdana" w:hAnsi="VIC"/>
                <w:color w:val="000000"/>
                <w:sz w:val="18"/>
                <w:szCs w:val="18"/>
              </w:rPr>
              <w:t>11.3</w:t>
            </w:r>
          </w:p>
        </w:tc>
      </w:tr>
      <w:tr w:rsidR="00847E82" w:rsidRPr="00A6366B" w14:paraId="5807F5CC" w14:textId="77777777" w:rsidTr="00257865">
        <w:trPr>
          <w:trHeight w:val="284"/>
        </w:trPr>
        <w:tc>
          <w:tcPr>
            <w:tcW w:w="1570" w:type="dxa"/>
            <w:vMerge/>
            <w:shd w:val="clear" w:color="auto" w:fill="BFCED6"/>
          </w:tcPr>
          <w:p w14:paraId="3620A70E"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1DB59E4D" w14:textId="6E173355"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TOTAL</w:t>
            </w:r>
          </w:p>
        </w:tc>
        <w:tc>
          <w:tcPr>
            <w:tcW w:w="2833" w:type="dxa"/>
            <w:shd w:val="clear" w:color="auto" w:fill="BFCED6"/>
          </w:tcPr>
          <w:p w14:paraId="5B86BE1F" w14:textId="61BA9DCB" w:rsidR="00847E82" w:rsidRPr="005B1FEF" w:rsidRDefault="00847E82" w:rsidP="00847E82">
            <w:pPr>
              <w:rPr>
                <w:rFonts w:ascii="VIC" w:hAnsi="VIC"/>
                <w:sz w:val="18"/>
                <w:szCs w:val="18"/>
              </w:rPr>
            </w:pPr>
            <w:r w:rsidRPr="00427725">
              <w:rPr>
                <w:rFonts w:ascii="VIC" w:eastAsia="Verdana" w:hAnsi="VIC"/>
                <w:color w:val="000000"/>
                <w:sz w:val="18"/>
                <w:szCs w:val="18"/>
              </w:rPr>
              <w:t xml:space="preserve"> </w:t>
            </w:r>
          </w:p>
        </w:tc>
        <w:tc>
          <w:tcPr>
            <w:tcW w:w="1090" w:type="dxa"/>
            <w:shd w:val="clear" w:color="auto" w:fill="BFCED6"/>
          </w:tcPr>
          <w:p w14:paraId="5B389668" w14:textId="4F445BFF"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090" w:type="dxa"/>
            <w:shd w:val="clear" w:color="auto" w:fill="BFCED6"/>
          </w:tcPr>
          <w:p w14:paraId="24EF0A3F" w14:textId="0C8A2B05" w:rsidR="00847E82" w:rsidRPr="005B1FEF" w:rsidRDefault="00847E82" w:rsidP="00847E82">
            <w:pPr>
              <w:jc w:val="center"/>
              <w:rPr>
                <w:rFonts w:ascii="VIC" w:hAnsi="VIC"/>
                <w:sz w:val="18"/>
                <w:szCs w:val="18"/>
              </w:rPr>
            </w:pPr>
            <w:r w:rsidRPr="00427725">
              <w:rPr>
                <w:rFonts w:ascii="VIC" w:eastAsia="Verdana" w:hAnsi="VIC"/>
                <w:color w:val="000000"/>
                <w:sz w:val="18"/>
                <w:szCs w:val="18"/>
              </w:rPr>
              <w:t>24.9</w:t>
            </w:r>
          </w:p>
        </w:tc>
        <w:tc>
          <w:tcPr>
            <w:tcW w:w="1090" w:type="dxa"/>
            <w:shd w:val="clear" w:color="auto" w:fill="BFCED6"/>
          </w:tcPr>
          <w:p w14:paraId="0168CD09" w14:textId="2BA1091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2C8E83F3" w14:textId="5BE608D3" w:rsidR="00847E82" w:rsidRPr="005B1FEF" w:rsidRDefault="00847E82" w:rsidP="00847E82">
            <w:pPr>
              <w:jc w:val="center"/>
              <w:rPr>
                <w:rFonts w:ascii="VIC" w:hAnsi="VIC"/>
                <w:sz w:val="18"/>
                <w:szCs w:val="18"/>
              </w:rPr>
            </w:pPr>
            <w:r w:rsidRPr="00427725">
              <w:rPr>
                <w:rFonts w:ascii="VIC" w:eastAsia="Verdana" w:hAnsi="VIC"/>
                <w:color w:val="000000"/>
                <w:sz w:val="18"/>
                <w:szCs w:val="18"/>
              </w:rPr>
              <w:t>28.9</w:t>
            </w:r>
          </w:p>
        </w:tc>
        <w:tc>
          <w:tcPr>
            <w:tcW w:w="1090" w:type="dxa"/>
            <w:shd w:val="clear" w:color="auto" w:fill="BFCED6"/>
          </w:tcPr>
          <w:p w14:paraId="7268C529" w14:textId="22ED6836"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BFCED6"/>
          </w:tcPr>
          <w:p w14:paraId="3860B0F7" w14:textId="08C3A621"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BFCED6"/>
          </w:tcPr>
          <w:p w14:paraId="72550A37" w14:textId="54C8F08A"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091" w:type="dxa"/>
            <w:shd w:val="clear" w:color="auto" w:fill="BFCED6"/>
          </w:tcPr>
          <w:p w14:paraId="7071C7B9" w14:textId="3BC0D2F2" w:rsidR="00847E82" w:rsidRPr="005B1FEF" w:rsidRDefault="00847E82" w:rsidP="00847E82">
            <w:pPr>
              <w:jc w:val="center"/>
              <w:rPr>
                <w:rFonts w:ascii="VIC" w:hAnsi="VIC"/>
                <w:sz w:val="18"/>
                <w:szCs w:val="18"/>
              </w:rPr>
            </w:pPr>
            <w:r w:rsidRPr="00427725">
              <w:rPr>
                <w:rFonts w:ascii="VIC" w:eastAsia="Verdana" w:hAnsi="VIC"/>
                <w:color w:val="000000"/>
                <w:sz w:val="18"/>
                <w:szCs w:val="18"/>
              </w:rPr>
              <w:t>12.9</w:t>
            </w:r>
          </w:p>
        </w:tc>
      </w:tr>
      <w:tr w:rsidR="00847E82" w:rsidRPr="00A6366B" w14:paraId="46485EFF" w14:textId="77777777" w:rsidTr="00257865">
        <w:trPr>
          <w:trHeight w:val="284"/>
        </w:trPr>
        <w:tc>
          <w:tcPr>
            <w:tcW w:w="1570" w:type="dxa"/>
            <w:vMerge w:val="restart"/>
            <w:shd w:val="clear" w:color="auto" w:fill="FFFFFF" w:themeFill="background1"/>
          </w:tcPr>
          <w:p w14:paraId="0B45650D" w14:textId="3AC3BD04"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Peninsula Health</w:t>
            </w:r>
          </w:p>
        </w:tc>
        <w:tc>
          <w:tcPr>
            <w:tcW w:w="2410" w:type="dxa"/>
            <w:vMerge w:val="restart"/>
            <w:shd w:val="clear" w:color="auto" w:fill="FFFFFF" w:themeFill="background1"/>
          </w:tcPr>
          <w:p w14:paraId="004253C2" w14:textId="18816CB2"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Peninsula</w:t>
            </w:r>
          </w:p>
        </w:tc>
        <w:tc>
          <w:tcPr>
            <w:tcW w:w="2833" w:type="dxa"/>
            <w:shd w:val="clear" w:color="auto" w:fill="FFFFFF" w:themeFill="background1"/>
          </w:tcPr>
          <w:p w14:paraId="0B93D727" w14:textId="2FF6EE60" w:rsidR="00847E82" w:rsidRPr="005B1FEF" w:rsidRDefault="00847E82" w:rsidP="00847E82">
            <w:pPr>
              <w:rPr>
                <w:rFonts w:ascii="VIC" w:hAnsi="VIC"/>
                <w:sz w:val="18"/>
                <w:szCs w:val="18"/>
              </w:rPr>
            </w:pPr>
            <w:r w:rsidRPr="00427725">
              <w:rPr>
                <w:rFonts w:ascii="VIC" w:eastAsia="Verdana" w:hAnsi="VIC"/>
                <w:color w:val="000000"/>
                <w:sz w:val="18"/>
                <w:szCs w:val="18"/>
              </w:rPr>
              <w:t>Peninsula PARC, Adult</w:t>
            </w:r>
          </w:p>
        </w:tc>
        <w:tc>
          <w:tcPr>
            <w:tcW w:w="1090" w:type="dxa"/>
            <w:shd w:val="clear" w:color="auto" w:fill="FFFFFF" w:themeFill="background1"/>
          </w:tcPr>
          <w:p w14:paraId="41B1A3F3" w14:textId="2F2397D1" w:rsidR="00847E82" w:rsidRPr="005B1FEF" w:rsidRDefault="00847E82" w:rsidP="00847E82">
            <w:pPr>
              <w:jc w:val="center"/>
              <w:rPr>
                <w:rFonts w:ascii="VIC" w:hAnsi="VIC"/>
                <w:sz w:val="18"/>
                <w:szCs w:val="18"/>
              </w:rPr>
            </w:pPr>
            <w:r w:rsidRPr="00427725">
              <w:rPr>
                <w:rFonts w:ascii="VIC" w:eastAsia="Verdana" w:hAnsi="VIC"/>
                <w:color w:val="000000"/>
                <w:sz w:val="18"/>
                <w:szCs w:val="18"/>
              </w:rPr>
              <w:t>86 %</w:t>
            </w:r>
          </w:p>
        </w:tc>
        <w:tc>
          <w:tcPr>
            <w:tcW w:w="1090" w:type="dxa"/>
            <w:shd w:val="clear" w:color="auto" w:fill="FFFFFF" w:themeFill="background1"/>
          </w:tcPr>
          <w:p w14:paraId="56EB6CA5" w14:textId="0383F696" w:rsidR="00847E82" w:rsidRPr="005B1FEF" w:rsidRDefault="00847E82" w:rsidP="00847E82">
            <w:pPr>
              <w:jc w:val="center"/>
              <w:rPr>
                <w:rFonts w:ascii="VIC" w:hAnsi="VIC"/>
                <w:sz w:val="18"/>
                <w:szCs w:val="18"/>
              </w:rPr>
            </w:pPr>
            <w:r w:rsidRPr="00427725">
              <w:rPr>
                <w:rFonts w:ascii="VIC" w:eastAsia="Verdana" w:hAnsi="VIC"/>
                <w:color w:val="000000"/>
                <w:sz w:val="18"/>
                <w:szCs w:val="18"/>
              </w:rPr>
              <w:t>19.1</w:t>
            </w:r>
          </w:p>
        </w:tc>
        <w:tc>
          <w:tcPr>
            <w:tcW w:w="1090" w:type="dxa"/>
            <w:shd w:val="clear" w:color="auto" w:fill="FFFFFF" w:themeFill="background1"/>
          </w:tcPr>
          <w:p w14:paraId="20B3DC85" w14:textId="78977ACE"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FFFFFF" w:themeFill="background1"/>
          </w:tcPr>
          <w:p w14:paraId="2F1FA758" w14:textId="664F3861" w:rsidR="00847E82" w:rsidRPr="005B1FEF" w:rsidRDefault="00847E82" w:rsidP="00847E82">
            <w:pPr>
              <w:jc w:val="center"/>
              <w:rPr>
                <w:rFonts w:ascii="VIC" w:hAnsi="VIC"/>
                <w:sz w:val="18"/>
                <w:szCs w:val="18"/>
              </w:rPr>
            </w:pPr>
            <w:r w:rsidRPr="00427725">
              <w:rPr>
                <w:rFonts w:ascii="VIC" w:eastAsia="Verdana" w:hAnsi="VIC"/>
                <w:color w:val="000000"/>
                <w:sz w:val="18"/>
                <w:szCs w:val="18"/>
              </w:rPr>
              <w:t>17.6</w:t>
            </w:r>
          </w:p>
        </w:tc>
        <w:tc>
          <w:tcPr>
            <w:tcW w:w="1090" w:type="dxa"/>
            <w:shd w:val="clear" w:color="auto" w:fill="FFFFFF" w:themeFill="background1"/>
          </w:tcPr>
          <w:p w14:paraId="6C63AA51" w14:textId="0832D1B6"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FFFFFF" w:themeFill="background1"/>
          </w:tcPr>
          <w:p w14:paraId="4689CCFA" w14:textId="20A3D8E2"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c>
          <w:tcPr>
            <w:tcW w:w="1090" w:type="dxa"/>
            <w:shd w:val="clear" w:color="auto" w:fill="FFFFFF" w:themeFill="background1"/>
          </w:tcPr>
          <w:p w14:paraId="18F5E18D" w14:textId="48C41E8F"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FFFFFF" w:themeFill="background1"/>
          </w:tcPr>
          <w:p w14:paraId="2F896DDC" w14:textId="26D5203A" w:rsidR="00847E82" w:rsidRPr="005B1FEF" w:rsidRDefault="00847E82" w:rsidP="00847E82">
            <w:pPr>
              <w:jc w:val="center"/>
              <w:rPr>
                <w:rFonts w:ascii="VIC" w:hAnsi="VIC"/>
                <w:sz w:val="18"/>
                <w:szCs w:val="18"/>
              </w:rPr>
            </w:pPr>
            <w:r w:rsidRPr="00427725">
              <w:rPr>
                <w:rFonts w:ascii="VIC" w:eastAsia="Verdana" w:hAnsi="VIC"/>
                <w:color w:val="000000"/>
                <w:sz w:val="18"/>
                <w:szCs w:val="18"/>
              </w:rPr>
              <w:t>13.7</w:t>
            </w:r>
          </w:p>
        </w:tc>
      </w:tr>
      <w:tr w:rsidR="00847E82" w:rsidRPr="00A6366B" w14:paraId="5157AE19" w14:textId="77777777" w:rsidTr="00A17C7C">
        <w:trPr>
          <w:trHeight w:val="284"/>
        </w:trPr>
        <w:tc>
          <w:tcPr>
            <w:tcW w:w="1570" w:type="dxa"/>
            <w:vMerge/>
            <w:shd w:val="clear" w:color="auto" w:fill="FFFFFF" w:themeFill="background1"/>
          </w:tcPr>
          <w:p w14:paraId="7AE66BB8"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FFFFFF" w:themeFill="background1"/>
          </w:tcPr>
          <w:p w14:paraId="74BF76C3"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FFFFFF" w:themeFill="background1"/>
          </w:tcPr>
          <w:p w14:paraId="703C2008" w14:textId="59F0C444" w:rsidR="00847E82" w:rsidRPr="005B1FEF" w:rsidRDefault="00847E82" w:rsidP="00847E82">
            <w:pPr>
              <w:rPr>
                <w:rFonts w:ascii="VIC" w:hAnsi="VIC"/>
                <w:sz w:val="18"/>
                <w:szCs w:val="18"/>
              </w:rPr>
            </w:pPr>
            <w:r w:rsidRPr="00427725">
              <w:rPr>
                <w:rFonts w:ascii="VIC" w:eastAsia="Verdana" w:hAnsi="VIC"/>
                <w:color w:val="000000"/>
                <w:sz w:val="18"/>
                <w:szCs w:val="18"/>
              </w:rPr>
              <w:t>Peninsula PARC, Youth (16-17)</w:t>
            </w:r>
          </w:p>
        </w:tc>
        <w:tc>
          <w:tcPr>
            <w:tcW w:w="1090" w:type="dxa"/>
            <w:shd w:val="clear" w:color="auto" w:fill="FFFFFF" w:themeFill="background1"/>
          </w:tcPr>
          <w:p w14:paraId="4DA5C339" w14:textId="04A63BD9" w:rsidR="00847E82" w:rsidRPr="005B1FEF" w:rsidRDefault="00847E82" w:rsidP="00847E82">
            <w:pPr>
              <w:jc w:val="center"/>
              <w:rPr>
                <w:rFonts w:ascii="VIC" w:hAnsi="VIC"/>
                <w:sz w:val="18"/>
                <w:szCs w:val="18"/>
              </w:rPr>
            </w:pPr>
            <w:r w:rsidRPr="00427725">
              <w:rPr>
                <w:rFonts w:ascii="VIC" w:eastAsia="Verdana" w:hAnsi="VIC"/>
                <w:color w:val="000000"/>
                <w:sz w:val="18"/>
                <w:szCs w:val="18"/>
              </w:rPr>
              <w:t>27 %</w:t>
            </w:r>
          </w:p>
        </w:tc>
        <w:tc>
          <w:tcPr>
            <w:tcW w:w="1090" w:type="dxa"/>
            <w:shd w:val="clear" w:color="auto" w:fill="FFFFFF" w:themeFill="background1"/>
          </w:tcPr>
          <w:p w14:paraId="6B3F4655" w14:textId="7852B0D2" w:rsidR="00847E82" w:rsidRPr="005B1FEF" w:rsidRDefault="00847E82" w:rsidP="00847E82">
            <w:pPr>
              <w:jc w:val="center"/>
              <w:rPr>
                <w:rFonts w:ascii="VIC" w:hAnsi="VIC"/>
                <w:sz w:val="18"/>
                <w:szCs w:val="18"/>
              </w:rPr>
            </w:pPr>
            <w:r w:rsidRPr="00427725">
              <w:rPr>
                <w:rFonts w:ascii="VIC" w:eastAsia="Verdana" w:hAnsi="VIC"/>
                <w:color w:val="000000"/>
                <w:sz w:val="18"/>
                <w:szCs w:val="18"/>
              </w:rPr>
              <w:t>18.5</w:t>
            </w:r>
          </w:p>
        </w:tc>
        <w:tc>
          <w:tcPr>
            <w:tcW w:w="1090" w:type="dxa"/>
            <w:shd w:val="clear" w:color="auto" w:fill="FFFFFF" w:themeFill="background1"/>
          </w:tcPr>
          <w:p w14:paraId="757A28E8" w14:textId="175662F3" w:rsidR="00847E82" w:rsidRPr="005B1FEF" w:rsidRDefault="00847E82" w:rsidP="00847E82">
            <w:pPr>
              <w:jc w:val="center"/>
              <w:rPr>
                <w:rFonts w:ascii="VIC" w:hAnsi="VIC"/>
                <w:sz w:val="18"/>
                <w:szCs w:val="18"/>
              </w:rPr>
            </w:pPr>
            <w:r w:rsidRPr="00427725">
              <w:rPr>
                <w:rFonts w:ascii="VIC" w:eastAsia="Verdana" w:hAnsi="VIC"/>
                <w:color w:val="000000"/>
                <w:sz w:val="18"/>
                <w:szCs w:val="18"/>
              </w:rPr>
              <w:t>23 %</w:t>
            </w:r>
          </w:p>
        </w:tc>
        <w:tc>
          <w:tcPr>
            <w:tcW w:w="1090" w:type="dxa"/>
            <w:shd w:val="clear" w:color="auto" w:fill="FFFFFF" w:themeFill="background1"/>
          </w:tcPr>
          <w:p w14:paraId="6A803A33" w14:textId="681EC517" w:rsidR="00847E82" w:rsidRPr="005B1FEF" w:rsidRDefault="00847E82" w:rsidP="00847E82">
            <w:pPr>
              <w:jc w:val="center"/>
              <w:rPr>
                <w:rFonts w:ascii="VIC" w:hAnsi="VIC"/>
                <w:sz w:val="18"/>
                <w:szCs w:val="18"/>
              </w:rPr>
            </w:pPr>
            <w:r w:rsidRPr="00427725">
              <w:rPr>
                <w:rFonts w:ascii="VIC" w:eastAsia="Verdana" w:hAnsi="VIC"/>
                <w:color w:val="000000"/>
                <w:sz w:val="18"/>
                <w:szCs w:val="18"/>
              </w:rPr>
              <w:t>16.3</w:t>
            </w:r>
          </w:p>
        </w:tc>
        <w:tc>
          <w:tcPr>
            <w:tcW w:w="1090" w:type="dxa"/>
            <w:shd w:val="clear" w:color="auto" w:fill="FFFFFF" w:themeFill="background1"/>
          </w:tcPr>
          <w:p w14:paraId="5445A259" w14:textId="7F7BE1C3"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0E7218C9" w14:textId="4E90F0F2"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7EF9C4D2" w14:textId="29785E8A"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FFFFFF" w:themeFill="background1"/>
          </w:tcPr>
          <w:p w14:paraId="4A2D9270" w14:textId="09CF99D2" w:rsidR="00847E82" w:rsidRPr="005B1FEF" w:rsidRDefault="00847E82" w:rsidP="00847E82">
            <w:pPr>
              <w:jc w:val="center"/>
              <w:rPr>
                <w:rFonts w:ascii="VIC" w:hAnsi="VIC"/>
                <w:sz w:val="18"/>
                <w:szCs w:val="18"/>
              </w:rPr>
            </w:pPr>
            <w:r w:rsidRPr="00427725">
              <w:rPr>
                <w:rFonts w:ascii="VIC" w:eastAsia="Verdana" w:hAnsi="VIC"/>
                <w:color w:val="000000"/>
                <w:sz w:val="18"/>
                <w:szCs w:val="18"/>
              </w:rPr>
              <w:t>14.8</w:t>
            </w:r>
          </w:p>
        </w:tc>
      </w:tr>
      <w:tr w:rsidR="00847E82" w:rsidRPr="00A6366B" w14:paraId="6E4A7E2E" w14:textId="77777777" w:rsidTr="00A17C7C">
        <w:trPr>
          <w:trHeight w:val="284"/>
        </w:trPr>
        <w:tc>
          <w:tcPr>
            <w:tcW w:w="1570" w:type="dxa"/>
            <w:vMerge/>
            <w:shd w:val="clear" w:color="auto" w:fill="FFFFFF" w:themeFill="background1"/>
          </w:tcPr>
          <w:p w14:paraId="26374387"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FFFFFF" w:themeFill="background1"/>
          </w:tcPr>
          <w:p w14:paraId="3126552E"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FFFFFF" w:themeFill="background1"/>
          </w:tcPr>
          <w:p w14:paraId="269E95F6" w14:textId="271EB5CB" w:rsidR="00847E82" w:rsidRPr="005B1FEF" w:rsidRDefault="00847E82" w:rsidP="00847E82">
            <w:pPr>
              <w:rPr>
                <w:rFonts w:ascii="VIC" w:hAnsi="VIC"/>
                <w:sz w:val="18"/>
                <w:szCs w:val="18"/>
              </w:rPr>
            </w:pPr>
            <w:r w:rsidRPr="00427725">
              <w:rPr>
                <w:rFonts w:ascii="VIC" w:eastAsia="Verdana" w:hAnsi="VIC"/>
                <w:color w:val="000000"/>
                <w:sz w:val="18"/>
                <w:szCs w:val="18"/>
              </w:rPr>
              <w:t>Peninsula PARC, Youth (18-25)</w:t>
            </w:r>
          </w:p>
        </w:tc>
        <w:tc>
          <w:tcPr>
            <w:tcW w:w="1090" w:type="dxa"/>
            <w:shd w:val="clear" w:color="auto" w:fill="FFFFFF" w:themeFill="background1"/>
          </w:tcPr>
          <w:p w14:paraId="2CEBC673" w14:textId="6030E2EB"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0" w:type="dxa"/>
            <w:shd w:val="clear" w:color="auto" w:fill="FFFFFF" w:themeFill="background1"/>
          </w:tcPr>
          <w:p w14:paraId="6C28F993" w14:textId="4E7E37B9" w:rsidR="00847E82" w:rsidRPr="005B1FEF" w:rsidRDefault="00847E82" w:rsidP="00847E82">
            <w:pPr>
              <w:jc w:val="center"/>
              <w:rPr>
                <w:rFonts w:ascii="VIC" w:hAnsi="VIC"/>
                <w:sz w:val="18"/>
                <w:szCs w:val="18"/>
              </w:rPr>
            </w:pPr>
            <w:r w:rsidRPr="00427725">
              <w:rPr>
                <w:rFonts w:ascii="VIC" w:eastAsia="Verdana" w:hAnsi="VIC"/>
                <w:color w:val="000000"/>
                <w:sz w:val="18"/>
                <w:szCs w:val="18"/>
              </w:rPr>
              <w:t>20.4</w:t>
            </w:r>
          </w:p>
        </w:tc>
        <w:tc>
          <w:tcPr>
            <w:tcW w:w="1090" w:type="dxa"/>
            <w:shd w:val="clear" w:color="auto" w:fill="FFFFFF" w:themeFill="background1"/>
          </w:tcPr>
          <w:p w14:paraId="7AFB6766" w14:textId="5B2C92B1" w:rsidR="00847E82" w:rsidRPr="005B1FEF" w:rsidRDefault="00847E82" w:rsidP="00847E82">
            <w:pPr>
              <w:jc w:val="center"/>
              <w:rPr>
                <w:rFonts w:ascii="VIC" w:hAnsi="VIC"/>
                <w:sz w:val="18"/>
                <w:szCs w:val="18"/>
              </w:rPr>
            </w:pPr>
            <w:r w:rsidRPr="00427725">
              <w:rPr>
                <w:rFonts w:ascii="VIC" w:eastAsia="Verdana" w:hAnsi="VIC"/>
                <w:color w:val="000000"/>
                <w:sz w:val="18"/>
                <w:szCs w:val="18"/>
              </w:rPr>
              <w:t>23 %</w:t>
            </w:r>
          </w:p>
        </w:tc>
        <w:tc>
          <w:tcPr>
            <w:tcW w:w="1090" w:type="dxa"/>
            <w:shd w:val="clear" w:color="auto" w:fill="FFFFFF" w:themeFill="background1"/>
          </w:tcPr>
          <w:p w14:paraId="19BA9C95" w14:textId="58046C03" w:rsidR="00847E82" w:rsidRPr="005B1FEF" w:rsidRDefault="00847E82" w:rsidP="00847E82">
            <w:pPr>
              <w:jc w:val="center"/>
              <w:rPr>
                <w:rFonts w:ascii="VIC" w:hAnsi="VIC"/>
                <w:sz w:val="18"/>
                <w:szCs w:val="18"/>
              </w:rPr>
            </w:pPr>
            <w:r w:rsidRPr="00427725">
              <w:rPr>
                <w:rFonts w:ascii="VIC" w:eastAsia="Verdana" w:hAnsi="VIC"/>
                <w:color w:val="000000"/>
                <w:sz w:val="18"/>
                <w:szCs w:val="18"/>
              </w:rPr>
              <w:t>16.7</w:t>
            </w:r>
          </w:p>
        </w:tc>
        <w:tc>
          <w:tcPr>
            <w:tcW w:w="1090" w:type="dxa"/>
            <w:shd w:val="clear" w:color="auto" w:fill="FFFFFF" w:themeFill="background1"/>
          </w:tcPr>
          <w:p w14:paraId="2715C298" w14:textId="3CB09584"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FFFFFF" w:themeFill="background1"/>
          </w:tcPr>
          <w:p w14:paraId="08D6F91E" w14:textId="5D64CE68"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FFFFFF" w:themeFill="background1"/>
          </w:tcPr>
          <w:p w14:paraId="663FA274" w14:textId="7F4F435E"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1" w:type="dxa"/>
            <w:shd w:val="clear" w:color="auto" w:fill="FFFFFF" w:themeFill="background1"/>
          </w:tcPr>
          <w:p w14:paraId="3A1FBAB5" w14:textId="1ED87A51" w:rsidR="00847E82" w:rsidRPr="005B1FEF" w:rsidRDefault="00847E82" w:rsidP="00847E82">
            <w:pPr>
              <w:jc w:val="center"/>
              <w:rPr>
                <w:rFonts w:ascii="VIC" w:hAnsi="VIC"/>
                <w:sz w:val="18"/>
                <w:szCs w:val="18"/>
              </w:rPr>
            </w:pPr>
            <w:r w:rsidRPr="00427725">
              <w:rPr>
                <w:rFonts w:ascii="VIC" w:eastAsia="Verdana" w:hAnsi="VIC"/>
                <w:color w:val="000000"/>
                <w:sz w:val="18"/>
                <w:szCs w:val="18"/>
              </w:rPr>
              <w:t>18.0</w:t>
            </w:r>
          </w:p>
        </w:tc>
      </w:tr>
      <w:tr w:rsidR="00847E82" w:rsidRPr="00A6366B" w14:paraId="26E5C1C9" w14:textId="77777777" w:rsidTr="00A17C7C">
        <w:trPr>
          <w:trHeight w:val="284"/>
        </w:trPr>
        <w:tc>
          <w:tcPr>
            <w:tcW w:w="1570" w:type="dxa"/>
            <w:vMerge/>
            <w:shd w:val="clear" w:color="auto" w:fill="FFFFFF" w:themeFill="background1"/>
          </w:tcPr>
          <w:p w14:paraId="520D38CF"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FFFFFF" w:themeFill="background1"/>
          </w:tcPr>
          <w:p w14:paraId="604942BA"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FFFFFF" w:themeFill="background1"/>
          </w:tcPr>
          <w:p w14:paraId="7591B820" w14:textId="343969A0" w:rsidR="00847E82" w:rsidRPr="005B1FEF"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FFFFFF" w:themeFill="background1"/>
          </w:tcPr>
          <w:p w14:paraId="7251ACAB" w14:textId="1995E197" w:rsidR="00847E82" w:rsidRPr="005B1FEF" w:rsidRDefault="00847E82" w:rsidP="00847E82">
            <w:pPr>
              <w:jc w:val="center"/>
              <w:rPr>
                <w:rFonts w:ascii="VIC" w:hAnsi="VIC"/>
                <w:sz w:val="18"/>
                <w:szCs w:val="18"/>
              </w:rPr>
            </w:pPr>
            <w:r w:rsidRPr="00427725">
              <w:rPr>
                <w:rFonts w:ascii="VIC" w:eastAsia="Verdana" w:hAnsi="VIC"/>
                <w:color w:val="000000"/>
                <w:sz w:val="18"/>
                <w:szCs w:val="18"/>
              </w:rPr>
              <w:t>80 %</w:t>
            </w:r>
          </w:p>
        </w:tc>
        <w:tc>
          <w:tcPr>
            <w:tcW w:w="1090" w:type="dxa"/>
            <w:shd w:val="clear" w:color="auto" w:fill="FFFFFF" w:themeFill="background1"/>
          </w:tcPr>
          <w:p w14:paraId="4259FE81" w14:textId="25FC15C1" w:rsidR="00847E82" w:rsidRPr="005B1FEF" w:rsidRDefault="00847E82" w:rsidP="00847E82">
            <w:pPr>
              <w:jc w:val="center"/>
              <w:rPr>
                <w:rFonts w:ascii="VIC" w:hAnsi="VIC"/>
                <w:sz w:val="18"/>
                <w:szCs w:val="18"/>
              </w:rPr>
            </w:pPr>
            <w:r w:rsidRPr="00427725">
              <w:rPr>
                <w:rFonts w:ascii="VIC" w:eastAsia="Verdana" w:hAnsi="VIC"/>
                <w:color w:val="000000"/>
                <w:sz w:val="18"/>
                <w:szCs w:val="18"/>
              </w:rPr>
              <w:t>19.6</w:t>
            </w:r>
          </w:p>
        </w:tc>
        <w:tc>
          <w:tcPr>
            <w:tcW w:w="1090" w:type="dxa"/>
            <w:shd w:val="clear" w:color="auto" w:fill="FFFFFF" w:themeFill="background1"/>
          </w:tcPr>
          <w:p w14:paraId="11856160" w14:textId="52DB53EB"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c>
          <w:tcPr>
            <w:tcW w:w="1090" w:type="dxa"/>
            <w:shd w:val="clear" w:color="auto" w:fill="FFFFFF" w:themeFill="background1"/>
          </w:tcPr>
          <w:p w14:paraId="44F5506E" w14:textId="432F5129" w:rsidR="00847E82" w:rsidRPr="005B1FEF" w:rsidRDefault="00847E82" w:rsidP="00847E82">
            <w:pPr>
              <w:jc w:val="center"/>
              <w:rPr>
                <w:rFonts w:ascii="VIC" w:hAnsi="VIC"/>
                <w:sz w:val="18"/>
                <w:szCs w:val="18"/>
              </w:rPr>
            </w:pPr>
            <w:r w:rsidRPr="00427725">
              <w:rPr>
                <w:rFonts w:ascii="VIC" w:eastAsia="Verdana" w:hAnsi="VIC"/>
                <w:color w:val="000000"/>
                <w:sz w:val="18"/>
                <w:szCs w:val="18"/>
              </w:rPr>
              <w:t>17.2</w:t>
            </w:r>
          </w:p>
        </w:tc>
        <w:tc>
          <w:tcPr>
            <w:tcW w:w="1090" w:type="dxa"/>
            <w:shd w:val="clear" w:color="auto" w:fill="FFFFFF" w:themeFill="background1"/>
          </w:tcPr>
          <w:p w14:paraId="121B5A6A" w14:textId="0949763A"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FFFFFF" w:themeFill="background1"/>
          </w:tcPr>
          <w:p w14:paraId="3E684ECD" w14:textId="62494ADC"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FFFFFF" w:themeFill="background1"/>
          </w:tcPr>
          <w:p w14:paraId="16FAFC42" w14:textId="30C9D82D" w:rsidR="00847E82" w:rsidRPr="005B1FEF" w:rsidRDefault="00847E82" w:rsidP="00847E82">
            <w:pPr>
              <w:jc w:val="center"/>
              <w:rPr>
                <w:rFonts w:ascii="VIC" w:hAnsi="VIC"/>
                <w:sz w:val="18"/>
                <w:szCs w:val="18"/>
              </w:rPr>
            </w:pPr>
            <w:r w:rsidRPr="00427725">
              <w:rPr>
                <w:rFonts w:ascii="VIC" w:eastAsia="Verdana" w:hAnsi="VIC"/>
                <w:color w:val="000000"/>
                <w:sz w:val="18"/>
                <w:szCs w:val="18"/>
              </w:rPr>
              <w:t>98 %</w:t>
            </w:r>
          </w:p>
        </w:tc>
        <w:tc>
          <w:tcPr>
            <w:tcW w:w="1091" w:type="dxa"/>
            <w:shd w:val="clear" w:color="auto" w:fill="FFFFFF" w:themeFill="background1"/>
          </w:tcPr>
          <w:p w14:paraId="42A3F473" w14:textId="4A7712A9" w:rsidR="00847E82" w:rsidRPr="005B1FEF" w:rsidRDefault="00847E82" w:rsidP="00847E82">
            <w:pPr>
              <w:jc w:val="center"/>
              <w:rPr>
                <w:rFonts w:ascii="VIC" w:hAnsi="VIC"/>
                <w:sz w:val="18"/>
                <w:szCs w:val="18"/>
              </w:rPr>
            </w:pPr>
            <w:r w:rsidRPr="00427725">
              <w:rPr>
                <w:rFonts w:ascii="VIC" w:eastAsia="Verdana" w:hAnsi="VIC"/>
                <w:color w:val="000000"/>
                <w:sz w:val="18"/>
                <w:szCs w:val="18"/>
              </w:rPr>
              <w:t>15.4</w:t>
            </w:r>
          </w:p>
        </w:tc>
      </w:tr>
      <w:tr w:rsidR="00847E82" w:rsidRPr="00A6366B" w14:paraId="00F0B8D3" w14:textId="77777777" w:rsidTr="00257865">
        <w:trPr>
          <w:trHeight w:val="284"/>
        </w:trPr>
        <w:tc>
          <w:tcPr>
            <w:tcW w:w="1570" w:type="dxa"/>
            <w:shd w:val="clear" w:color="auto" w:fill="BFCED6"/>
          </w:tcPr>
          <w:p w14:paraId="6D753866" w14:textId="6F2758F3"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St Vincent's Hospital</w:t>
            </w:r>
          </w:p>
        </w:tc>
        <w:tc>
          <w:tcPr>
            <w:tcW w:w="2410" w:type="dxa"/>
            <w:shd w:val="clear" w:color="auto" w:fill="BFCED6"/>
          </w:tcPr>
          <w:p w14:paraId="45019245" w14:textId="4BC79923"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Inner East (St Vincent's)</w:t>
            </w:r>
          </w:p>
        </w:tc>
        <w:tc>
          <w:tcPr>
            <w:tcW w:w="2833" w:type="dxa"/>
            <w:shd w:val="clear" w:color="auto" w:fill="BFCED6"/>
          </w:tcPr>
          <w:p w14:paraId="68554C96" w14:textId="237DCBEC" w:rsidR="00847E82" w:rsidRPr="005B1FEF" w:rsidRDefault="00847E82" w:rsidP="00847E82">
            <w:pPr>
              <w:rPr>
                <w:rFonts w:ascii="VIC" w:hAnsi="VIC"/>
                <w:sz w:val="18"/>
                <w:szCs w:val="18"/>
              </w:rPr>
            </w:pPr>
            <w:r w:rsidRPr="00427725">
              <w:rPr>
                <w:rFonts w:ascii="VIC" w:eastAsia="Verdana" w:hAnsi="VIC"/>
                <w:color w:val="000000"/>
                <w:sz w:val="18"/>
                <w:szCs w:val="18"/>
              </w:rPr>
              <w:t>St Vincent's PARC</w:t>
            </w:r>
          </w:p>
        </w:tc>
        <w:tc>
          <w:tcPr>
            <w:tcW w:w="1090" w:type="dxa"/>
            <w:shd w:val="clear" w:color="auto" w:fill="BFCED6"/>
          </w:tcPr>
          <w:p w14:paraId="2B68096F" w14:textId="2C04EC03"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090" w:type="dxa"/>
            <w:shd w:val="clear" w:color="auto" w:fill="BFCED6"/>
          </w:tcPr>
          <w:p w14:paraId="513EB33A" w14:textId="53DEE94F" w:rsidR="00847E82" w:rsidRPr="005B1FEF" w:rsidRDefault="00847E82" w:rsidP="00847E82">
            <w:pPr>
              <w:jc w:val="center"/>
              <w:rPr>
                <w:rFonts w:ascii="VIC" w:hAnsi="VIC"/>
                <w:sz w:val="18"/>
                <w:szCs w:val="18"/>
              </w:rPr>
            </w:pPr>
            <w:r w:rsidRPr="00427725">
              <w:rPr>
                <w:rFonts w:ascii="VIC" w:eastAsia="Verdana" w:hAnsi="VIC"/>
                <w:color w:val="000000"/>
                <w:sz w:val="18"/>
                <w:szCs w:val="18"/>
              </w:rPr>
              <w:t>19.6</w:t>
            </w:r>
          </w:p>
        </w:tc>
        <w:tc>
          <w:tcPr>
            <w:tcW w:w="1090" w:type="dxa"/>
            <w:shd w:val="clear" w:color="auto" w:fill="BFCED6"/>
          </w:tcPr>
          <w:p w14:paraId="6D6E91FB" w14:textId="29A95AB6" w:rsidR="00847E82" w:rsidRPr="005B1FEF" w:rsidRDefault="00847E82" w:rsidP="00847E82">
            <w:pPr>
              <w:jc w:val="center"/>
              <w:rPr>
                <w:rFonts w:ascii="VIC" w:hAnsi="VIC"/>
                <w:sz w:val="18"/>
                <w:szCs w:val="18"/>
              </w:rPr>
            </w:pPr>
            <w:r w:rsidRPr="00427725">
              <w:rPr>
                <w:rFonts w:ascii="VIC" w:eastAsia="Verdana" w:hAnsi="VIC"/>
                <w:color w:val="000000"/>
                <w:sz w:val="18"/>
                <w:szCs w:val="18"/>
              </w:rPr>
              <w:t>18 %</w:t>
            </w:r>
          </w:p>
        </w:tc>
        <w:tc>
          <w:tcPr>
            <w:tcW w:w="1090" w:type="dxa"/>
            <w:shd w:val="clear" w:color="auto" w:fill="BFCED6"/>
          </w:tcPr>
          <w:p w14:paraId="45E34930" w14:textId="6109B7E1" w:rsidR="00847E82" w:rsidRPr="005B1FEF" w:rsidRDefault="00847E82" w:rsidP="00847E82">
            <w:pPr>
              <w:jc w:val="center"/>
              <w:rPr>
                <w:rFonts w:ascii="VIC" w:hAnsi="VIC"/>
                <w:sz w:val="18"/>
                <w:szCs w:val="18"/>
              </w:rPr>
            </w:pPr>
            <w:r w:rsidRPr="00427725">
              <w:rPr>
                <w:rFonts w:ascii="VIC" w:eastAsia="Verdana" w:hAnsi="VIC"/>
                <w:color w:val="000000"/>
                <w:sz w:val="18"/>
                <w:szCs w:val="18"/>
              </w:rPr>
              <w:t>19.2</w:t>
            </w:r>
          </w:p>
        </w:tc>
        <w:tc>
          <w:tcPr>
            <w:tcW w:w="1090" w:type="dxa"/>
            <w:shd w:val="clear" w:color="auto" w:fill="BFCED6"/>
          </w:tcPr>
          <w:p w14:paraId="3B7B8BC8" w14:textId="4CE022AE"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0DAE4D3A" w14:textId="4D9F5549"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2893C268" w14:textId="7497B6D2"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091" w:type="dxa"/>
            <w:shd w:val="clear" w:color="auto" w:fill="BFCED6"/>
          </w:tcPr>
          <w:p w14:paraId="72D56E2D" w14:textId="7B4D864E" w:rsidR="00847E82" w:rsidRPr="005B1FEF" w:rsidRDefault="00847E82" w:rsidP="00847E82">
            <w:pPr>
              <w:jc w:val="center"/>
              <w:rPr>
                <w:rFonts w:ascii="VIC" w:hAnsi="VIC"/>
                <w:sz w:val="18"/>
                <w:szCs w:val="18"/>
              </w:rPr>
            </w:pPr>
            <w:r w:rsidRPr="00427725">
              <w:rPr>
                <w:rFonts w:ascii="VIC" w:eastAsia="Verdana" w:hAnsi="VIC"/>
                <w:color w:val="000000"/>
                <w:sz w:val="18"/>
                <w:szCs w:val="18"/>
              </w:rPr>
              <w:t>17.9</w:t>
            </w:r>
          </w:p>
        </w:tc>
      </w:tr>
      <w:tr w:rsidR="00847E82" w:rsidRPr="00A6366B" w14:paraId="01DDC31B" w14:textId="77777777" w:rsidTr="00257865">
        <w:trPr>
          <w:trHeight w:val="284"/>
        </w:trPr>
        <w:tc>
          <w:tcPr>
            <w:tcW w:w="1570" w:type="dxa"/>
            <w:shd w:val="clear" w:color="auto" w:fill="FFFFFF" w:themeFill="background1"/>
          </w:tcPr>
          <w:p w14:paraId="40A1A097" w14:textId="2076435E"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Mercy Health</w:t>
            </w:r>
          </w:p>
        </w:tc>
        <w:tc>
          <w:tcPr>
            <w:tcW w:w="2410" w:type="dxa"/>
            <w:shd w:val="clear" w:color="auto" w:fill="FFFFFF" w:themeFill="background1"/>
          </w:tcPr>
          <w:p w14:paraId="139AA99C" w14:textId="3AD5DFF5"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South West (Werribee)</w:t>
            </w:r>
          </w:p>
        </w:tc>
        <w:tc>
          <w:tcPr>
            <w:tcW w:w="2833" w:type="dxa"/>
            <w:shd w:val="clear" w:color="auto" w:fill="FFFFFF" w:themeFill="background1"/>
          </w:tcPr>
          <w:p w14:paraId="2F69769A" w14:textId="4DAAF355" w:rsidR="00847E82" w:rsidRPr="005B1FEF" w:rsidRDefault="00847E82" w:rsidP="00847E82">
            <w:pPr>
              <w:rPr>
                <w:rFonts w:ascii="VIC" w:hAnsi="VIC"/>
                <w:sz w:val="18"/>
                <w:szCs w:val="18"/>
              </w:rPr>
            </w:pPr>
            <w:r w:rsidRPr="00427725">
              <w:rPr>
                <w:rFonts w:ascii="VIC" w:eastAsia="Verdana" w:hAnsi="VIC"/>
                <w:color w:val="000000"/>
                <w:sz w:val="18"/>
                <w:szCs w:val="18"/>
              </w:rPr>
              <w:t>Werribee PARC</w:t>
            </w:r>
          </w:p>
        </w:tc>
        <w:tc>
          <w:tcPr>
            <w:tcW w:w="1090" w:type="dxa"/>
            <w:shd w:val="clear" w:color="auto" w:fill="FFFFFF" w:themeFill="background1"/>
          </w:tcPr>
          <w:p w14:paraId="7BF7BCDF" w14:textId="3245ED4E" w:rsidR="00847E82" w:rsidRPr="005B1FEF" w:rsidRDefault="00847E82" w:rsidP="00847E82">
            <w:pPr>
              <w:jc w:val="center"/>
              <w:rPr>
                <w:rFonts w:ascii="VIC" w:hAnsi="VIC"/>
                <w:sz w:val="18"/>
                <w:szCs w:val="18"/>
              </w:rPr>
            </w:pPr>
            <w:r w:rsidRPr="00427725">
              <w:rPr>
                <w:rFonts w:ascii="VIC" w:eastAsia="Verdana" w:hAnsi="VIC"/>
                <w:color w:val="000000"/>
                <w:sz w:val="18"/>
                <w:szCs w:val="18"/>
              </w:rPr>
              <w:t>89 %</w:t>
            </w:r>
          </w:p>
        </w:tc>
        <w:tc>
          <w:tcPr>
            <w:tcW w:w="1090" w:type="dxa"/>
            <w:shd w:val="clear" w:color="auto" w:fill="FFFFFF" w:themeFill="background1"/>
          </w:tcPr>
          <w:p w14:paraId="6A15A96D" w14:textId="3FAD929E" w:rsidR="00847E82" w:rsidRPr="005B1FEF" w:rsidRDefault="00847E82" w:rsidP="00847E82">
            <w:pPr>
              <w:jc w:val="center"/>
              <w:rPr>
                <w:rFonts w:ascii="VIC" w:hAnsi="VIC"/>
                <w:sz w:val="18"/>
                <w:szCs w:val="18"/>
              </w:rPr>
            </w:pPr>
            <w:r w:rsidRPr="00427725">
              <w:rPr>
                <w:rFonts w:ascii="VIC" w:eastAsia="Verdana" w:hAnsi="VIC"/>
                <w:color w:val="000000"/>
                <w:sz w:val="18"/>
                <w:szCs w:val="18"/>
              </w:rPr>
              <w:t>23.9</w:t>
            </w:r>
          </w:p>
        </w:tc>
        <w:tc>
          <w:tcPr>
            <w:tcW w:w="1090" w:type="dxa"/>
            <w:shd w:val="clear" w:color="auto" w:fill="FFFFFF" w:themeFill="background1"/>
          </w:tcPr>
          <w:p w14:paraId="5C11A286" w14:textId="00DE839B"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2B94C60C" w14:textId="736B7A5E" w:rsidR="00847E82" w:rsidRPr="005B1FEF" w:rsidRDefault="00847E82" w:rsidP="00847E82">
            <w:pPr>
              <w:jc w:val="center"/>
              <w:rPr>
                <w:rFonts w:ascii="VIC" w:hAnsi="VIC"/>
                <w:sz w:val="18"/>
                <w:szCs w:val="18"/>
              </w:rPr>
            </w:pPr>
            <w:r w:rsidRPr="00427725">
              <w:rPr>
                <w:rFonts w:ascii="VIC" w:eastAsia="Verdana" w:hAnsi="VIC"/>
                <w:color w:val="000000"/>
                <w:sz w:val="18"/>
                <w:szCs w:val="18"/>
              </w:rPr>
              <w:t>23.0</w:t>
            </w:r>
          </w:p>
        </w:tc>
        <w:tc>
          <w:tcPr>
            <w:tcW w:w="1090" w:type="dxa"/>
            <w:shd w:val="clear" w:color="auto" w:fill="FFFFFF" w:themeFill="background1"/>
          </w:tcPr>
          <w:p w14:paraId="057E8C43" w14:textId="7D4256AA"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FFFFFF" w:themeFill="background1"/>
          </w:tcPr>
          <w:p w14:paraId="62D787E8" w14:textId="7503C080"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FFFFFF" w:themeFill="background1"/>
          </w:tcPr>
          <w:p w14:paraId="5D38EA0B" w14:textId="2BFCDB5F"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FFFFFF" w:themeFill="background1"/>
          </w:tcPr>
          <w:p w14:paraId="0185B783" w14:textId="1E78A281" w:rsidR="00847E82" w:rsidRPr="005B1FEF" w:rsidRDefault="00847E82" w:rsidP="00847E82">
            <w:pPr>
              <w:jc w:val="center"/>
              <w:rPr>
                <w:rFonts w:ascii="VIC" w:hAnsi="VIC"/>
                <w:sz w:val="18"/>
                <w:szCs w:val="18"/>
              </w:rPr>
            </w:pPr>
            <w:r w:rsidRPr="00427725">
              <w:rPr>
                <w:rFonts w:ascii="VIC" w:eastAsia="Verdana" w:hAnsi="VIC"/>
                <w:color w:val="000000"/>
                <w:sz w:val="18"/>
                <w:szCs w:val="18"/>
              </w:rPr>
              <w:t>9.0</w:t>
            </w:r>
          </w:p>
        </w:tc>
      </w:tr>
      <w:tr w:rsidR="00847E82" w:rsidRPr="00847E82" w14:paraId="61D74D0B" w14:textId="77777777" w:rsidTr="00257865">
        <w:trPr>
          <w:trHeight w:val="284"/>
        </w:trPr>
        <w:tc>
          <w:tcPr>
            <w:tcW w:w="1570" w:type="dxa"/>
            <w:shd w:val="clear" w:color="auto" w:fill="B1C9E8"/>
          </w:tcPr>
          <w:p w14:paraId="5DF3BEE2" w14:textId="16541AB2"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METRO</w:t>
            </w:r>
          </w:p>
        </w:tc>
        <w:tc>
          <w:tcPr>
            <w:tcW w:w="2410" w:type="dxa"/>
            <w:shd w:val="clear" w:color="auto" w:fill="B1C9E8"/>
          </w:tcPr>
          <w:p w14:paraId="6AEED8D7" w14:textId="57BA8B27"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2833" w:type="dxa"/>
            <w:shd w:val="clear" w:color="auto" w:fill="B1C9E8"/>
          </w:tcPr>
          <w:p w14:paraId="6801A0CC" w14:textId="06A1C82B" w:rsidR="00847E82" w:rsidRPr="00847E82" w:rsidRDefault="00847E82" w:rsidP="00847E82">
            <w:pPr>
              <w:rPr>
                <w:rFonts w:ascii="VIC" w:hAnsi="VIC"/>
                <w:color w:val="000000" w:themeColor="text1"/>
                <w:sz w:val="18"/>
                <w:szCs w:val="18"/>
              </w:rPr>
            </w:pPr>
            <w:r w:rsidRPr="00847E82">
              <w:rPr>
                <w:rFonts w:ascii="VIC" w:eastAsia="Verdana" w:hAnsi="VIC"/>
                <w:color w:val="000000" w:themeColor="text1"/>
                <w:sz w:val="18"/>
                <w:szCs w:val="18"/>
              </w:rPr>
              <w:t xml:space="preserve"> </w:t>
            </w:r>
          </w:p>
        </w:tc>
        <w:tc>
          <w:tcPr>
            <w:tcW w:w="1090" w:type="dxa"/>
            <w:shd w:val="clear" w:color="auto" w:fill="B1C9E8"/>
          </w:tcPr>
          <w:p w14:paraId="21829325" w14:textId="0788D8B7"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77 %</w:t>
            </w:r>
          </w:p>
        </w:tc>
        <w:tc>
          <w:tcPr>
            <w:tcW w:w="1090" w:type="dxa"/>
            <w:shd w:val="clear" w:color="auto" w:fill="B1C9E8"/>
          </w:tcPr>
          <w:p w14:paraId="2953AE89" w14:textId="27EE95B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21.0</w:t>
            </w:r>
          </w:p>
        </w:tc>
        <w:tc>
          <w:tcPr>
            <w:tcW w:w="1090" w:type="dxa"/>
            <w:shd w:val="clear" w:color="auto" w:fill="B1C9E8"/>
          </w:tcPr>
          <w:p w14:paraId="0A5B8B2D" w14:textId="06F2278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4 %</w:t>
            </w:r>
          </w:p>
        </w:tc>
        <w:tc>
          <w:tcPr>
            <w:tcW w:w="1090" w:type="dxa"/>
            <w:shd w:val="clear" w:color="auto" w:fill="B1C9E8"/>
          </w:tcPr>
          <w:p w14:paraId="74F6E2CF" w14:textId="12E45485"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24.8</w:t>
            </w:r>
          </w:p>
        </w:tc>
        <w:tc>
          <w:tcPr>
            <w:tcW w:w="1090" w:type="dxa"/>
            <w:shd w:val="clear" w:color="auto" w:fill="B1C9E8"/>
          </w:tcPr>
          <w:p w14:paraId="3E681882" w14:textId="5C8B354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8 %</w:t>
            </w:r>
          </w:p>
        </w:tc>
        <w:tc>
          <w:tcPr>
            <w:tcW w:w="1090" w:type="dxa"/>
            <w:shd w:val="clear" w:color="auto" w:fill="B1C9E8"/>
          </w:tcPr>
          <w:p w14:paraId="3A811010" w14:textId="6388B3A5"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12 %</w:t>
            </w:r>
          </w:p>
        </w:tc>
        <w:tc>
          <w:tcPr>
            <w:tcW w:w="1090" w:type="dxa"/>
            <w:shd w:val="clear" w:color="auto" w:fill="B1C9E8"/>
          </w:tcPr>
          <w:p w14:paraId="6690F450" w14:textId="0E60B7A2"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93 %</w:t>
            </w:r>
          </w:p>
        </w:tc>
        <w:tc>
          <w:tcPr>
            <w:tcW w:w="1091" w:type="dxa"/>
            <w:shd w:val="clear" w:color="auto" w:fill="B1C9E8"/>
          </w:tcPr>
          <w:p w14:paraId="045211AE" w14:textId="2F716A8A"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14.0</w:t>
            </w:r>
          </w:p>
        </w:tc>
      </w:tr>
      <w:tr w:rsidR="00847E82" w:rsidRPr="008D13A2" w14:paraId="05984D72" w14:textId="77777777" w:rsidTr="00257865">
        <w:trPr>
          <w:trHeight w:val="284"/>
        </w:trPr>
        <w:tc>
          <w:tcPr>
            <w:tcW w:w="1570" w:type="dxa"/>
            <w:shd w:val="clear" w:color="auto" w:fill="244C5A"/>
          </w:tcPr>
          <w:p w14:paraId="21627F3E" w14:textId="7F991F91"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410" w:type="dxa"/>
            <w:shd w:val="clear" w:color="auto" w:fill="244C5A"/>
          </w:tcPr>
          <w:p w14:paraId="5AB83EE5" w14:textId="7C30BF23"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2833" w:type="dxa"/>
            <w:shd w:val="clear" w:color="auto" w:fill="244C5A"/>
          </w:tcPr>
          <w:p w14:paraId="6951BB12" w14:textId="2633A75C" w:rsidR="00847E82" w:rsidRPr="008D13A2" w:rsidRDefault="00847E82" w:rsidP="00847E82">
            <w:pPr>
              <w:rPr>
                <w:rFonts w:ascii="VIC" w:hAnsi="VIC"/>
                <w:color w:val="FFFFFF" w:themeColor="background1"/>
                <w:sz w:val="18"/>
                <w:szCs w:val="18"/>
              </w:rPr>
            </w:pPr>
            <w:r w:rsidRPr="00427725">
              <w:rPr>
                <w:rFonts w:ascii="VIC" w:eastAsia="Verdana" w:hAnsi="VIC"/>
                <w:color w:val="FFFFFF"/>
                <w:sz w:val="18"/>
                <w:szCs w:val="18"/>
              </w:rPr>
              <w:t xml:space="preserve"> </w:t>
            </w:r>
          </w:p>
        </w:tc>
        <w:tc>
          <w:tcPr>
            <w:tcW w:w="1090" w:type="dxa"/>
            <w:shd w:val="clear" w:color="auto" w:fill="244C5A"/>
          </w:tcPr>
          <w:p w14:paraId="7F82803F" w14:textId="26A83430"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78 %</w:t>
            </w:r>
          </w:p>
        </w:tc>
        <w:tc>
          <w:tcPr>
            <w:tcW w:w="1090" w:type="dxa"/>
            <w:shd w:val="clear" w:color="auto" w:fill="244C5A"/>
          </w:tcPr>
          <w:p w14:paraId="4C7EE181" w14:textId="1DE6DF05"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20.1</w:t>
            </w:r>
          </w:p>
        </w:tc>
        <w:tc>
          <w:tcPr>
            <w:tcW w:w="1090" w:type="dxa"/>
            <w:shd w:val="clear" w:color="auto" w:fill="244C5A"/>
          </w:tcPr>
          <w:p w14:paraId="3A9DEC01" w14:textId="3D068487"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4 %</w:t>
            </w:r>
          </w:p>
        </w:tc>
        <w:tc>
          <w:tcPr>
            <w:tcW w:w="1090" w:type="dxa"/>
            <w:shd w:val="clear" w:color="auto" w:fill="244C5A"/>
          </w:tcPr>
          <w:p w14:paraId="5773A98B" w14:textId="3E17145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24.7</w:t>
            </w:r>
          </w:p>
        </w:tc>
        <w:tc>
          <w:tcPr>
            <w:tcW w:w="1090" w:type="dxa"/>
            <w:shd w:val="clear" w:color="auto" w:fill="244C5A"/>
          </w:tcPr>
          <w:p w14:paraId="0B3C28C5" w14:textId="167463FD"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8 %</w:t>
            </w:r>
          </w:p>
        </w:tc>
        <w:tc>
          <w:tcPr>
            <w:tcW w:w="1090" w:type="dxa"/>
            <w:shd w:val="clear" w:color="auto" w:fill="244C5A"/>
          </w:tcPr>
          <w:p w14:paraId="1DF4B6EE" w14:textId="0A2CA998"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11 %</w:t>
            </w:r>
          </w:p>
        </w:tc>
        <w:tc>
          <w:tcPr>
            <w:tcW w:w="1090" w:type="dxa"/>
            <w:shd w:val="clear" w:color="auto" w:fill="244C5A"/>
          </w:tcPr>
          <w:p w14:paraId="3CFDA9CB" w14:textId="6E72E70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91 %</w:t>
            </w:r>
          </w:p>
        </w:tc>
        <w:tc>
          <w:tcPr>
            <w:tcW w:w="1091" w:type="dxa"/>
            <w:shd w:val="clear" w:color="auto" w:fill="244C5A"/>
          </w:tcPr>
          <w:p w14:paraId="501A8620" w14:textId="491634A9"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14.1</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4DD6888B" w:rsidR="00C00109" w:rsidRPr="00EC71A3" w:rsidRDefault="00C00109" w:rsidP="00C00109">
            <w:pPr>
              <w:pStyle w:val="Heading1"/>
              <w:spacing w:before="0" w:line="240" w:lineRule="auto"/>
              <w:rPr>
                <w:rFonts w:eastAsia="Verdana"/>
                <w:bCs w:val="0"/>
                <w:color w:val="244C5A"/>
                <w:sz w:val="22"/>
              </w:rPr>
            </w:pPr>
            <w:bookmarkStart w:id="11" w:name="_Toc37867223"/>
            <w:r>
              <w:rPr>
                <w:bCs w:val="0"/>
                <w:color w:val="244C5A"/>
                <w:sz w:val="22"/>
              </w:rPr>
              <w:t>Rural PARC</w:t>
            </w:r>
            <w:r w:rsidRPr="00EC71A3">
              <w:rPr>
                <w:bCs w:val="0"/>
                <w:color w:val="244C5A"/>
                <w:sz w:val="22"/>
              </w:rPr>
              <w:br w:type="textWrapping" w:clear="all"/>
            </w:r>
            <w:r w:rsidR="005406C4">
              <w:rPr>
                <w:bCs w:val="0"/>
                <w:color w:val="244C5A"/>
                <w:sz w:val="22"/>
              </w:rPr>
              <w:t>2019–20 Q</w:t>
            </w:r>
            <w:r w:rsidR="0056356A">
              <w:rPr>
                <w:bCs w:val="0"/>
                <w:color w:val="244C5A"/>
                <w:sz w:val="22"/>
              </w:rPr>
              <w:t>3</w:t>
            </w:r>
            <w:bookmarkEnd w:id="11"/>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847E82" w:rsidRPr="00A6366B" w14:paraId="0953BCE6" w14:textId="77777777" w:rsidTr="00C00109">
        <w:trPr>
          <w:trHeight w:val="284"/>
        </w:trPr>
        <w:tc>
          <w:tcPr>
            <w:tcW w:w="1570" w:type="dxa"/>
            <w:shd w:val="clear" w:color="auto" w:fill="BFCED6"/>
          </w:tcPr>
          <w:p w14:paraId="394AF33E" w14:textId="0784D46B" w:rsidR="00847E82" w:rsidRPr="00C15426"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 Health</w:t>
            </w:r>
          </w:p>
        </w:tc>
        <w:tc>
          <w:tcPr>
            <w:tcW w:w="2410" w:type="dxa"/>
            <w:shd w:val="clear" w:color="auto" w:fill="BFCED6"/>
          </w:tcPr>
          <w:p w14:paraId="0B626A51" w14:textId="5E4370DA" w:rsidR="00847E82" w:rsidRPr="00C15426"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w:t>
            </w:r>
          </w:p>
        </w:tc>
        <w:tc>
          <w:tcPr>
            <w:tcW w:w="2833" w:type="dxa"/>
            <w:shd w:val="clear" w:color="auto" w:fill="BFCED6"/>
          </w:tcPr>
          <w:p w14:paraId="59956244" w14:textId="1D5699A3" w:rsidR="00847E82" w:rsidRPr="00C15426" w:rsidRDefault="00847E82" w:rsidP="00847E82">
            <w:pPr>
              <w:rPr>
                <w:rFonts w:ascii="VIC" w:hAnsi="VIC"/>
                <w:sz w:val="18"/>
                <w:szCs w:val="18"/>
              </w:rPr>
            </w:pPr>
            <w:r w:rsidRPr="00427725">
              <w:rPr>
                <w:rFonts w:ascii="VIC" w:eastAsia="Verdana" w:hAnsi="VIC"/>
                <w:color w:val="000000"/>
                <w:sz w:val="18"/>
                <w:szCs w:val="18"/>
              </w:rPr>
              <w:t>Barwon PARC</w:t>
            </w:r>
          </w:p>
        </w:tc>
        <w:tc>
          <w:tcPr>
            <w:tcW w:w="1090" w:type="dxa"/>
            <w:shd w:val="clear" w:color="auto" w:fill="BFCED6"/>
          </w:tcPr>
          <w:p w14:paraId="52E7B76C" w14:textId="1E50BD69" w:rsidR="00847E82" w:rsidRPr="00C15426" w:rsidRDefault="00847E82" w:rsidP="00847E82">
            <w:pPr>
              <w:jc w:val="center"/>
              <w:rPr>
                <w:rFonts w:ascii="VIC" w:hAnsi="VIC"/>
                <w:sz w:val="18"/>
                <w:szCs w:val="18"/>
              </w:rPr>
            </w:pPr>
            <w:r w:rsidRPr="00427725">
              <w:rPr>
                <w:rFonts w:ascii="VIC" w:eastAsia="Verdana" w:hAnsi="VIC"/>
                <w:color w:val="000000"/>
                <w:sz w:val="18"/>
                <w:szCs w:val="18"/>
              </w:rPr>
              <w:t>79 %</w:t>
            </w:r>
          </w:p>
        </w:tc>
        <w:tc>
          <w:tcPr>
            <w:tcW w:w="1090" w:type="dxa"/>
            <w:shd w:val="clear" w:color="auto" w:fill="BFCED6"/>
          </w:tcPr>
          <w:p w14:paraId="1E749995" w14:textId="1A7F2BA8" w:rsidR="00847E82" w:rsidRPr="00C15426" w:rsidRDefault="00847E82" w:rsidP="00847E82">
            <w:pPr>
              <w:jc w:val="center"/>
              <w:rPr>
                <w:rFonts w:ascii="VIC" w:hAnsi="VIC"/>
                <w:sz w:val="18"/>
                <w:szCs w:val="18"/>
              </w:rPr>
            </w:pPr>
            <w:r w:rsidRPr="00427725">
              <w:rPr>
                <w:rFonts w:ascii="VIC" w:eastAsia="Verdana" w:hAnsi="VIC"/>
                <w:color w:val="000000"/>
                <w:sz w:val="18"/>
                <w:szCs w:val="18"/>
              </w:rPr>
              <w:t>14.4</w:t>
            </w:r>
          </w:p>
        </w:tc>
        <w:tc>
          <w:tcPr>
            <w:tcW w:w="1090" w:type="dxa"/>
            <w:shd w:val="clear" w:color="auto" w:fill="BFCED6"/>
          </w:tcPr>
          <w:p w14:paraId="7A349974" w14:textId="1BBA7C96" w:rsidR="00847E82" w:rsidRPr="00C15426"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4EEFFD69" w14:textId="5C4A54F1" w:rsidR="00847E82" w:rsidRPr="00C15426" w:rsidRDefault="00847E82" w:rsidP="00847E82">
            <w:pPr>
              <w:jc w:val="center"/>
              <w:rPr>
                <w:rFonts w:ascii="VIC" w:hAnsi="VIC"/>
                <w:sz w:val="18"/>
                <w:szCs w:val="18"/>
              </w:rPr>
            </w:pPr>
            <w:r w:rsidRPr="00427725">
              <w:rPr>
                <w:rFonts w:ascii="VIC" w:eastAsia="Verdana" w:hAnsi="VIC"/>
                <w:color w:val="000000"/>
                <w:sz w:val="18"/>
                <w:szCs w:val="18"/>
              </w:rPr>
              <w:t>17.0</w:t>
            </w:r>
          </w:p>
        </w:tc>
        <w:tc>
          <w:tcPr>
            <w:tcW w:w="1090" w:type="dxa"/>
            <w:shd w:val="clear" w:color="auto" w:fill="BFCED6"/>
          </w:tcPr>
          <w:p w14:paraId="67D9922A" w14:textId="2AA98236" w:rsidR="00847E82" w:rsidRPr="00C15426"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20C93A1D" w14:textId="43F5113B" w:rsidR="00847E82" w:rsidRPr="00C15426"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62C730BE" w14:textId="2BA2E671" w:rsidR="00847E82" w:rsidRPr="00C15426"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0EA5CA6F" w14:textId="236F4702" w:rsidR="00847E82" w:rsidRPr="00C15426" w:rsidRDefault="00847E82" w:rsidP="00847E82">
            <w:pPr>
              <w:jc w:val="center"/>
              <w:rPr>
                <w:rFonts w:ascii="VIC" w:hAnsi="VIC"/>
                <w:sz w:val="18"/>
                <w:szCs w:val="18"/>
              </w:rPr>
            </w:pPr>
            <w:r w:rsidRPr="00427725">
              <w:rPr>
                <w:rFonts w:ascii="VIC" w:eastAsia="Verdana" w:hAnsi="VIC"/>
                <w:color w:val="000000"/>
                <w:sz w:val="18"/>
                <w:szCs w:val="18"/>
              </w:rPr>
              <w:t>14.0</w:t>
            </w:r>
          </w:p>
        </w:tc>
      </w:tr>
      <w:tr w:rsidR="00847E82" w:rsidRPr="00A6366B" w14:paraId="65E49EEB" w14:textId="77777777" w:rsidTr="00C00109">
        <w:trPr>
          <w:trHeight w:val="284"/>
        </w:trPr>
        <w:tc>
          <w:tcPr>
            <w:tcW w:w="1570" w:type="dxa"/>
            <w:vMerge w:val="restart"/>
            <w:shd w:val="clear" w:color="auto" w:fill="BFCED6"/>
          </w:tcPr>
          <w:p w14:paraId="4D9D0FC2" w14:textId="51326911" w:rsidR="00847E82" w:rsidRPr="00C15426" w:rsidRDefault="00847E82" w:rsidP="00847E82">
            <w:pPr>
              <w:rPr>
                <w:rFonts w:ascii="VIC" w:hAnsi="VIC"/>
                <w:sz w:val="18"/>
                <w:szCs w:val="18"/>
              </w:rPr>
            </w:pPr>
            <w:r w:rsidRPr="00427725">
              <w:rPr>
                <w:rFonts w:ascii="VIC" w:eastAsia="Verdana" w:hAnsi="VIC"/>
                <w:color w:val="000000"/>
                <w:sz w:val="18"/>
                <w:szCs w:val="18"/>
              </w:rPr>
              <w:t>Bendigo Health</w:t>
            </w:r>
          </w:p>
        </w:tc>
        <w:tc>
          <w:tcPr>
            <w:tcW w:w="2410" w:type="dxa"/>
            <w:shd w:val="clear" w:color="auto" w:fill="BFCED6"/>
          </w:tcPr>
          <w:p w14:paraId="1D727605" w14:textId="0B80807C" w:rsidR="00847E82" w:rsidRPr="00C15426"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Loddon/Southern Mallee</w:t>
            </w:r>
          </w:p>
        </w:tc>
        <w:tc>
          <w:tcPr>
            <w:tcW w:w="2833" w:type="dxa"/>
            <w:shd w:val="clear" w:color="auto" w:fill="BFCED6"/>
          </w:tcPr>
          <w:p w14:paraId="4B2670E9" w14:textId="02DCF3F9" w:rsidR="00847E82" w:rsidRPr="00C15426" w:rsidRDefault="00847E82" w:rsidP="00847E82">
            <w:pPr>
              <w:rPr>
                <w:rFonts w:ascii="VIC" w:hAnsi="VIC"/>
                <w:sz w:val="18"/>
                <w:szCs w:val="18"/>
              </w:rPr>
            </w:pPr>
            <w:r w:rsidRPr="00427725">
              <w:rPr>
                <w:rFonts w:ascii="VIC" w:eastAsia="Verdana" w:hAnsi="VIC"/>
                <w:color w:val="000000"/>
                <w:sz w:val="18"/>
                <w:szCs w:val="18"/>
              </w:rPr>
              <w:t>Bendigo PARC</w:t>
            </w:r>
          </w:p>
        </w:tc>
        <w:tc>
          <w:tcPr>
            <w:tcW w:w="1090" w:type="dxa"/>
            <w:shd w:val="clear" w:color="auto" w:fill="BFCED6"/>
          </w:tcPr>
          <w:p w14:paraId="1CC68558" w14:textId="71884DC7" w:rsidR="00847E82" w:rsidRPr="00C15426" w:rsidRDefault="00847E82" w:rsidP="00847E82">
            <w:pPr>
              <w:jc w:val="center"/>
              <w:rPr>
                <w:rFonts w:ascii="VIC" w:hAnsi="VIC"/>
                <w:sz w:val="18"/>
                <w:szCs w:val="18"/>
              </w:rPr>
            </w:pPr>
            <w:r w:rsidRPr="00427725">
              <w:rPr>
                <w:rFonts w:ascii="VIC" w:eastAsia="Verdana" w:hAnsi="VIC"/>
                <w:color w:val="000000"/>
                <w:sz w:val="18"/>
                <w:szCs w:val="18"/>
              </w:rPr>
              <w:t>77 %</w:t>
            </w:r>
          </w:p>
        </w:tc>
        <w:tc>
          <w:tcPr>
            <w:tcW w:w="1090" w:type="dxa"/>
            <w:shd w:val="clear" w:color="auto" w:fill="BFCED6"/>
          </w:tcPr>
          <w:p w14:paraId="06F64DA0" w14:textId="151CBF96" w:rsidR="00847E82" w:rsidRPr="00C15426" w:rsidRDefault="00847E82" w:rsidP="00847E82">
            <w:pPr>
              <w:jc w:val="center"/>
              <w:rPr>
                <w:rFonts w:ascii="VIC" w:hAnsi="VIC"/>
                <w:sz w:val="18"/>
                <w:szCs w:val="18"/>
              </w:rPr>
            </w:pPr>
            <w:r w:rsidRPr="00427725">
              <w:rPr>
                <w:rFonts w:ascii="VIC" w:eastAsia="Verdana" w:hAnsi="VIC"/>
                <w:color w:val="000000"/>
                <w:sz w:val="18"/>
                <w:szCs w:val="18"/>
              </w:rPr>
              <w:t>14.4</w:t>
            </w:r>
          </w:p>
        </w:tc>
        <w:tc>
          <w:tcPr>
            <w:tcW w:w="1090" w:type="dxa"/>
            <w:shd w:val="clear" w:color="auto" w:fill="BFCED6"/>
          </w:tcPr>
          <w:p w14:paraId="320C9FA2" w14:textId="0AEEA474"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2954DFA5" w14:textId="0027AA25" w:rsidR="00847E82" w:rsidRPr="00C15426" w:rsidRDefault="00847E82" w:rsidP="00847E82">
            <w:pPr>
              <w:jc w:val="center"/>
              <w:rPr>
                <w:rFonts w:ascii="VIC" w:hAnsi="VIC"/>
                <w:sz w:val="18"/>
                <w:szCs w:val="18"/>
              </w:rPr>
            </w:pPr>
            <w:r w:rsidRPr="00427725">
              <w:rPr>
                <w:rFonts w:ascii="VIC" w:eastAsia="Verdana" w:hAnsi="VIC"/>
                <w:color w:val="000000"/>
                <w:sz w:val="18"/>
                <w:szCs w:val="18"/>
              </w:rPr>
              <w:t>14.3</w:t>
            </w:r>
          </w:p>
        </w:tc>
        <w:tc>
          <w:tcPr>
            <w:tcW w:w="1090" w:type="dxa"/>
            <w:shd w:val="clear" w:color="auto" w:fill="BFCED6"/>
          </w:tcPr>
          <w:p w14:paraId="381495F5" w14:textId="0CB7032B" w:rsidR="00847E82" w:rsidRPr="00C15426"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08C9A9C1" w14:textId="6401452A" w:rsidR="00847E82" w:rsidRPr="00C15426"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BFCED6"/>
          </w:tcPr>
          <w:p w14:paraId="3B820B1C" w14:textId="1FC73B7C" w:rsidR="00847E82" w:rsidRPr="00C15426" w:rsidRDefault="00847E82" w:rsidP="00847E82">
            <w:pPr>
              <w:jc w:val="center"/>
              <w:rPr>
                <w:rFonts w:ascii="VIC" w:hAnsi="VIC"/>
                <w:sz w:val="18"/>
                <w:szCs w:val="18"/>
              </w:rPr>
            </w:pPr>
            <w:r w:rsidRPr="00427725">
              <w:rPr>
                <w:rFonts w:ascii="VIC" w:eastAsia="Verdana" w:hAnsi="VIC"/>
                <w:color w:val="000000"/>
                <w:sz w:val="18"/>
                <w:szCs w:val="18"/>
              </w:rPr>
              <w:t>86 %</w:t>
            </w:r>
          </w:p>
        </w:tc>
        <w:tc>
          <w:tcPr>
            <w:tcW w:w="1091" w:type="dxa"/>
            <w:shd w:val="clear" w:color="auto" w:fill="BFCED6"/>
          </w:tcPr>
          <w:p w14:paraId="06F0FB48" w14:textId="3941C96E" w:rsidR="00847E82" w:rsidRPr="00C15426" w:rsidRDefault="00847E82" w:rsidP="00847E82">
            <w:pPr>
              <w:jc w:val="center"/>
              <w:rPr>
                <w:rFonts w:ascii="VIC" w:hAnsi="VIC"/>
                <w:sz w:val="18"/>
                <w:szCs w:val="18"/>
              </w:rPr>
            </w:pPr>
            <w:r w:rsidRPr="00427725">
              <w:rPr>
                <w:rFonts w:ascii="VIC" w:eastAsia="Verdana" w:hAnsi="VIC"/>
                <w:color w:val="000000"/>
                <w:sz w:val="18"/>
                <w:szCs w:val="18"/>
              </w:rPr>
              <w:t>17.0</w:t>
            </w:r>
          </w:p>
        </w:tc>
      </w:tr>
      <w:tr w:rsidR="00847E82" w:rsidRPr="00A6366B" w14:paraId="5627B73F" w14:textId="77777777" w:rsidTr="00A17C7C">
        <w:trPr>
          <w:trHeight w:val="284"/>
        </w:trPr>
        <w:tc>
          <w:tcPr>
            <w:tcW w:w="1570" w:type="dxa"/>
            <w:vMerge/>
            <w:shd w:val="clear" w:color="auto" w:fill="BFCED6"/>
          </w:tcPr>
          <w:p w14:paraId="0EB18C32" w14:textId="77777777" w:rsidR="00847E82" w:rsidRPr="00C15426" w:rsidRDefault="00847E82" w:rsidP="00847E82">
            <w:pPr>
              <w:pStyle w:val="DHHStabletext"/>
              <w:spacing w:before="0" w:after="0"/>
              <w:rPr>
                <w:rFonts w:ascii="VIC" w:hAnsi="VIC"/>
                <w:sz w:val="18"/>
                <w:szCs w:val="18"/>
              </w:rPr>
            </w:pPr>
          </w:p>
        </w:tc>
        <w:tc>
          <w:tcPr>
            <w:tcW w:w="2410" w:type="dxa"/>
            <w:shd w:val="clear" w:color="auto" w:fill="BFCED6"/>
          </w:tcPr>
          <w:p w14:paraId="4C5C0014" w14:textId="77777777" w:rsidR="00847E82" w:rsidRPr="00C15426" w:rsidRDefault="00847E82" w:rsidP="00847E82">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4DA26EF4" w:rsidR="00847E82" w:rsidRPr="00C15426" w:rsidRDefault="00847E82" w:rsidP="00847E82">
            <w:pPr>
              <w:rPr>
                <w:rFonts w:ascii="VIC" w:hAnsi="VIC"/>
                <w:sz w:val="18"/>
                <w:szCs w:val="18"/>
              </w:rPr>
            </w:pPr>
            <w:r w:rsidRPr="00427725">
              <w:rPr>
                <w:rFonts w:ascii="VIC" w:eastAsia="Verdana" w:hAnsi="VIC"/>
                <w:color w:val="000000"/>
                <w:sz w:val="18"/>
                <w:szCs w:val="18"/>
              </w:rPr>
              <w:t>Bendigo Youth PARC*</w:t>
            </w:r>
          </w:p>
        </w:tc>
        <w:tc>
          <w:tcPr>
            <w:tcW w:w="1090" w:type="dxa"/>
            <w:shd w:val="clear" w:color="auto" w:fill="BFCED6"/>
          </w:tcPr>
          <w:p w14:paraId="29C0786E" w14:textId="6B8761AD" w:rsidR="00847E82" w:rsidRPr="00C15426" w:rsidRDefault="00847E82" w:rsidP="00847E82">
            <w:pPr>
              <w:jc w:val="center"/>
              <w:rPr>
                <w:rFonts w:ascii="VIC" w:hAnsi="VIC"/>
                <w:sz w:val="18"/>
                <w:szCs w:val="18"/>
              </w:rPr>
            </w:pPr>
            <w:r w:rsidRPr="00427725">
              <w:rPr>
                <w:rFonts w:ascii="VIC" w:eastAsia="Verdana" w:hAnsi="VIC"/>
                <w:color w:val="000000"/>
                <w:sz w:val="18"/>
                <w:szCs w:val="18"/>
              </w:rPr>
              <w:t>80 %</w:t>
            </w:r>
          </w:p>
        </w:tc>
        <w:tc>
          <w:tcPr>
            <w:tcW w:w="1090" w:type="dxa"/>
            <w:shd w:val="clear" w:color="auto" w:fill="BFCED6"/>
          </w:tcPr>
          <w:p w14:paraId="57D8EB1A" w14:textId="43BB1E49" w:rsidR="00847E82" w:rsidRPr="00C15426" w:rsidRDefault="00847E82" w:rsidP="00847E82">
            <w:pPr>
              <w:jc w:val="center"/>
              <w:rPr>
                <w:rFonts w:ascii="VIC" w:hAnsi="VIC"/>
                <w:sz w:val="18"/>
                <w:szCs w:val="18"/>
              </w:rPr>
            </w:pPr>
            <w:r w:rsidRPr="00427725">
              <w:rPr>
                <w:rFonts w:ascii="VIC" w:eastAsia="Verdana" w:hAnsi="VIC"/>
                <w:color w:val="000000"/>
                <w:sz w:val="18"/>
                <w:szCs w:val="18"/>
              </w:rPr>
              <w:t>15.4</w:t>
            </w:r>
          </w:p>
        </w:tc>
        <w:tc>
          <w:tcPr>
            <w:tcW w:w="1090" w:type="dxa"/>
            <w:shd w:val="clear" w:color="auto" w:fill="BFCED6"/>
          </w:tcPr>
          <w:p w14:paraId="37C0334D" w14:textId="7C85BAD8"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637CF3E0" w14:textId="315DF8FD" w:rsidR="00847E82" w:rsidRPr="00C15426" w:rsidRDefault="00847E82" w:rsidP="00847E82">
            <w:pPr>
              <w:jc w:val="center"/>
              <w:rPr>
                <w:rFonts w:ascii="VIC" w:hAnsi="VIC"/>
                <w:sz w:val="18"/>
                <w:szCs w:val="18"/>
              </w:rPr>
            </w:pPr>
            <w:r w:rsidRPr="00427725">
              <w:rPr>
                <w:rFonts w:ascii="VIC" w:eastAsia="Verdana" w:hAnsi="VIC"/>
                <w:color w:val="000000"/>
                <w:sz w:val="18"/>
                <w:szCs w:val="18"/>
              </w:rPr>
              <w:t>15.1</w:t>
            </w:r>
          </w:p>
        </w:tc>
        <w:tc>
          <w:tcPr>
            <w:tcW w:w="1090" w:type="dxa"/>
            <w:shd w:val="clear" w:color="auto" w:fill="BFCED6"/>
          </w:tcPr>
          <w:p w14:paraId="4BA4CF96" w14:textId="7D25D9F3" w:rsidR="00847E82" w:rsidRPr="00C15426"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BFCED6"/>
          </w:tcPr>
          <w:p w14:paraId="0CBC86F6" w14:textId="30272987"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37923A33" w14:textId="6970E965" w:rsidR="00847E82" w:rsidRPr="00C15426"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1" w:type="dxa"/>
            <w:shd w:val="clear" w:color="auto" w:fill="BFCED6"/>
          </w:tcPr>
          <w:p w14:paraId="7FCF7E28" w14:textId="2BB6C13A" w:rsidR="00847E82" w:rsidRPr="00C15426" w:rsidRDefault="00847E82" w:rsidP="00847E82">
            <w:pPr>
              <w:jc w:val="center"/>
              <w:rPr>
                <w:rFonts w:ascii="VIC" w:hAnsi="VIC"/>
                <w:sz w:val="18"/>
                <w:szCs w:val="18"/>
              </w:rPr>
            </w:pPr>
            <w:r w:rsidRPr="00427725">
              <w:rPr>
                <w:rFonts w:ascii="VIC" w:eastAsia="Verdana" w:hAnsi="VIC"/>
                <w:color w:val="000000"/>
                <w:sz w:val="18"/>
                <w:szCs w:val="18"/>
              </w:rPr>
              <w:t>16.9</w:t>
            </w:r>
          </w:p>
        </w:tc>
      </w:tr>
      <w:tr w:rsidR="00847E82" w:rsidRPr="00A6366B" w14:paraId="0D0F3E5B" w14:textId="77777777" w:rsidTr="00A17C7C">
        <w:trPr>
          <w:trHeight w:val="284"/>
        </w:trPr>
        <w:tc>
          <w:tcPr>
            <w:tcW w:w="1570" w:type="dxa"/>
            <w:vMerge/>
            <w:shd w:val="clear" w:color="auto" w:fill="BFCED6"/>
          </w:tcPr>
          <w:p w14:paraId="4CADC952" w14:textId="77777777" w:rsidR="00847E82" w:rsidRPr="00C15426" w:rsidRDefault="00847E82" w:rsidP="00847E82">
            <w:pPr>
              <w:pStyle w:val="DHHStabletext"/>
              <w:spacing w:before="0" w:after="0"/>
              <w:rPr>
                <w:rFonts w:ascii="VIC" w:hAnsi="VIC"/>
                <w:sz w:val="18"/>
                <w:szCs w:val="18"/>
              </w:rPr>
            </w:pPr>
          </w:p>
        </w:tc>
        <w:tc>
          <w:tcPr>
            <w:tcW w:w="2410" w:type="dxa"/>
            <w:shd w:val="clear" w:color="auto" w:fill="BFCED6"/>
          </w:tcPr>
          <w:p w14:paraId="42113C09" w14:textId="77777777" w:rsidR="00847E82" w:rsidRPr="00C15426" w:rsidRDefault="00847E82" w:rsidP="00847E82">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604BC067" w:rsidR="00847E82" w:rsidRPr="00C15426"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BFCED6"/>
          </w:tcPr>
          <w:p w14:paraId="66A871F7" w14:textId="55212907" w:rsidR="00847E82" w:rsidRPr="00C15426" w:rsidRDefault="00847E82" w:rsidP="00847E82">
            <w:pPr>
              <w:jc w:val="center"/>
              <w:rPr>
                <w:rFonts w:ascii="VIC" w:hAnsi="VIC"/>
                <w:sz w:val="18"/>
                <w:szCs w:val="18"/>
              </w:rPr>
            </w:pPr>
            <w:r w:rsidRPr="00427725">
              <w:rPr>
                <w:rFonts w:ascii="VIC" w:eastAsia="Verdana" w:hAnsi="VIC"/>
                <w:color w:val="000000"/>
                <w:sz w:val="18"/>
                <w:szCs w:val="18"/>
              </w:rPr>
              <w:t>78 %</w:t>
            </w:r>
          </w:p>
        </w:tc>
        <w:tc>
          <w:tcPr>
            <w:tcW w:w="1090" w:type="dxa"/>
            <w:shd w:val="clear" w:color="auto" w:fill="BFCED6"/>
          </w:tcPr>
          <w:p w14:paraId="6728F342" w14:textId="742FC3D0" w:rsidR="00847E82" w:rsidRPr="00C15426" w:rsidRDefault="00847E82" w:rsidP="00847E82">
            <w:pPr>
              <w:jc w:val="center"/>
              <w:rPr>
                <w:rFonts w:ascii="VIC" w:hAnsi="VIC"/>
                <w:sz w:val="18"/>
                <w:szCs w:val="18"/>
              </w:rPr>
            </w:pPr>
            <w:r w:rsidRPr="00427725">
              <w:rPr>
                <w:rFonts w:ascii="VIC" w:eastAsia="Verdana" w:hAnsi="VIC"/>
                <w:color w:val="000000"/>
                <w:sz w:val="18"/>
                <w:szCs w:val="18"/>
              </w:rPr>
              <w:t>14.9</w:t>
            </w:r>
          </w:p>
        </w:tc>
        <w:tc>
          <w:tcPr>
            <w:tcW w:w="1090" w:type="dxa"/>
            <w:shd w:val="clear" w:color="auto" w:fill="BFCED6"/>
          </w:tcPr>
          <w:p w14:paraId="290925B6" w14:textId="6777ED55"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5EF87ED2" w14:textId="7ED8CFEF" w:rsidR="00847E82" w:rsidRPr="00C15426" w:rsidRDefault="00847E82" w:rsidP="00847E82">
            <w:pPr>
              <w:jc w:val="center"/>
              <w:rPr>
                <w:rFonts w:ascii="VIC" w:hAnsi="VIC"/>
                <w:sz w:val="18"/>
                <w:szCs w:val="18"/>
              </w:rPr>
            </w:pPr>
            <w:r w:rsidRPr="00427725">
              <w:rPr>
                <w:rFonts w:ascii="VIC" w:eastAsia="Verdana" w:hAnsi="VIC"/>
                <w:color w:val="000000"/>
                <w:sz w:val="18"/>
                <w:szCs w:val="18"/>
              </w:rPr>
              <w:t>14.7</w:t>
            </w:r>
          </w:p>
        </w:tc>
        <w:tc>
          <w:tcPr>
            <w:tcW w:w="1090" w:type="dxa"/>
            <w:shd w:val="clear" w:color="auto" w:fill="BFCED6"/>
          </w:tcPr>
          <w:p w14:paraId="7E2637F8" w14:textId="5EADFFE7" w:rsidR="00847E82" w:rsidRPr="00C15426"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1B3E24B3" w14:textId="543F3954" w:rsidR="00847E82" w:rsidRPr="00C15426" w:rsidRDefault="00847E82" w:rsidP="00847E82">
            <w:pPr>
              <w:jc w:val="center"/>
              <w:rPr>
                <w:rFonts w:ascii="VIC" w:hAnsi="VIC"/>
                <w:sz w:val="18"/>
                <w:szCs w:val="18"/>
              </w:rPr>
            </w:pPr>
            <w:r w:rsidRPr="00427725">
              <w:rPr>
                <w:rFonts w:ascii="VIC" w:eastAsia="Verdana" w:hAnsi="VIC"/>
                <w:color w:val="000000"/>
                <w:sz w:val="18"/>
                <w:szCs w:val="18"/>
              </w:rPr>
              <w:t>2 %</w:t>
            </w:r>
          </w:p>
        </w:tc>
        <w:tc>
          <w:tcPr>
            <w:tcW w:w="1090" w:type="dxa"/>
            <w:shd w:val="clear" w:color="auto" w:fill="BFCED6"/>
          </w:tcPr>
          <w:p w14:paraId="3A12A764" w14:textId="18872163" w:rsidR="00847E82" w:rsidRPr="00C15426" w:rsidRDefault="00847E82" w:rsidP="00847E82">
            <w:pPr>
              <w:jc w:val="center"/>
              <w:rPr>
                <w:rFonts w:ascii="VIC" w:hAnsi="VIC"/>
                <w:sz w:val="18"/>
                <w:szCs w:val="18"/>
              </w:rPr>
            </w:pPr>
            <w:r w:rsidRPr="00427725">
              <w:rPr>
                <w:rFonts w:ascii="VIC" w:eastAsia="Verdana" w:hAnsi="VIC"/>
                <w:color w:val="000000"/>
                <w:sz w:val="18"/>
                <w:szCs w:val="18"/>
              </w:rPr>
              <w:t>90 %</w:t>
            </w:r>
          </w:p>
        </w:tc>
        <w:tc>
          <w:tcPr>
            <w:tcW w:w="1091" w:type="dxa"/>
            <w:shd w:val="clear" w:color="auto" w:fill="BFCED6"/>
          </w:tcPr>
          <w:p w14:paraId="78AC824A" w14:textId="13188C96" w:rsidR="00847E82" w:rsidRPr="00C15426" w:rsidRDefault="00847E82" w:rsidP="00847E82">
            <w:pPr>
              <w:jc w:val="center"/>
              <w:rPr>
                <w:rFonts w:ascii="VIC" w:hAnsi="VIC"/>
                <w:sz w:val="18"/>
                <w:szCs w:val="18"/>
              </w:rPr>
            </w:pPr>
            <w:r w:rsidRPr="00427725">
              <w:rPr>
                <w:rFonts w:ascii="VIC" w:eastAsia="Verdana" w:hAnsi="VIC"/>
                <w:color w:val="000000"/>
                <w:sz w:val="18"/>
                <w:szCs w:val="18"/>
              </w:rPr>
              <w:t>17.0</w:t>
            </w:r>
          </w:p>
        </w:tc>
      </w:tr>
      <w:tr w:rsidR="00847E82" w:rsidRPr="00A6366B" w14:paraId="6DB6B789" w14:textId="77777777" w:rsidTr="00C00109">
        <w:trPr>
          <w:trHeight w:val="284"/>
        </w:trPr>
        <w:tc>
          <w:tcPr>
            <w:tcW w:w="1570" w:type="dxa"/>
            <w:shd w:val="clear" w:color="auto" w:fill="FFFFFF" w:themeFill="background1"/>
          </w:tcPr>
          <w:p w14:paraId="1CD7EB13" w14:textId="453473A2"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Goulburn Valley Health</w:t>
            </w:r>
          </w:p>
        </w:tc>
        <w:tc>
          <w:tcPr>
            <w:tcW w:w="2410" w:type="dxa"/>
            <w:shd w:val="clear" w:color="auto" w:fill="FFFFFF" w:themeFill="background1"/>
          </w:tcPr>
          <w:p w14:paraId="2261EC5B" w14:textId="53968435"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Goulburn &amp; Southern</w:t>
            </w:r>
          </w:p>
        </w:tc>
        <w:tc>
          <w:tcPr>
            <w:tcW w:w="2833" w:type="dxa"/>
            <w:shd w:val="clear" w:color="auto" w:fill="FFFFFF" w:themeFill="background1"/>
          </w:tcPr>
          <w:p w14:paraId="21B5183B" w14:textId="47CE85F2" w:rsidR="00847E82" w:rsidRPr="00C15426" w:rsidRDefault="00847E82" w:rsidP="00847E82">
            <w:pPr>
              <w:rPr>
                <w:rFonts w:ascii="VIC" w:hAnsi="VIC"/>
                <w:sz w:val="18"/>
                <w:szCs w:val="18"/>
              </w:rPr>
            </w:pPr>
            <w:r w:rsidRPr="00427725">
              <w:rPr>
                <w:rFonts w:ascii="VIC" w:eastAsia="Verdana" w:hAnsi="VIC"/>
                <w:color w:val="000000"/>
                <w:sz w:val="18"/>
                <w:szCs w:val="18"/>
              </w:rPr>
              <w:t>Goulburn Valley MIF PARC</w:t>
            </w:r>
          </w:p>
        </w:tc>
        <w:tc>
          <w:tcPr>
            <w:tcW w:w="1090" w:type="dxa"/>
            <w:shd w:val="clear" w:color="auto" w:fill="FFFFFF" w:themeFill="background1"/>
          </w:tcPr>
          <w:p w14:paraId="3B6F599D" w14:textId="58F5775E" w:rsidR="00847E82" w:rsidRPr="00C15426" w:rsidRDefault="00847E82" w:rsidP="00847E82">
            <w:pPr>
              <w:jc w:val="center"/>
              <w:rPr>
                <w:rFonts w:ascii="VIC" w:hAnsi="VIC"/>
                <w:sz w:val="18"/>
                <w:szCs w:val="18"/>
              </w:rPr>
            </w:pPr>
            <w:r w:rsidRPr="00427725">
              <w:rPr>
                <w:rFonts w:ascii="VIC" w:eastAsia="Verdana" w:hAnsi="VIC"/>
                <w:color w:val="000000"/>
                <w:sz w:val="18"/>
                <w:szCs w:val="18"/>
              </w:rPr>
              <w:t>154 %</w:t>
            </w:r>
          </w:p>
        </w:tc>
        <w:tc>
          <w:tcPr>
            <w:tcW w:w="1090" w:type="dxa"/>
            <w:shd w:val="clear" w:color="auto" w:fill="FFFFFF" w:themeFill="background1"/>
          </w:tcPr>
          <w:p w14:paraId="39CDAF22" w14:textId="5BF144E9" w:rsidR="00847E82" w:rsidRPr="00C15426" w:rsidRDefault="00847E82" w:rsidP="00847E82">
            <w:pPr>
              <w:jc w:val="center"/>
              <w:rPr>
                <w:rFonts w:ascii="VIC" w:hAnsi="VIC"/>
                <w:sz w:val="18"/>
                <w:szCs w:val="18"/>
              </w:rPr>
            </w:pPr>
            <w:r w:rsidRPr="00427725">
              <w:rPr>
                <w:rFonts w:ascii="VIC" w:eastAsia="Verdana" w:hAnsi="VIC"/>
                <w:color w:val="000000"/>
                <w:sz w:val="18"/>
                <w:szCs w:val="18"/>
              </w:rPr>
              <w:t>18.5</w:t>
            </w:r>
          </w:p>
        </w:tc>
        <w:tc>
          <w:tcPr>
            <w:tcW w:w="1090" w:type="dxa"/>
            <w:shd w:val="clear" w:color="auto" w:fill="FFFFFF" w:themeFill="background1"/>
          </w:tcPr>
          <w:p w14:paraId="22C46FB0" w14:textId="51ED90D6"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64FD7F96" w14:textId="21DA34B1" w:rsidR="00847E82" w:rsidRPr="00C15426" w:rsidRDefault="00847E82" w:rsidP="00847E82">
            <w:pPr>
              <w:jc w:val="center"/>
              <w:rPr>
                <w:rFonts w:ascii="VIC" w:hAnsi="VIC"/>
                <w:sz w:val="18"/>
                <w:szCs w:val="18"/>
              </w:rPr>
            </w:pPr>
            <w:r w:rsidRPr="00427725">
              <w:rPr>
                <w:rFonts w:ascii="VIC" w:eastAsia="Verdana" w:hAnsi="VIC"/>
                <w:color w:val="000000"/>
                <w:sz w:val="18"/>
                <w:szCs w:val="18"/>
              </w:rPr>
              <w:t>59.0</w:t>
            </w:r>
          </w:p>
        </w:tc>
        <w:tc>
          <w:tcPr>
            <w:tcW w:w="1090" w:type="dxa"/>
            <w:shd w:val="clear" w:color="auto" w:fill="FFFFFF" w:themeFill="background1"/>
          </w:tcPr>
          <w:p w14:paraId="6C1496B9" w14:textId="4B2420B3" w:rsidR="00847E82" w:rsidRPr="00C15426" w:rsidRDefault="00847E82" w:rsidP="00847E82">
            <w:pPr>
              <w:jc w:val="center"/>
              <w:rPr>
                <w:rFonts w:ascii="VIC" w:hAnsi="VIC"/>
                <w:sz w:val="18"/>
                <w:szCs w:val="18"/>
              </w:rPr>
            </w:pPr>
            <w:r w:rsidRPr="00427725">
              <w:rPr>
                <w:rFonts w:ascii="VIC" w:eastAsia="Verdana" w:hAnsi="VIC"/>
                <w:color w:val="000000"/>
                <w:sz w:val="18"/>
                <w:szCs w:val="18"/>
              </w:rPr>
              <w:t>18 %</w:t>
            </w:r>
          </w:p>
        </w:tc>
        <w:tc>
          <w:tcPr>
            <w:tcW w:w="1090" w:type="dxa"/>
            <w:shd w:val="clear" w:color="auto" w:fill="FFFFFF" w:themeFill="background1"/>
          </w:tcPr>
          <w:p w14:paraId="6CE7335C" w14:textId="440747EC" w:rsidR="00847E82" w:rsidRPr="00C15426"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FFFFFF" w:themeFill="background1"/>
          </w:tcPr>
          <w:p w14:paraId="7CAA4FDF" w14:textId="665EFADB" w:rsidR="00847E82" w:rsidRPr="00C15426" w:rsidRDefault="00847E82" w:rsidP="00847E82">
            <w:pPr>
              <w:jc w:val="center"/>
              <w:rPr>
                <w:rFonts w:ascii="VIC" w:hAnsi="VIC"/>
                <w:sz w:val="18"/>
                <w:szCs w:val="18"/>
              </w:rPr>
            </w:pPr>
            <w:r w:rsidRPr="00427725">
              <w:rPr>
                <w:rFonts w:ascii="VIC" w:eastAsia="Verdana" w:hAnsi="VIC"/>
                <w:color w:val="000000"/>
                <w:sz w:val="18"/>
                <w:szCs w:val="18"/>
              </w:rPr>
              <w:t>82 %</w:t>
            </w:r>
          </w:p>
        </w:tc>
        <w:tc>
          <w:tcPr>
            <w:tcW w:w="1091" w:type="dxa"/>
            <w:shd w:val="clear" w:color="auto" w:fill="FFFFFF" w:themeFill="background1"/>
          </w:tcPr>
          <w:p w14:paraId="2CC71D2B" w14:textId="64CA8065" w:rsidR="00847E82" w:rsidRPr="00C15426" w:rsidRDefault="00847E82" w:rsidP="00847E82">
            <w:pPr>
              <w:jc w:val="center"/>
              <w:rPr>
                <w:rFonts w:ascii="VIC" w:hAnsi="VIC"/>
                <w:sz w:val="18"/>
                <w:szCs w:val="18"/>
              </w:rPr>
            </w:pPr>
            <w:r w:rsidRPr="00427725">
              <w:rPr>
                <w:rFonts w:ascii="VIC" w:eastAsia="Verdana" w:hAnsi="VIC"/>
                <w:color w:val="000000"/>
                <w:sz w:val="18"/>
                <w:szCs w:val="18"/>
              </w:rPr>
              <w:t>14.8</w:t>
            </w:r>
          </w:p>
        </w:tc>
      </w:tr>
      <w:tr w:rsidR="00847E82" w:rsidRPr="00A6366B" w14:paraId="7974344F" w14:textId="77777777" w:rsidTr="00C00109">
        <w:trPr>
          <w:trHeight w:val="284"/>
        </w:trPr>
        <w:tc>
          <w:tcPr>
            <w:tcW w:w="1570" w:type="dxa"/>
            <w:shd w:val="clear" w:color="auto" w:fill="BFCED6"/>
          </w:tcPr>
          <w:p w14:paraId="6E51F210" w14:textId="3F7FDB96"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Latrobe Regional</w:t>
            </w:r>
          </w:p>
        </w:tc>
        <w:tc>
          <w:tcPr>
            <w:tcW w:w="2410" w:type="dxa"/>
            <w:shd w:val="clear" w:color="auto" w:fill="BFCED6"/>
          </w:tcPr>
          <w:p w14:paraId="58C02FCB" w14:textId="5AFA5FBB"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Gippsland</w:t>
            </w:r>
          </w:p>
        </w:tc>
        <w:tc>
          <w:tcPr>
            <w:tcW w:w="2833" w:type="dxa"/>
            <w:shd w:val="clear" w:color="auto" w:fill="BFCED6"/>
          </w:tcPr>
          <w:p w14:paraId="5FF672CF" w14:textId="32B82D63" w:rsidR="00847E82" w:rsidRPr="00C15426" w:rsidRDefault="00847E82" w:rsidP="00847E82">
            <w:pPr>
              <w:rPr>
                <w:rFonts w:ascii="VIC" w:hAnsi="VIC"/>
                <w:sz w:val="18"/>
                <w:szCs w:val="18"/>
              </w:rPr>
            </w:pPr>
            <w:r w:rsidRPr="00427725">
              <w:rPr>
                <w:rFonts w:ascii="VIC" w:eastAsia="Verdana" w:hAnsi="VIC"/>
                <w:color w:val="000000"/>
                <w:sz w:val="18"/>
                <w:szCs w:val="18"/>
              </w:rPr>
              <w:t>PARCS - Prevention / Recovery Care Service</w:t>
            </w:r>
          </w:p>
        </w:tc>
        <w:tc>
          <w:tcPr>
            <w:tcW w:w="1090" w:type="dxa"/>
            <w:shd w:val="clear" w:color="auto" w:fill="BFCED6"/>
          </w:tcPr>
          <w:p w14:paraId="0C9F56E7" w14:textId="5EB1F5B2" w:rsidR="00847E82" w:rsidRPr="00C15426" w:rsidRDefault="00847E82" w:rsidP="00847E82">
            <w:pPr>
              <w:jc w:val="center"/>
              <w:rPr>
                <w:rFonts w:ascii="VIC" w:hAnsi="VIC"/>
                <w:sz w:val="18"/>
                <w:szCs w:val="18"/>
              </w:rPr>
            </w:pPr>
            <w:r w:rsidRPr="00427725">
              <w:rPr>
                <w:rFonts w:ascii="VIC" w:eastAsia="Verdana" w:hAnsi="VIC"/>
                <w:color w:val="000000"/>
                <w:sz w:val="18"/>
                <w:szCs w:val="18"/>
              </w:rPr>
              <w:t>54 %</w:t>
            </w:r>
          </w:p>
        </w:tc>
        <w:tc>
          <w:tcPr>
            <w:tcW w:w="1090" w:type="dxa"/>
            <w:shd w:val="clear" w:color="auto" w:fill="BFCED6"/>
          </w:tcPr>
          <w:p w14:paraId="57D59E61" w14:textId="6C2B997C" w:rsidR="00847E82" w:rsidRPr="00C15426" w:rsidRDefault="00847E82" w:rsidP="00847E82">
            <w:pPr>
              <w:jc w:val="center"/>
              <w:rPr>
                <w:rFonts w:ascii="VIC" w:hAnsi="VIC"/>
                <w:sz w:val="18"/>
                <w:szCs w:val="18"/>
              </w:rPr>
            </w:pPr>
            <w:r w:rsidRPr="00427725">
              <w:rPr>
                <w:rFonts w:ascii="VIC" w:eastAsia="Verdana" w:hAnsi="VIC"/>
                <w:color w:val="000000"/>
                <w:sz w:val="18"/>
                <w:szCs w:val="18"/>
              </w:rPr>
              <w:t>16.2</w:t>
            </w:r>
          </w:p>
        </w:tc>
        <w:tc>
          <w:tcPr>
            <w:tcW w:w="1090" w:type="dxa"/>
            <w:shd w:val="clear" w:color="auto" w:fill="BFCED6"/>
          </w:tcPr>
          <w:p w14:paraId="3929CD80" w14:textId="5FAC127F" w:rsidR="00847E82" w:rsidRPr="00C15426"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BFCED6"/>
          </w:tcPr>
          <w:p w14:paraId="13BD6E4F" w14:textId="674E7411" w:rsidR="00847E82" w:rsidRPr="00C15426" w:rsidRDefault="00847E82" w:rsidP="00847E82">
            <w:pPr>
              <w:jc w:val="center"/>
              <w:rPr>
                <w:rFonts w:ascii="VIC" w:hAnsi="VIC"/>
                <w:sz w:val="18"/>
                <w:szCs w:val="18"/>
              </w:rPr>
            </w:pPr>
            <w:r w:rsidRPr="00427725">
              <w:rPr>
                <w:rFonts w:ascii="VIC" w:eastAsia="Verdana" w:hAnsi="VIC"/>
                <w:color w:val="000000"/>
                <w:sz w:val="18"/>
                <w:szCs w:val="18"/>
              </w:rPr>
              <w:t>18.0</w:t>
            </w:r>
          </w:p>
        </w:tc>
        <w:tc>
          <w:tcPr>
            <w:tcW w:w="1090" w:type="dxa"/>
            <w:shd w:val="clear" w:color="auto" w:fill="BFCED6"/>
          </w:tcPr>
          <w:p w14:paraId="653D9920" w14:textId="47C79986" w:rsidR="00847E82" w:rsidRPr="00C15426"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BFCED6"/>
          </w:tcPr>
          <w:p w14:paraId="072844F5" w14:textId="4F59925B" w:rsidR="00847E82" w:rsidRPr="00C15426"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BFCED6"/>
          </w:tcPr>
          <w:p w14:paraId="2EEA26CC" w14:textId="3A507D62" w:rsidR="00847E82" w:rsidRPr="00C15426" w:rsidRDefault="00847E82" w:rsidP="00847E82">
            <w:pPr>
              <w:jc w:val="center"/>
              <w:rPr>
                <w:rFonts w:ascii="VIC" w:hAnsi="VIC"/>
                <w:sz w:val="18"/>
                <w:szCs w:val="18"/>
              </w:rPr>
            </w:pPr>
            <w:r w:rsidRPr="00427725">
              <w:rPr>
                <w:rFonts w:ascii="VIC" w:eastAsia="Verdana" w:hAnsi="VIC"/>
                <w:color w:val="000000"/>
                <w:sz w:val="18"/>
                <w:szCs w:val="18"/>
              </w:rPr>
              <w:t>73 %</w:t>
            </w:r>
          </w:p>
        </w:tc>
        <w:tc>
          <w:tcPr>
            <w:tcW w:w="1091" w:type="dxa"/>
            <w:shd w:val="clear" w:color="auto" w:fill="BFCED6"/>
          </w:tcPr>
          <w:p w14:paraId="67DF3800" w14:textId="3CE6E7A7" w:rsidR="00847E82" w:rsidRPr="00C15426" w:rsidRDefault="00847E82" w:rsidP="00847E82">
            <w:pPr>
              <w:jc w:val="center"/>
              <w:rPr>
                <w:rFonts w:ascii="VIC" w:hAnsi="VIC"/>
                <w:sz w:val="18"/>
                <w:szCs w:val="18"/>
              </w:rPr>
            </w:pPr>
            <w:r w:rsidRPr="00427725">
              <w:rPr>
                <w:rFonts w:ascii="VIC" w:eastAsia="Verdana" w:hAnsi="VIC"/>
                <w:color w:val="000000"/>
                <w:sz w:val="18"/>
                <w:szCs w:val="18"/>
              </w:rPr>
              <w:t>8.7</w:t>
            </w:r>
          </w:p>
        </w:tc>
      </w:tr>
      <w:tr w:rsidR="00847E82" w:rsidRPr="00A6366B" w14:paraId="71966422" w14:textId="77777777" w:rsidTr="00C00109">
        <w:trPr>
          <w:trHeight w:val="284"/>
        </w:trPr>
        <w:tc>
          <w:tcPr>
            <w:tcW w:w="1570" w:type="dxa"/>
            <w:shd w:val="clear" w:color="auto" w:fill="FFFFFF" w:themeFill="background1"/>
          </w:tcPr>
          <w:p w14:paraId="299861E5" w14:textId="37D9C458"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Mildura Base Hospital</w:t>
            </w:r>
          </w:p>
        </w:tc>
        <w:tc>
          <w:tcPr>
            <w:tcW w:w="2410" w:type="dxa"/>
            <w:shd w:val="clear" w:color="auto" w:fill="FFFFFF" w:themeFill="background1"/>
          </w:tcPr>
          <w:p w14:paraId="55F06329" w14:textId="28929A48"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Northern Mallee</w:t>
            </w:r>
          </w:p>
        </w:tc>
        <w:tc>
          <w:tcPr>
            <w:tcW w:w="2833" w:type="dxa"/>
            <w:shd w:val="clear" w:color="auto" w:fill="FFFFFF" w:themeFill="background1"/>
          </w:tcPr>
          <w:p w14:paraId="0218F4FD" w14:textId="707AB84F" w:rsidR="00847E82" w:rsidRPr="00C15426" w:rsidRDefault="00847E82" w:rsidP="00847E82">
            <w:pPr>
              <w:rPr>
                <w:rFonts w:ascii="VIC" w:hAnsi="VIC"/>
                <w:sz w:val="18"/>
                <w:szCs w:val="18"/>
              </w:rPr>
            </w:pPr>
            <w:r w:rsidRPr="00427725">
              <w:rPr>
                <w:rFonts w:ascii="VIC" w:eastAsia="Verdana" w:hAnsi="VIC"/>
                <w:color w:val="000000"/>
                <w:sz w:val="18"/>
                <w:szCs w:val="18"/>
              </w:rPr>
              <w:t>PARC</w:t>
            </w:r>
          </w:p>
        </w:tc>
        <w:tc>
          <w:tcPr>
            <w:tcW w:w="1090" w:type="dxa"/>
            <w:shd w:val="clear" w:color="auto" w:fill="FFFFFF" w:themeFill="background1"/>
          </w:tcPr>
          <w:p w14:paraId="127B4044" w14:textId="2EFD99C6" w:rsidR="00847E82" w:rsidRPr="00C15426" w:rsidRDefault="00847E82" w:rsidP="00847E82">
            <w:pPr>
              <w:jc w:val="center"/>
              <w:rPr>
                <w:rFonts w:ascii="VIC" w:hAnsi="VIC"/>
                <w:sz w:val="18"/>
                <w:szCs w:val="18"/>
              </w:rPr>
            </w:pPr>
            <w:r w:rsidRPr="00427725">
              <w:rPr>
                <w:rFonts w:ascii="VIC" w:eastAsia="Verdana" w:hAnsi="VIC"/>
                <w:color w:val="000000"/>
                <w:sz w:val="18"/>
                <w:szCs w:val="18"/>
              </w:rPr>
              <w:t>67 %</w:t>
            </w:r>
          </w:p>
        </w:tc>
        <w:tc>
          <w:tcPr>
            <w:tcW w:w="1090" w:type="dxa"/>
            <w:shd w:val="clear" w:color="auto" w:fill="FFFFFF" w:themeFill="background1"/>
          </w:tcPr>
          <w:p w14:paraId="1D5D2695" w14:textId="52010A22" w:rsidR="00847E82" w:rsidRPr="00C15426" w:rsidRDefault="00847E82" w:rsidP="00847E82">
            <w:pPr>
              <w:jc w:val="center"/>
              <w:rPr>
                <w:rFonts w:ascii="VIC" w:hAnsi="VIC"/>
                <w:sz w:val="18"/>
                <w:szCs w:val="18"/>
              </w:rPr>
            </w:pPr>
            <w:r w:rsidRPr="00427725">
              <w:rPr>
                <w:rFonts w:ascii="VIC" w:eastAsia="Verdana" w:hAnsi="VIC"/>
                <w:color w:val="000000"/>
                <w:sz w:val="18"/>
                <w:szCs w:val="18"/>
              </w:rPr>
              <w:t>27.4</w:t>
            </w:r>
          </w:p>
        </w:tc>
        <w:tc>
          <w:tcPr>
            <w:tcW w:w="1090" w:type="dxa"/>
            <w:shd w:val="clear" w:color="auto" w:fill="FFFFFF" w:themeFill="background1"/>
          </w:tcPr>
          <w:p w14:paraId="199DDD40" w14:textId="0CEEA5F4"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583D9FCA" w14:textId="3A612ED3" w:rsidR="00847E82" w:rsidRPr="00C15426" w:rsidRDefault="00847E82" w:rsidP="00847E82">
            <w:pPr>
              <w:jc w:val="center"/>
              <w:rPr>
                <w:rFonts w:ascii="VIC" w:hAnsi="VIC"/>
                <w:sz w:val="18"/>
                <w:szCs w:val="18"/>
              </w:rPr>
            </w:pPr>
            <w:r w:rsidRPr="00427725">
              <w:rPr>
                <w:rFonts w:ascii="VIC" w:eastAsia="Verdana" w:hAnsi="VIC"/>
                <w:color w:val="000000"/>
                <w:sz w:val="18"/>
                <w:szCs w:val="18"/>
              </w:rPr>
              <w:t>34.2</w:t>
            </w:r>
          </w:p>
        </w:tc>
        <w:tc>
          <w:tcPr>
            <w:tcW w:w="1090" w:type="dxa"/>
            <w:shd w:val="clear" w:color="auto" w:fill="FFFFFF" w:themeFill="background1"/>
          </w:tcPr>
          <w:p w14:paraId="4F27E36C" w14:textId="3D4E1C6F" w:rsidR="00847E82" w:rsidRPr="00C15426"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FFFFFF" w:themeFill="background1"/>
          </w:tcPr>
          <w:p w14:paraId="484C744F" w14:textId="78A5A89C" w:rsidR="00847E82" w:rsidRPr="00C15426" w:rsidRDefault="00847E82" w:rsidP="00847E82">
            <w:pPr>
              <w:jc w:val="center"/>
              <w:rPr>
                <w:rFonts w:ascii="VIC" w:hAnsi="VIC"/>
                <w:sz w:val="18"/>
                <w:szCs w:val="18"/>
              </w:rPr>
            </w:pPr>
            <w:r w:rsidRPr="00427725">
              <w:rPr>
                <w:rFonts w:ascii="VIC" w:eastAsia="Verdana" w:hAnsi="VIC"/>
                <w:color w:val="000000"/>
                <w:sz w:val="18"/>
                <w:szCs w:val="18"/>
              </w:rPr>
              <w:t>26 %</w:t>
            </w:r>
          </w:p>
        </w:tc>
        <w:tc>
          <w:tcPr>
            <w:tcW w:w="1090" w:type="dxa"/>
            <w:shd w:val="clear" w:color="auto" w:fill="FFFFFF" w:themeFill="background1"/>
          </w:tcPr>
          <w:p w14:paraId="3816DEE1" w14:textId="06426428" w:rsidR="00847E82" w:rsidRPr="00C15426" w:rsidRDefault="00847E82" w:rsidP="00847E82">
            <w:pPr>
              <w:jc w:val="center"/>
              <w:rPr>
                <w:rFonts w:ascii="VIC" w:hAnsi="VIC"/>
                <w:sz w:val="18"/>
                <w:szCs w:val="18"/>
              </w:rPr>
            </w:pPr>
            <w:r w:rsidRPr="00427725">
              <w:rPr>
                <w:rFonts w:ascii="VIC" w:eastAsia="Verdana" w:hAnsi="VIC"/>
                <w:color w:val="000000"/>
                <w:sz w:val="18"/>
                <w:szCs w:val="18"/>
              </w:rPr>
              <w:t>96 %</w:t>
            </w:r>
          </w:p>
        </w:tc>
        <w:tc>
          <w:tcPr>
            <w:tcW w:w="1091" w:type="dxa"/>
            <w:shd w:val="clear" w:color="auto" w:fill="FFFFFF" w:themeFill="background1"/>
          </w:tcPr>
          <w:p w14:paraId="607131F5" w14:textId="3C091332" w:rsidR="00847E82" w:rsidRPr="00C15426" w:rsidRDefault="00847E82" w:rsidP="00847E82">
            <w:pPr>
              <w:jc w:val="center"/>
              <w:rPr>
                <w:rFonts w:ascii="VIC" w:hAnsi="VIC"/>
                <w:sz w:val="18"/>
                <w:szCs w:val="18"/>
              </w:rPr>
            </w:pPr>
            <w:r w:rsidRPr="00427725">
              <w:rPr>
                <w:rFonts w:ascii="VIC" w:eastAsia="Verdana" w:hAnsi="VIC"/>
                <w:color w:val="000000"/>
                <w:sz w:val="18"/>
                <w:szCs w:val="18"/>
              </w:rPr>
              <w:t>14.3</w:t>
            </w:r>
          </w:p>
        </w:tc>
      </w:tr>
      <w:tr w:rsidR="00847E82" w:rsidRPr="00A6366B" w14:paraId="7779DB07" w14:textId="77777777" w:rsidTr="00C00109">
        <w:trPr>
          <w:trHeight w:val="284"/>
        </w:trPr>
        <w:tc>
          <w:tcPr>
            <w:tcW w:w="1570" w:type="dxa"/>
            <w:shd w:val="clear" w:color="auto" w:fill="BFCED6"/>
          </w:tcPr>
          <w:p w14:paraId="63825423" w14:textId="78408B33"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Albury Wodonga Health</w:t>
            </w:r>
          </w:p>
        </w:tc>
        <w:tc>
          <w:tcPr>
            <w:tcW w:w="2410" w:type="dxa"/>
            <w:shd w:val="clear" w:color="auto" w:fill="BFCED6"/>
          </w:tcPr>
          <w:p w14:paraId="19E2A985" w14:textId="44F11546"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 East &amp; Border</w:t>
            </w:r>
          </w:p>
        </w:tc>
        <w:tc>
          <w:tcPr>
            <w:tcW w:w="2833" w:type="dxa"/>
            <w:shd w:val="clear" w:color="auto" w:fill="BFCED6"/>
          </w:tcPr>
          <w:p w14:paraId="278E0EE3" w14:textId="32E459A0" w:rsidR="00847E82" w:rsidRPr="00C15426" w:rsidRDefault="00847E82" w:rsidP="00847E82">
            <w:pPr>
              <w:rPr>
                <w:rFonts w:ascii="VIC" w:hAnsi="VIC"/>
                <w:sz w:val="18"/>
                <w:szCs w:val="18"/>
              </w:rPr>
            </w:pPr>
            <w:r w:rsidRPr="00427725">
              <w:rPr>
                <w:rFonts w:ascii="VIC" w:eastAsia="Verdana" w:hAnsi="VIC"/>
                <w:color w:val="000000"/>
                <w:sz w:val="18"/>
                <w:szCs w:val="18"/>
              </w:rPr>
              <w:t>Jarrah Retreat PARC</w:t>
            </w:r>
          </w:p>
        </w:tc>
        <w:tc>
          <w:tcPr>
            <w:tcW w:w="1090" w:type="dxa"/>
            <w:shd w:val="clear" w:color="auto" w:fill="BFCED6"/>
          </w:tcPr>
          <w:p w14:paraId="0FDDDD74" w14:textId="7D4F2C1C" w:rsidR="00847E82" w:rsidRPr="00C15426" w:rsidRDefault="00847E82" w:rsidP="00847E82">
            <w:pPr>
              <w:jc w:val="center"/>
              <w:rPr>
                <w:rFonts w:ascii="VIC" w:hAnsi="VIC"/>
                <w:sz w:val="18"/>
                <w:szCs w:val="18"/>
              </w:rPr>
            </w:pPr>
            <w:r w:rsidRPr="00427725">
              <w:rPr>
                <w:rFonts w:ascii="VIC" w:eastAsia="Verdana" w:hAnsi="VIC"/>
                <w:color w:val="000000"/>
                <w:sz w:val="18"/>
                <w:szCs w:val="18"/>
              </w:rPr>
              <w:t>60 %</w:t>
            </w:r>
          </w:p>
        </w:tc>
        <w:tc>
          <w:tcPr>
            <w:tcW w:w="1090" w:type="dxa"/>
            <w:shd w:val="clear" w:color="auto" w:fill="BFCED6"/>
          </w:tcPr>
          <w:p w14:paraId="4D856D74" w14:textId="615C17F8" w:rsidR="00847E82" w:rsidRPr="00C15426" w:rsidRDefault="00847E82" w:rsidP="00847E82">
            <w:pPr>
              <w:jc w:val="center"/>
              <w:rPr>
                <w:rFonts w:ascii="VIC" w:hAnsi="VIC"/>
                <w:sz w:val="18"/>
                <w:szCs w:val="18"/>
              </w:rPr>
            </w:pPr>
            <w:r w:rsidRPr="00427725">
              <w:rPr>
                <w:rFonts w:ascii="VIC" w:eastAsia="Verdana" w:hAnsi="VIC"/>
                <w:color w:val="000000"/>
                <w:sz w:val="18"/>
                <w:szCs w:val="18"/>
              </w:rPr>
              <w:t>17.6</w:t>
            </w:r>
          </w:p>
        </w:tc>
        <w:tc>
          <w:tcPr>
            <w:tcW w:w="1090" w:type="dxa"/>
            <w:shd w:val="clear" w:color="auto" w:fill="BFCED6"/>
          </w:tcPr>
          <w:p w14:paraId="12C4CB78" w14:textId="25107138" w:rsidR="00847E82" w:rsidRPr="00C15426"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22BE6348" w14:textId="02D428F2" w:rsidR="00847E82" w:rsidRPr="00C15426" w:rsidRDefault="00847E82" w:rsidP="00847E82">
            <w:pPr>
              <w:jc w:val="center"/>
              <w:rPr>
                <w:rFonts w:ascii="VIC" w:hAnsi="VIC"/>
                <w:sz w:val="18"/>
                <w:szCs w:val="18"/>
              </w:rPr>
            </w:pPr>
            <w:r w:rsidRPr="00427725">
              <w:rPr>
                <w:rFonts w:ascii="VIC" w:eastAsia="Verdana" w:hAnsi="VIC"/>
                <w:color w:val="000000"/>
                <w:sz w:val="18"/>
                <w:szCs w:val="18"/>
              </w:rPr>
              <w:t>16.0</w:t>
            </w:r>
          </w:p>
        </w:tc>
        <w:tc>
          <w:tcPr>
            <w:tcW w:w="1090" w:type="dxa"/>
            <w:shd w:val="clear" w:color="auto" w:fill="BFCED6"/>
          </w:tcPr>
          <w:p w14:paraId="7CF38CD5" w14:textId="203376DA" w:rsidR="00847E82" w:rsidRPr="00C15426" w:rsidRDefault="00847E82" w:rsidP="00847E82">
            <w:pPr>
              <w:jc w:val="center"/>
              <w:rPr>
                <w:rFonts w:ascii="VIC" w:hAnsi="VIC"/>
                <w:sz w:val="18"/>
                <w:szCs w:val="18"/>
              </w:rPr>
            </w:pPr>
            <w:r w:rsidRPr="00427725">
              <w:rPr>
                <w:rFonts w:ascii="VIC" w:eastAsia="Verdana" w:hAnsi="VIC"/>
                <w:color w:val="000000"/>
                <w:sz w:val="18"/>
                <w:szCs w:val="18"/>
              </w:rPr>
              <w:t>16 %</w:t>
            </w:r>
          </w:p>
        </w:tc>
        <w:tc>
          <w:tcPr>
            <w:tcW w:w="1090" w:type="dxa"/>
            <w:shd w:val="clear" w:color="auto" w:fill="BFCED6"/>
          </w:tcPr>
          <w:p w14:paraId="266EB2C1" w14:textId="71633FBE" w:rsidR="00847E82" w:rsidRPr="00C15426"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7FCC54D3" w14:textId="079155DC" w:rsidR="00847E82" w:rsidRPr="00C15426" w:rsidRDefault="00847E82" w:rsidP="00847E82">
            <w:pPr>
              <w:jc w:val="center"/>
              <w:rPr>
                <w:rFonts w:ascii="VIC" w:hAnsi="VIC"/>
                <w:sz w:val="18"/>
                <w:szCs w:val="18"/>
              </w:rPr>
            </w:pPr>
            <w:r w:rsidRPr="00427725">
              <w:rPr>
                <w:rFonts w:ascii="VIC" w:eastAsia="Verdana" w:hAnsi="VIC"/>
                <w:color w:val="000000"/>
                <w:sz w:val="18"/>
                <w:szCs w:val="18"/>
              </w:rPr>
              <w:t>73 %</w:t>
            </w:r>
          </w:p>
        </w:tc>
        <w:tc>
          <w:tcPr>
            <w:tcW w:w="1091" w:type="dxa"/>
            <w:shd w:val="clear" w:color="auto" w:fill="BFCED6"/>
          </w:tcPr>
          <w:p w14:paraId="5CDF2421" w14:textId="6D9799E2" w:rsidR="00847E82" w:rsidRPr="00C15426" w:rsidRDefault="00847E82" w:rsidP="00847E82">
            <w:pPr>
              <w:jc w:val="center"/>
              <w:rPr>
                <w:rFonts w:ascii="VIC" w:hAnsi="VIC"/>
                <w:sz w:val="18"/>
                <w:szCs w:val="18"/>
              </w:rPr>
            </w:pPr>
            <w:r w:rsidRPr="00427725">
              <w:rPr>
                <w:rFonts w:ascii="VIC" w:eastAsia="Verdana" w:hAnsi="VIC"/>
                <w:color w:val="000000"/>
                <w:sz w:val="18"/>
                <w:szCs w:val="18"/>
              </w:rPr>
              <w:t>12.8</w:t>
            </w:r>
          </w:p>
        </w:tc>
      </w:tr>
      <w:tr w:rsidR="00847E82" w:rsidRPr="00A6366B" w14:paraId="2E230F3A" w14:textId="77777777" w:rsidTr="00C00109">
        <w:trPr>
          <w:trHeight w:val="284"/>
        </w:trPr>
        <w:tc>
          <w:tcPr>
            <w:tcW w:w="1570" w:type="dxa"/>
            <w:shd w:val="clear" w:color="auto" w:fill="FFFFFF" w:themeFill="background1"/>
          </w:tcPr>
          <w:p w14:paraId="18D4A1F8" w14:textId="0C158B6F"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South West Health</w:t>
            </w:r>
          </w:p>
        </w:tc>
        <w:tc>
          <w:tcPr>
            <w:tcW w:w="2410" w:type="dxa"/>
            <w:shd w:val="clear" w:color="auto" w:fill="FFFFFF" w:themeFill="background1"/>
          </w:tcPr>
          <w:p w14:paraId="3056557A" w14:textId="67F21A0A"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South West Health Care</w:t>
            </w:r>
          </w:p>
        </w:tc>
        <w:tc>
          <w:tcPr>
            <w:tcW w:w="2833" w:type="dxa"/>
            <w:shd w:val="clear" w:color="auto" w:fill="FFFFFF" w:themeFill="background1"/>
          </w:tcPr>
          <w:p w14:paraId="7B19ED80" w14:textId="55D5B8F3" w:rsidR="00847E82" w:rsidRPr="00C15426" w:rsidRDefault="00847E82" w:rsidP="00847E82">
            <w:pPr>
              <w:rPr>
                <w:rFonts w:ascii="VIC" w:hAnsi="VIC"/>
                <w:sz w:val="18"/>
                <w:szCs w:val="18"/>
              </w:rPr>
            </w:pPr>
            <w:r w:rsidRPr="00427725">
              <w:rPr>
                <w:rFonts w:ascii="VIC" w:eastAsia="Verdana" w:hAnsi="VIC"/>
                <w:color w:val="000000"/>
                <w:sz w:val="18"/>
                <w:szCs w:val="18"/>
              </w:rPr>
              <w:t>PARC Inpat</w:t>
            </w:r>
          </w:p>
        </w:tc>
        <w:tc>
          <w:tcPr>
            <w:tcW w:w="1090" w:type="dxa"/>
            <w:shd w:val="clear" w:color="auto" w:fill="FFFFFF" w:themeFill="background1"/>
          </w:tcPr>
          <w:p w14:paraId="2CB952F1" w14:textId="03251F1E" w:rsidR="00847E82" w:rsidRPr="00C15426" w:rsidRDefault="00847E82" w:rsidP="00847E82">
            <w:pPr>
              <w:jc w:val="center"/>
              <w:rPr>
                <w:rFonts w:ascii="VIC" w:hAnsi="VIC"/>
                <w:sz w:val="18"/>
                <w:szCs w:val="18"/>
              </w:rPr>
            </w:pPr>
            <w:r w:rsidRPr="00427725">
              <w:rPr>
                <w:rFonts w:ascii="VIC" w:eastAsia="Verdana" w:hAnsi="VIC"/>
                <w:color w:val="000000"/>
                <w:sz w:val="18"/>
                <w:szCs w:val="18"/>
              </w:rPr>
              <w:t>60 %</w:t>
            </w:r>
          </w:p>
        </w:tc>
        <w:tc>
          <w:tcPr>
            <w:tcW w:w="1090" w:type="dxa"/>
            <w:shd w:val="clear" w:color="auto" w:fill="FFFFFF" w:themeFill="background1"/>
          </w:tcPr>
          <w:p w14:paraId="5CAFC2BD" w14:textId="42277766" w:rsidR="00847E82" w:rsidRPr="00C15426" w:rsidRDefault="00847E82" w:rsidP="00847E82">
            <w:pPr>
              <w:jc w:val="center"/>
              <w:rPr>
                <w:rFonts w:ascii="VIC" w:hAnsi="VIC"/>
                <w:sz w:val="18"/>
                <w:szCs w:val="18"/>
              </w:rPr>
            </w:pPr>
            <w:r w:rsidRPr="00427725">
              <w:rPr>
                <w:rFonts w:ascii="VIC" w:eastAsia="Verdana" w:hAnsi="VIC"/>
                <w:color w:val="000000"/>
                <w:sz w:val="18"/>
                <w:szCs w:val="18"/>
              </w:rPr>
              <w:t>23.0</w:t>
            </w:r>
          </w:p>
        </w:tc>
        <w:tc>
          <w:tcPr>
            <w:tcW w:w="1090" w:type="dxa"/>
            <w:shd w:val="clear" w:color="auto" w:fill="FFFFFF" w:themeFill="background1"/>
          </w:tcPr>
          <w:p w14:paraId="5DCEA8AC" w14:textId="7F1C520E"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5C29AA6C" w14:textId="7C84D74C" w:rsidR="00847E82" w:rsidRPr="00C15426" w:rsidRDefault="00847E82" w:rsidP="00847E82">
            <w:pPr>
              <w:jc w:val="center"/>
              <w:rPr>
                <w:rFonts w:ascii="VIC" w:hAnsi="VIC"/>
                <w:sz w:val="18"/>
                <w:szCs w:val="18"/>
              </w:rPr>
            </w:pPr>
            <w:r w:rsidRPr="00427725">
              <w:rPr>
                <w:rFonts w:ascii="VIC" w:eastAsia="Verdana" w:hAnsi="VIC"/>
                <w:color w:val="000000"/>
                <w:sz w:val="18"/>
                <w:szCs w:val="18"/>
              </w:rPr>
              <w:t>20.3</w:t>
            </w:r>
          </w:p>
        </w:tc>
        <w:tc>
          <w:tcPr>
            <w:tcW w:w="1090" w:type="dxa"/>
            <w:shd w:val="clear" w:color="auto" w:fill="FFFFFF" w:themeFill="background1"/>
          </w:tcPr>
          <w:p w14:paraId="457BC634" w14:textId="0F447453" w:rsidR="00847E82" w:rsidRPr="00C15426"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FFFFFF" w:themeFill="background1"/>
          </w:tcPr>
          <w:p w14:paraId="386F91FB" w14:textId="502F556A" w:rsidR="00847E82" w:rsidRPr="00C15426"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FFFFFF" w:themeFill="background1"/>
          </w:tcPr>
          <w:p w14:paraId="2B4022E6" w14:textId="42ECA55D" w:rsidR="00847E82" w:rsidRPr="00C15426" w:rsidRDefault="00847E82" w:rsidP="00847E82">
            <w:pPr>
              <w:jc w:val="center"/>
              <w:rPr>
                <w:rFonts w:ascii="VIC" w:hAnsi="VIC"/>
                <w:sz w:val="18"/>
                <w:szCs w:val="18"/>
              </w:rPr>
            </w:pPr>
            <w:r w:rsidRPr="00427725">
              <w:rPr>
                <w:rFonts w:ascii="VIC" w:eastAsia="Verdana" w:hAnsi="VIC"/>
                <w:color w:val="000000"/>
                <w:sz w:val="18"/>
                <w:szCs w:val="18"/>
              </w:rPr>
              <w:t>98 %</w:t>
            </w:r>
          </w:p>
        </w:tc>
        <w:tc>
          <w:tcPr>
            <w:tcW w:w="1091" w:type="dxa"/>
            <w:shd w:val="clear" w:color="auto" w:fill="FFFFFF" w:themeFill="background1"/>
          </w:tcPr>
          <w:p w14:paraId="5687ADCA" w14:textId="0B90C32B" w:rsidR="00847E82" w:rsidRPr="00C15426" w:rsidRDefault="00847E82" w:rsidP="00847E82">
            <w:pPr>
              <w:jc w:val="center"/>
              <w:rPr>
                <w:rFonts w:ascii="VIC" w:hAnsi="VIC"/>
                <w:sz w:val="18"/>
                <w:szCs w:val="18"/>
              </w:rPr>
            </w:pPr>
            <w:r w:rsidRPr="00427725">
              <w:rPr>
                <w:rFonts w:ascii="VIC" w:eastAsia="Verdana" w:hAnsi="VIC"/>
                <w:color w:val="000000"/>
                <w:sz w:val="18"/>
                <w:szCs w:val="18"/>
              </w:rPr>
              <w:t>10.4</w:t>
            </w:r>
          </w:p>
        </w:tc>
      </w:tr>
      <w:tr w:rsidR="00847E82" w:rsidRPr="00847E82" w14:paraId="4D9D7A08" w14:textId="77777777" w:rsidTr="00C00109">
        <w:trPr>
          <w:trHeight w:val="284"/>
        </w:trPr>
        <w:tc>
          <w:tcPr>
            <w:tcW w:w="1570" w:type="dxa"/>
            <w:shd w:val="clear" w:color="auto" w:fill="B1C9E8"/>
          </w:tcPr>
          <w:p w14:paraId="120BECAE" w14:textId="3CFA5C09"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RURAL</w:t>
            </w:r>
          </w:p>
        </w:tc>
        <w:tc>
          <w:tcPr>
            <w:tcW w:w="2410" w:type="dxa"/>
            <w:shd w:val="clear" w:color="auto" w:fill="B1C9E8"/>
          </w:tcPr>
          <w:p w14:paraId="6E83830F" w14:textId="6432F363"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2833" w:type="dxa"/>
            <w:shd w:val="clear" w:color="auto" w:fill="B1C9E8"/>
          </w:tcPr>
          <w:p w14:paraId="4647CAF6" w14:textId="28F7B35A" w:rsidR="00847E82" w:rsidRPr="00847E82" w:rsidRDefault="00847E82" w:rsidP="00847E82">
            <w:pPr>
              <w:rPr>
                <w:rFonts w:ascii="VIC" w:hAnsi="VIC"/>
                <w:color w:val="000000" w:themeColor="text1"/>
                <w:sz w:val="18"/>
                <w:szCs w:val="18"/>
              </w:rPr>
            </w:pPr>
            <w:r w:rsidRPr="00847E82">
              <w:rPr>
                <w:rFonts w:ascii="VIC" w:eastAsia="Verdana" w:hAnsi="VIC"/>
                <w:color w:val="000000" w:themeColor="text1"/>
                <w:sz w:val="18"/>
                <w:szCs w:val="18"/>
              </w:rPr>
              <w:t xml:space="preserve"> </w:t>
            </w:r>
          </w:p>
        </w:tc>
        <w:tc>
          <w:tcPr>
            <w:tcW w:w="1090" w:type="dxa"/>
            <w:shd w:val="clear" w:color="auto" w:fill="B1C9E8"/>
          </w:tcPr>
          <w:p w14:paraId="4B422A97" w14:textId="41A847A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79 %</w:t>
            </w:r>
          </w:p>
        </w:tc>
        <w:tc>
          <w:tcPr>
            <w:tcW w:w="1090" w:type="dxa"/>
            <w:shd w:val="clear" w:color="auto" w:fill="B1C9E8"/>
          </w:tcPr>
          <w:p w14:paraId="4468B9EC" w14:textId="6FD1C834"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17.8</w:t>
            </w:r>
          </w:p>
        </w:tc>
        <w:tc>
          <w:tcPr>
            <w:tcW w:w="1090" w:type="dxa"/>
            <w:shd w:val="clear" w:color="auto" w:fill="B1C9E8"/>
          </w:tcPr>
          <w:p w14:paraId="00B16F20" w14:textId="5DFA5A5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3 %</w:t>
            </w:r>
          </w:p>
        </w:tc>
        <w:tc>
          <w:tcPr>
            <w:tcW w:w="1090" w:type="dxa"/>
            <w:shd w:val="clear" w:color="auto" w:fill="B1C9E8"/>
          </w:tcPr>
          <w:p w14:paraId="3200D0AE" w14:textId="68699C24"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24.5</w:t>
            </w:r>
          </w:p>
        </w:tc>
        <w:tc>
          <w:tcPr>
            <w:tcW w:w="1090" w:type="dxa"/>
            <w:shd w:val="clear" w:color="auto" w:fill="B1C9E8"/>
          </w:tcPr>
          <w:p w14:paraId="64526393" w14:textId="369802AC"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11 %</w:t>
            </w:r>
          </w:p>
        </w:tc>
        <w:tc>
          <w:tcPr>
            <w:tcW w:w="1090" w:type="dxa"/>
            <w:shd w:val="clear" w:color="auto" w:fill="B1C9E8"/>
          </w:tcPr>
          <w:p w14:paraId="47C2E4DE" w14:textId="00AB420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9 %</w:t>
            </w:r>
          </w:p>
        </w:tc>
        <w:tc>
          <w:tcPr>
            <w:tcW w:w="1090" w:type="dxa"/>
            <w:shd w:val="clear" w:color="auto" w:fill="B1C9E8"/>
          </w:tcPr>
          <w:p w14:paraId="1AD2EE5E" w14:textId="45119DBA"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88 %</w:t>
            </w:r>
          </w:p>
        </w:tc>
        <w:tc>
          <w:tcPr>
            <w:tcW w:w="1091" w:type="dxa"/>
            <w:shd w:val="clear" w:color="auto" w:fill="B1C9E8"/>
          </w:tcPr>
          <w:p w14:paraId="290F5E32" w14:textId="4FDCBA78"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14.2</w:t>
            </w:r>
          </w:p>
        </w:tc>
      </w:tr>
      <w:tr w:rsidR="00847E82" w:rsidRPr="008D13A2" w14:paraId="7385EDD7" w14:textId="77777777" w:rsidTr="00C00109">
        <w:trPr>
          <w:trHeight w:val="284"/>
        </w:trPr>
        <w:tc>
          <w:tcPr>
            <w:tcW w:w="1570" w:type="dxa"/>
            <w:shd w:val="clear" w:color="auto" w:fill="244C5A"/>
          </w:tcPr>
          <w:p w14:paraId="2D5F64E4" w14:textId="7797AA1D"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410" w:type="dxa"/>
            <w:shd w:val="clear" w:color="auto" w:fill="244C5A"/>
          </w:tcPr>
          <w:p w14:paraId="3FAE4C74" w14:textId="396A0768"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2833" w:type="dxa"/>
            <w:shd w:val="clear" w:color="auto" w:fill="244C5A"/>
          </w:tcPr>
          <w:p w14:paraId="1CB7DEE0" w14:textId="3FB12AB4" w:rsidR="00847E82" w:rsidRPr="00C15426" w:rsidRDefault="00847E82" w:rsidP="00847E82">
            <w:pPr>
              <w:rPr>
                <w:rFonts w:ascii="VIC" w:hAnsi="VIC"/>
                <w:color w:val="FFFFFF" w:themeColor="background1"/>
                <w:sz w:val="18"/>
                <w:szCs w:val="18"/>
              </w:rPr>
            </w:pPr>
            <w:r w:rsidRPr="00427725">
              <w:rPr>
                <w:rFonts w:ascii="VIC" w:eastAsia="Verdana" w:hAnsi="VIC"/>
                <w:color w:val="FFFFFF"/>
                <w:sz w:val="18"/>
                <w:szCs w:val="18"/>
              </w:rPr>
              <w:t xml:space="preserve"> </w:t>
            </w:r>
          </w:p>
        </w:tc>
        <w:tc>
          <w:tcPr>
            <w:tcW w:w="1090" w:type="dxa"/>
            <w:shd w:val="clear" w:color="auto" w:fill="244C5A"/>
          </w:tcPr>
          <w:p w14:paraId="54EDFDF5" w14:textId="0AC01502"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78 %</w:t>
            </w:r>
          </w:p>
        </w:tc>
        <w:tc>
          <w:tcPr>
            <w:tcW w:w="1090" w:type="dxa"/>
            <w:shd w:val="clear" w:color="auto" w:fill="244C5A"/>
          </w:tcPr>
          <w:p w14:paraId="49347DE4" w14:textId="05F2AA7F"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20.1</w:t>
            </w:r>
          </w:p>
        </w:tc>
        <w:tc>
          <w:tcPr>
            <w:tcW w:w="1090" w:type="dxa"/>
            <w:shd w:val="clear" w:color="auto" w:fill="244C5A"/>
          </w:tcPr>
          <w:p w14:paraId="7DCE5E27" w14:textId="49838987"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4 %</w:t>
            </w:r>
          </w:p>
        </w:tc>
        <w:tc>
          <w:tcPr>
            <w:tcW w:w="1090" w:type="dxa"/>
            <w:shd w:val="clear" w:color="auto" w:fill="244C5A"/>
          </w:tcPr>
          <w:p w14:paraId="70FF0590" w14:textId="563FCD25"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24.7</w:t>
            </w:r>
          </w:p>
        </w:tc>
        <w:tc>
          <w:tcPr>
            <w:tcW w:w="1090" w:type="dxa"/>
            <w:shd w:val="clear" w:color="auto" w:fill="244C5A"/>
          </w:tcPr>
          <w:p w14:paraId="028547D9" w14:textId="68ADDAC2"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8 %</w:t>
            </w:r>
          </w:p>
        </w:tc>
        <w:tc>
          <w:tcPr>
            <w:tcW w:w="1090" w:type="dxa"/>
            <w:shd w:val="clear" w:color="auto" w:fill="244C5A"/>
          </w:tcPr>
          <w:p w14:paraId="4E21FDEA" w14:textId="70AE27E7"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11 %</w:t>
            </w:r>
          </w:p>
        </w:tc>
        <w:tc>
          <w:tcPr>
            <w:tcW w:w="1090" w:type="dxa"/>
            <w:shd w:val="clear" w:color="auto" w:fill="244C5A"/>
          </w:tcPr>
          <w:p w14:paraId="0916C8B0" w14:textId="643DCA8B"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91 %</w:t>
            </w:r>
          </w:p>
        </w:tc>
        <w:tc>
          <w:tcPr>
            <w:tcW w:w="1091" w:type="dxa"/>
            <w:shd w:val="clear" w:color="auto" w:fill="244C5A"/>
          </w:tcPr>
          <w:p w14:paraId="4A1DC7C7" w14:textId="319019A1"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14.1</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5777B6" w:rsidRPr="00A6366B" w14:paraId="749C05BA" w14:textId="77777777" w:rsidTr="005D70E5">
        <w:trPr>
          <w:trHeight w:val="1062"/>
          <w:tblHeader/>
        </w:trPr>
        <w:tc>
          <w:tcPr>
            <w:tcW w:w="6813" w:type="dxa"/>
            <w:gridSpan w:val="3"/>
            <w:shd w:val="clear" w:color="auto" w:fill="FFFFFF"/>
            <w:vAlign w:val="bottom"/>
          </w:tcPr>
          <w:p w14:paraId="06AC8AF0" w14:textId="6D089E2A" w:rsidR="005777B6" w:rsidRPr="00EC71A3" w:rsidRDefault="005777B6" w:rsidP="005D70E5">
            <w:pPr>
              <w:pStyle w:val="Heading1"/>
              <w:spacing w:before="0" w:line="240" w:lineRule="auto"/>
              <w:rPr>
                <w:rFonts w:eastAsia="Verdana"/>
                <w:bCs w:val="0"/>
                <w:color w:val="244C5A"/>
                <w:sz w:val="22"/>
              </w:rPr>
            </w:pPr>
            <w:bookmarkStart w:id="12" w:name="_Toc37867224"/>
            <w:r>
              <w:rPr>
                <w:bCs w:val="0"/>
                <w:color w:val="244C5A"/>
                <w:sz w:val="22"/>
              </w:rPr>
              <w:lastRenderedPageBreak/>
              <w:t>Metropolitan PARC</w:t>
            </w:r>
            <w:r w:rsidRPr="00EC71A3">
              <w:rPr>
                <w:bCs w:val="0"/>
                <w:color w:val="244C5A"/>
                <w:sz w:val="22"/>
              </w:rPr>
              <w:br w:type="textWrapping" w:clear="all"/>
            </w:r>
            <w:r w:rsidR="005406C4">
              <w:rPr>
                <w:bCs w:val="0"/>
                <w:color w:val="244C5A"/>
                <w:sz w:val="22"/>
              </w:rPr>
              <w:t>2019–20 Q1–Q</w:t>
            </w:r>
            <w:r w:rsidR="0056356A">
              <w:rPr>
                <w:bCs w:val="0"/>
                <w:color w:val="244C5A"/>
                <w:sz w:val="22"/>
              </w:rPr>
              <w:t>3</w:t>
            </w:r>
            <w:bookmarkEnd w:id="12"/>
          </w:p>
        </w:tc>
        <w:tc>
          <w:tcPr>
            <w:tcW w:w="1090" w:type="dxa"/>
            <w:shd w:val="clear" w:color="auto" w:fill="FFFFFF"/>
            <w:vAlign w:val="bottom"/>
          </w:tcPr>
          <w:p w14:paraId="245ACAF1" w14:textId="77777777" w:rsidR="005777B6" w:rsidRPr="00C714A8" w:rsidRDefault="005777B6" w:rsidP="005D70E5">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4A284A67" w14:textId="77777777" w:rsidR="005777B6" w:rsidRPr="00C714A8" w:rsidRDefault="005777B6" w:rsidP="005D70E5">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06BB3CDE" w14:textId="77777777" w:rsidR="005777B6" w:rsidRPr="00C714A8" w:rsidRDefault="005777B6" w:rsidP="005D70E5">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581AD641" w14:textId="557D78A4" w:rsidR="005777B6" w:rsidRPr="00C714A8" w:rsidRDefault="005777B6" w:rsidP="005D70E5">
            <w:pPr>
              <w:pStyle w:val="VAHItablecolhead"/>
              <w:rPr>
                <w:rFonts w:eastAsia="Verdana"/>
                <w:color w:val="244C5A"/>
                <w:sz w:val="16"/>
              </w:rPr>
            </w:pPr>
            <w:r w:rsidRPr="00C714A8">
              <w:rPr>
                <w:sz w:val="16"/>
              </w:rPr>
              <w:t>Average duration of treatment to date (days)</w:t>
            </w:r>
            <w:r w:rsidR="0004422D">
              <w:rPr>
                <w:sz w:val="16"/>
              </w:rPr>
              <w:t xml:space="preserve"> </w:t>
            </w:r>
          </w:p>
        </w:tc>
        <w:tc>
          <w:tcPr>
            <w:tcW w:w="1090" w:type="dxa"/>
            <w:shd w:val="clear" w:color="auto" w:fill="FFFFFF"/>
            <w:vAlign w:val="bottom"/>
          </w:tcPr>
          <w:p w14:paraId="189A7201" w14:textId="77777777" w:rsidR="005777B6" w:rsidRPr="00C714A8" w:rsidRDefault="005777B6" w:rsidP="005D70E5">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78144389" w14:textId="498A1082" w:rsidR="005777B6" w:rsidRPr="00C714A8" w:rsidRDefault="005777B6" w:rsidP="005D70E5">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C6FE14C" w14:textId="77777777" w:rsidR="005777B6" w:rsidRPr="00C714A8" w:rsidRDefault="005777B6" w:rsidP="005D70E5">
            <w:pPr>
              <w:pStyle w:val="VAHItablecolhead"/>
              <w:rPr>
                <w:sz w:val="16"/>
              </w:rPr>
            </w:pPr>
            <w:r w:rsidRPr="00C714A8">
              <w:rPr>
                <w:sz w:val="16"/>
              </w:rPr>
              <w:t>HoNOS compliance</w:t>
            </w:r>
          </w:p>
        </w:tc>
        <w:tc>
          <w:tcPr>
            <w:tcW w:w="1091" w:type="dxa"/>
            <w:shd w:val="clear" w:color="auto" w:fill="FFFFFF"/>
            <w:vAlign w:val="bottom"/>
          </w:tcPr>
          <w:p w14:paraId="2B22E445" w14:textId="77777777" w:rsidR="005777B6" w:rsidRPr="00C714A8" w:rsidRDefault="005777B6" w:rsidP="005D70E5">
            <w:pPr>
              <w:pStyle w:val="VAHItablecolhead"/>
              <w:rPr>
                <w:rFonts w:eastAsia="Verdana"/>
                <w:color w:val="244C5A"/>
                <w:sz w:val="16"/>
              </w:rPr>
            </w:pPr>
            <w:r w:rsidRPr="00C714A8">
              <w:rPr>
                <w:sz w:val="16"/>
              </w:rPr>
              <w:t>Average HoNOS at episode start</w:t>
            </w:r>
          </w:p>
        </w:tc>
      </w:tr>
      <w:tr w:rsidR="00847E82" w:rsidRPr="00A6366B" w14:paraId="0B1A99E0" w14:textId="77777777" w:rsidTr="005D70E5">
        <w:trPr>
          <w:trHeight w:val="284"/>
        </w:trPr>
        <w:tc>
          <w:tcPr>
            <w:tcW w:w="1570" w:type="dxa"/>
            <w:shd w:val="clear" w:color="auto" w:fill="BFCED6"/>
          </w:tcPr>
          <w:p w14:paraId="2094A888" w14:textId="6A4270F1"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Alfred Health</w:t>
            </w:r>
          </w:p>
        </w:tc>
        <w:tc>
          <w:tcPr>
            <w:tcW w:w="2410" w:type="dxa"/>
            <w:shd w:val="clear" w:color="auto" w:fill="BFCED6"/>
          </w:tcPr>
          <w:p w14:paraId="02123BE8" w14:textId="4F8E2947"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Inner South East (The Alfred)</w:t>
            </w:r>
          </w:p>
        </w:tc>
        <w:tc>
          <w:tcPr>
            <w:tcW w:w="2833" w:type="dxa"/>
            <w:shd w:val="clear" w:color="auto" w:fill="BFCED6"/>
          </w:tcPr>
          <w:p w14:paraId="1090E63C" w14:textId="73213B5F" w:rsidR="00847E82" w:rsidRPr="005B1FEF" w:rsidRDefault="00847E82" w:rsidP="00847E82">
            <w:pPr>
              <w:rPr>
                <w:rFonts w:ascii="VIC" w:hAnsi="VIC"/>
                <w:sz w:val="18"/>
                <w:szCs w:val="18"/>
              </w:rPr>
            </w:pPr>
            <w:r w:rsidRPr="00427725">
              <w:rPr>
                <w:rFonts w:ascii="VIC" w:eastAsia="Verdana" w:hAnsi="VIC"/>
                <w:color w:val="000000"/>
                <w:sz w:val="18"/>
                <w:szCs w:val="18"/>
              </w:rPr>
              <w:t>Alfred PARC</w:t>
            </w:r>
          </w:p>
        </w:tc>
        <w:tc>
          <w:tcPr>
            <w:tcW w:w="1090" w:type="dxa"/>
            <w:shd w:val="clear" w:color="auto" w:fill="BFCED6"/>
          </w:tcPr>
          <w:p w14:paraId="21DD530F" w14:textId="5CEFA27F" w:rsidR="00847E82" w:rsidRPr="005B1FEF" w:rsidRDefault="00847E82" w:rsidP="00847E82">
            <w:pPr>
              <w:jc w:val="center"/>
              <w:rPr>
                <w:rFonts w:ascii="VIC" w:hAnsi="VIC"/>
                <w:sz w:val="18"/>
                <w:szCs w:val="18"/>
              </w:rPr>
            </w:pPr>
            <w:r w:rsidRPr="00427725">
              <w:rPr>
                <w:rFonts w:ascii="VIC" w:eastAsia="Verdana" w:hAnsi="VIC"/>
                <w:color w:val="000000"/>
                <w:sz w:val="18"/>
                <w:szCs w:val="18"/>
              </w:rPr>
              <w:t>68 %</w:t>
            </w:r>
          </w:p>
        </w:tc>
        <w:tc>
          <w:tcPr>
            <w:tcW w:w="1090" w:type="dxa"/>
            <w:shd w:val="clear" w:color="auto" w:fill="BFCED6"/>
          </w:tcPr>
          <w:p w14:paraId="42C826F6" w14:textId="7039CD0F" w:rsidR="00847E82" w:rsidRPr="005B1FEF" w:rsidRDefault="00847E82" w:rsidP="00847E82">
            <w:pPr>
              <w:jc w:val="center"/>
              <w:rPr>
                <w:rFonts w:ascii="VIC" w:hAnsi="VIC"/>
                <w:sz w:val="18"/>
                <w:szCs w:val="18"/>
              </w:rPr>
            </w:pPr>
            <w:r w:rsidRPr="00427725">
              <w:rPr>
                <w:rFonts w:ascii="VIC" w:eastAsia="Verdana" w:hAnsi="VIC"/>
                <w:color w:val="000000"/>
                <w:sz w:val="18"/>
                <w:szCs w:val="18"/>
              </w:rPr>
              <w:t>17.3</w:t>
            </w:r>
          </w:p>
        </w:tc>
        <w:tc>
          <w:tcPr>
            <w:tcW w:w="1090" w:type="dxa"/>
            <w:shd w:val="clear" w:color="auto" w:fill="BFCED6"/>
          </w:tcPr>
          <w:p w14:paraId="138B9445" w14:textId="747C9A01"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6CC3D9EE" w14:textId="6B2D0562" w:rsidR="00847E82" w:rsidRPr="005B1FEF" w:rsidRDefault="00847E82" w:rsidP="00847E82">
            <w:pPr>
              <w:jc w:val="center"/>
              <w:rPr>
                <w:rFonts w:ascii="VIC" w:hAnsi="VIC"/>
                <w:sz w:val="18"/>
                <w:szCs w:val="18"/>
              </w:rPr>
            </w:pPr>
            <w:r w:rsidRPr="00427725">
              <w:rPr>
                <w:rFonts w:ascii="VIC" w:eastAsia="Verdana" w:hAnsi="VIC"/>
                <w:color w:val="000000"/>
                <w:sz w:val="18"/>
                <w:szCs w:val="18"/>
              </w:rPr>
              <w:t>17.4</w:t>
            </w:r>
          </w:p>
        </w:tc>
        <w:tc>
          <w:tcPr>
            <w:tcW w:w="1090" w:type="dxa"/>
            <w:shd w:val="clear" w:color="auto" w:fill="BFCED6"/>
          </w:tcPr>
          <w:p w14:paraId="308C6883" w14:textId="39346588"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BFCED6"/>
          </w:tcPr>
          <w:p w14:paraId="1592368B" w14:textId="2A27DFA9" w:rsidR="00847E82" w:rsidRPr="005B1FEF"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25433AE1" w14:textId="56BC1449"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091" w:type="dxa"/>
            <w:shd w:val="clear" w:color="auto" w:fill="BFCED6"/>
          </w:tcPr>
          <w:p w14:paraId="1F368F0D" w14:textId="08630FB6" w:rsidR="00847E82" w:rsidRPr="005B1FEF" w:rsidRDefault="00847E82" w:rsidP="00847E82">
            <w:pPr>
              <w:jc w:val="center"/>
              <w:rPr>
                <w:rFonts w:ascii="VIC" w:hAnsi="VIC"/>
                <w:sz w:val="18"/>
                <w:szCs w:val="18"/>
              </w:rPr>
            </w:pPr>
            <w:r w:rsidRPr="00427725">
              <w:rPr>
                <w:rFonts w:ascii="VIC" w:eastAsia="Verdana" w:hAnsi="VIC"/>
                <w:color w:val="000000"/>
                <w:sz w:val="18"/>
                <w:szCs w:val="18"/>
              </w:rPr>
              <w:t>10.1</w:t>
            </w:r>
          </w:p>
        </w:tc>
      </w:tr>
      <w:tr w:rsidR="00847E82" w:rsidRPr="00A6366B" w14:paraId="22B331A1" w14:textId="77777777" w:rsidTr="005D70E5">
        <w:trPr>
          <w:trHeight w:val="284"/>
        </w:trPr>
        <w:tc>
          <w:tcPr>
            <w:tcW w:w="1570" w:type="dxa"/>
          </w:tcPr>
          <w:p w14:paraId="168DEA0A" w14:textId="50CC3124"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Austin Health</w:t>
            </w:r>
          </w:p>
        </w:tc>
        <w:tc>
          <w:tcPr>
            <w:tcW w:w="2410" w:type="dxa"/>
          </w:tcPr>
          <w:p w14:paraId="5D5835EE" w14:textId="64C93072"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North East (Austin)</w:t>
            </w:r>
          </w:p>
        </w:tc>
        <w:tc>
          <w:tcPr>
            <w:tcW w:w="2833" w:type="dxa"/>
          </w:tcPr>
          <w:p w14:paraId="1C19E36C" w14:textId="666BB202" w:rsidR="00847E82" w:rsidRPr="005B1FEF" w:rsidRDefault="00847E82" w:rsidP="00847E82">
            <w:pPr>
              <w:rPr>
                <w:rFonts w:ascii="VIC" w:hAnsi="VIC"/>
                <w:sz w:val="18"/>
                <w:szCs w:val="18"/>
              </w:rPr>
            </w:pPr>
            <w:r w:rsidRPr="00427725">
              <w:rPr>
                <w:rFonts w:ascii="VIC" w:eastAsia="Verdana" w:hAnsi="VIC"/>
                <w:color w:val="000000"/>
                <w:sz w:val="18"/>
                <w:szCs w:val="18"/>
              </w:rPr>
              <w:t>Austin PARC</w:t>
            </w:r>
          </w:p>
        </w:tc>
        <w:tc>
          <w:tcPr>
            <w:tcW w:w="1090" w:type="dxa"/>
          </w:tcPr>
          <w:p w14:paraId="283678A8" w14:textId="4C98E791" w:rsidR="00847E82" w:rsidRPr="005B1FEF" w:rsidRDefault="00847E82" w:rsidP="00847E82">
            <w:pPr>
              <w:jc w:val="center"/>
              <w:rPr>
                <w:rFonts w:ascii="VIC" w:hAnsi="VIC"/>
                <w:sz w:val="18"/>
                <w:szCs w:val="18"/>
              </w:rPr>
            </w:pPr>
            <w:r w:rsidRPr="00427725">
              <w:rPr>
                <w:rFonts w:ascii="VIC" w:eastAsia="Verdana" w:hAnsi="VIC"/>
                <w:color w:val="000000"/>
                <w:sz w:val="18"/>
                <w:szCs w:val="18"/>
              </w:rPr>
              <w:t>64 %</w:t>
            </w:r>
          </w:p>
        </w:tc>
        <w:tc>
          <w:tcPr>
            <w:tcW w:w="1090" w:type="dxa"/>
          </w:tcPr>
          <w:p w14:paraId="4CBF9761" w14:textId="20F894A6" w:rsidR="00847E82" w:rsidRPr="005B1FEF" w:rsidRDefault="00847E82" w:rsidP="00847E82">
            <w:pPr>
              <w:jc w:val="center"/>
              <w:rPr>
                <w:rFonts w:ascii="VIC" w:hAnsi="VIC"/>
                <w:sz w:val="18"/>
                <w:szCs w:val="18"/>
              </w:rPr>
            </w:pPr>
            <w:r w:rsidRPr="00427725">
              <w:rPr>
                <w:rFonts w:ascii="VIC" w:eastAsia="Verdana" w:hAnsi="VIC"/>
                <w:color w:val="000000"/>
                <w:sz w:val="18"/>
                <w:szCs w:val="18"/>
              </w:rPr>
              <w:t>18.0</w:t>
            </w:r>
          </w:p>
        </w:tc>
        <w:tc>
          <w:tcPr>
            <w:tcW w:w="1090" w:type="dxa"/>
          </w:tcPr>
          <w:p w14:paraId="6D1F2F9D" w14:textId="7B6B5827"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tcPr>
          <w:p w14:paraId="60728FE5" w14:textId="6021C4AE" w:rsidR="00847E82" w:rsidRPr="005B1FEF" w:rsidRDefault="00847E82" w:rsidP="00847E82">
            <w:pPr>
              <w:jc w:val="center"/>
              <w:rPr>
                <w:rFonts w:ascii="VIC" w:hAnsi="VIC"/>
                <w:sz w:val="18"/>
                <w:szCs w:val="18"/>
              </w:rPr>
            </w:pPr>
            <w:r w:rsidRPr="00427725">
              <w:rPr>
                <w:rFonts w:ascii="VIC" w:eastAsia="Verdana" w:hAnsi="VIC"/>
                <w:color w:val="000000"/>
                <w:sz w:val="18"/>
                <w:szCs w:val="18"/>
              </w:rPr>
              <w:t>19.0</w:t>
            </w:r>
          </w:p>
        </w:tc>
        <w:tc>
          <w:tcPr>
            <w:tcW w:w="1090" w:type="dxa"/>
          </w:tcPr>
          <w:p w14:paraId="260739C1" w14:textId="0A833270"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tcPr>
          <w:p w14:paraId="7E3F7AB9" w14:textId="6632A364"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tcPr>
          <w:p w14:paraId="645414B3" w14:textId="3FB30FB7" w:rsidR="00847E82" w:rsidRPr="005B1FEF" w:rsidRDefault="00847E82" w:rsidP="00847E82">
            <w:pPr>
              <w:jc w:val="center"/>
              <w:rPr>
                <w:rFonts w:ascii="VIC" w:hAnsi="VIC"/>
                <w:sz w:val="18"/>
                <w:szCs w:val="18"/>
              </w:rPr>
            </w:pPr>
            <w:r w:rsidRPr="00427725">
              <w:rPr>
                <w:rFonts w:ascii="VIC" w:eastAsia="Verdana" w:hAnsi="VIC"/>
                <w:color w:val="000000"/>
                <w:sz w:val="18"/>
                <w:szCs w:val="18"/>
              </w:rPr>
              <w:t>97 %</w:t>
            </w:r>
          </w:p>
        </w:tc>
        <w:tc>
          <w:tcPr>
            <w:tcW w:w="1091" w:type="dxa"/>
          </w:tcPr>
          <w:p w14:paraId="08AAFCDC" w14:textId="536EB7E5" w:rsidR="00847E82" w:rsidRPr="005B1FEF" w:rsidRDefault="00847E82" w:rsidP="00847E82">
            <w:pPr>
              <w:jc w:val="center"/>
              <w:rPr>
                <w:rFonts w:ascii="VIC" w:hAnsi="VIC"/>
                <w:sz w:val="18"/>
                <w:szCs w:val="18"/>
              </w:rPr>
            </w:pPr>
            <w:r w:rsidRPr="00427725">
              <w:rPr>
                <w:rFonts w:ascii="VIC" w:eastAsia="Verdana" w:hAnsi="VIC"/>
                <w:color w:val="000000"/>
                <w:sz w:val="18"/>
                <w:szCs w:val="18"/>
              </w:rPr>
              <w:t>13.3</w:t>
            </w:r>
          </w:p>
        </w:tc>
      </w:tr>
      <w:tr w:rsidR="00847E82" w:rsidRPr="00A6366B" w14:paraId="2F21D1B8" w14:textId="77777777" w:rsidTr="005D70E5">
        <w:trPr>
          <w:trHeight w:val="284"/>
        </w:trPr>
        <w:tc>
          <w:tcPr>
            <w:tcW w:w="1570" w:type="dxa"/>
            <w:vMerge w:val="restart"/>
            <w:shd w:val="clear" w:color="auto" w:fill="BFCED6"/>
          </w:tcPr>
          <w:p w14:paraId="4F83BFAF" w14:textId="4589BC56" w:rsidR="00847E82" w:rsidRPr="00C714A8" w:rsidRDefault="00847E82" w:rsidP="00847E82">
            <w:pPr>
              <w:rPr>
                <w:rFonts w:ascii="VIC" w:hAnsi="VIC"/>
                <w:sz w:val="18"/>
                <w:szCs w:val="18"/>
              </w:rPr>
            </w:pPr>
            <w:r w:rsidRPr="00427725">
              <w:rPr>
                <w:rFonts w:ascii="VIC" w:eastAsia="Verdana" w:hAnsi="VIC"/>
                <w:color w:val="000000"/>
                <w:sz w:val="18"/>
                <w:szCs w:val="18"/>
              </w:rPr>
              <w:t>Eastern Health</w:t>
            </w:r>
          </w:p>
        </w:tc>
        <w:tc>
          <w:tcPr>
            <w:tcW w:w="2410" w:type="dxa"/>
            <w:shd w:val="clear" w:color="auto" w:fill="BFCED6"/>
          </w:tcPr>
          <w:p w14:paraId="0C5D8062" w14:textId="4F999CA2"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Central East (Box Hill)</w:t>
            </w:r>
          </w:p>
        </w:tc>
        <w:tc>
          <w:tcPr>
            <w:tcW w:w="2833" w:type="dxa"/>
            <w:shd w:val="clear" w:color="auto" w:fill="BFCED6"/>
          </w:tcPr>
          <w:p w14:paraId="7A12E0FA" w14:textId="45457E52" w:rsidR="00847E82" w:rsidRPr="005B1FEF" w:rsidRDefault="00847E82" w:rsidP="00847E82">
            <w:pPr>
              <w:rPr>
                <w:rFonts w:ascii="VIC" w:hAnsi="VIC"/>
                <w:sz w:val="18"/>
                <w:szCs w:val="18"/>
              </w:rPr>
            </w:pPr>
            <w:r w:rsidRPr="00427725">
              <w:rPr>
                <w:rFonts w:ascii="VIC" w:eastAsia="Verdana" w:hAnsi="VIC"/>
                <w:color w:val="000000"/>
                <w:sz w:val="18"/>
                <w:szCs w:val="18"/>
              </w:rPr>
              <w:t>Linwood House PARC</w:t>
            </w:r>
          </w:p>
        </w:tc>
        <w:tc>
          <w:tcPr>
            <w:tcW w:w="1090" w:type="dxa"/>
            <w:shd w:val="clear" w:color="auto" w:fill="BFCED6"/>
          </w:tcPr>
          <w:p w14:paraId="414DCB8F" w14:textId="160BD999" w:rsidR="00847E82" w:rsidRPr="005B1FEF" w:rsidRDefault="00847E82" w:rsidP="00847E82">
            <w:pPr>
              <w:jc w:val="center"/>
              <w:rPr>
                <w:rFonts w:ascii="VIC" w:hAnsi="VIC"/>
                <w:sz w:val="18"/>
                <w:szCs w:val="18"/>
              </w:rPr>
            </w:pPr>
            <w:r w:rsidRPr="00427725">
              <w:rPr>
                <w:rFonts w:ascii="VIC" w:eastAsia="Verdana" w:hAnsi="VIC"/>
                <w:color w:val="000000"/>
                <w:sz w:val="18"/>
                <w:szCs w:val="18"/>
              </w:rPr>
              <w:t>76 %</w:t>
            </w:r>
          </w:p>
        </w:tc>
        <w:tc>
          <w:tcPr>
            <w:tcW w:w="1090" w:type="dxa"/>
            <w:shd w:val="clear" w:color="auto" w:fill="BFCED6"/>
          </w:tcPr>
          <w:p w14:paraId="608706C9" w14:textId="5FA772D6" w:rsidR="00847E82" w:rsidRPr="005B1FEF" w:rsidRDefault="00847E82" w:rsidP="00847E82">
            <w:pPr>
              <w:jc w:val="center"/>
              <w:rPr>
                <w:rFonts w:ascii="VIC" w:hAnsi="VIC"/>
                <w:sz w:val="18"/>
                <w:szCs w:val="18"/>
              </w:rPr>
            </w:pPr>
            <w:r w:rsidRPr="00427725">
              <w:rPr>
                <w:rFonts w:ascii="VIC" w:eastAsia="Verdana" w:hAnsi="VIC"/>
                <w:color w:val="000000"/>
                <w:sz w:val="18"/>
                <w:szCs w:val="18"/>
              </w:rPr>
              <w:t>17.6</w:t>
            </w:r>
          </w:p>
        </w:tc>
        <w:tc>
          <w:tcPr>
            <w:tcW w:w="1090" w:type="dxa"/>
            <w:shd w:val="clear" w:color="auto" w:fill="BFCED6"/>
          </w:tcPr>
          <w:p w14:paraId="371C450E" w14:textId="35ED54AF"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52920379" w14:textId="6CD6885A" w:rsidR="00847E82" w:rsidRPr="005B1FEF" w:rsidRDefault="00847E82" w:rsidP="00847E82">
            <w:pPr>
              <w:jc w:val="center"/>
              <w:rPr>
                <w:rFonts w:ascii="VIC" w:hAnsi="VIC"/>
                <w:sz w:val="18"/>
                <w:szCs w:val="18"/>
              </w:rPr>
            </w:pPr>
            <w:r w:rsidRPr="00427725">
              <w:rPr>
                <w:rFonts w:ascii="VIC" w:eastAsia="Verdana" w:hAnsi="VIC"/>
                <w:color w:val="000000"/>
                <w:sz w:val="18"/>
                <w:szCs w:val="18"/>
              </w:rPr>
              <w:t>21.8</w:t>
            </w:r>
          </w:p>
        </w:tc>
        <w:tc>
          <w:tcPr>
            <w:tcW w:w="1090" w:type="dxa"/>
            <w:shd w:val="clear" w:color="auto" w:fill="BFCED6"/>
          </w:tcPr>
          <w:p w14:paraId="469C2D8C" w14:textId="7D39C92C"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708C1F9C" w14:textId="2CE78D27"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c>
          <w:tcPr>
            <w:tcW w:w="1090" w:type="dxa"/>
            <w:shd w:val="clear" w:color="auto" w:fill="BFCED6"/>
          </w:tcPr>
          <w:p w14:paraId="4AA59603" w14:textId="4A1EE7DC"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091" w:type="dxa"/>
            <w:shd w:val="clear" w:color="auto" w:fill="BFCED6"/>
          </w:tcPr>
          <w:p w14:paraId="4D78D21F" w14:textId="1EB1C2D5" w:rsidR="00847E82" w:rsidRPr="005B1FEF" w:rsidRDefault="00847E82" w:rsidP="00847E82">
            <w:pPr>
              <w:jc w:val="center"/>
              <w:rPr>
                <w:rFonts w:ascii="VIC" w:hAnsi="VIC"/>
                <w:sz w:val="18"/>
                <w:szCs w:val="18"/>
              </w:rPr>
            </w:pPr>
            <w:r w:rsidRPr="00427725">
              <w:rPr>
                <w:rFonts w:ascii="VIC" w:eastAsia="Verdana" w:hAnsi="VIC"/>
                <w:color w:val="000000"/>
                <w:sz w:val="18"/>
                <w:szCs w:val="18"/>
              </w:rPr>
              <w:t>13.7</w:t>
            </w:r>
          </w:p>
        </w:tc>
      </w:tr>
      <w:tr w:rsidR="00847E82" w:rsidRPr="00A6366B" w14:paraId="6FC99BF9" w14:textId="77777777" w:rsidTr="005D70E5">
        <w:trPr>
          <w:trHeight w:val="284"/>
        </w:trPr>
        <w:tc>
          <w:tcPr>
            <w:tcW w:w="1570" w:type="dxa"/>
            <w:vMerge/>
            <w:shd w:val="clear" w:color="auto" w:fill="BFCED6"/>
          </w:tcPr>
          <w:p w14:paraId="3F774D3F"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5EDB35B6" w14:textId="30823A20" w:rsidR="00847E82" w:rsidRPr="00382424" w:rsidRDefault="00847E82" w:rsidP="00847E82">
            <w:pPr>
              <w:pStyle w:val="DHHStabletext"/>
              <w:spacing w:before="0" w:after="0"/>
              <w:rPr>
                <w:rFonts w:ascii="VIC" w:hAnsi="VIC"/>
                <w:w w:val="105"/>
                <w:sz w:val="18"/>
                <w:szCs w:val="18"/>
              </w:rPr>
            </w:pPr>
            <w:r w:rsidRPr="00427725">
              <w:rPr>
                <w:rFonts w:ascii="VIC" w:eastAsia="Verdana" w:hAnsi="VIC"/>
                <w:color w:val="000000"/>
                <w:sz w:val="18"/>
                <w:szCs w:val="18"/>
              </w:rPr>
              <w:t>Outer East (Maroondah)</w:t>
            </w:r>
          </w:p>
        </w:tc>
        <w:tc>
          <w:tcPr>
            <w:tcW w:w="2833" w:type="dxa"/>
            <w:shd w:val="clear" w:color="auto" w:fill="BFCED6"/>
          </w:tcPr>
          <w:p w14:paraId="1AA8806E" w14:textId="0D2603CA" w:rsidR="00847E82" w:rsidRPr="005B1FEF" w:rsidRDefault="00847E82" w:rsidP="00847E82">
            <w:pPr>
              <w:rPr>
                <w:rFonts w:ascii="VIC" w:hAnsi="VIC"/>
                <w:sz w:val="18"/>
                <w:szCs w:val="18"/>
              </w:rPr>
            </w:pPr>
            <w:r w:rsidRPr="00427725">
              <w:rPr>
                <w:rFonts w:ascii="VIC" w:eastAsia="Verdana" w:hAnsi="VIC"/>
                <w:color w:val="000000"/>
                <w:sz w:val="18"/>
                <w:szCs w:val="18"/>
              </w:rPr>
              <w:t>Maroondah PARC</w:t>
            </w:r>
          </w:p>
        </w:tc>
        <w:tc>
          <w:tcPr>
            <w:tcW w:w="1090" w:type="dxa"/>
            <w:shd w:val="clear" w:color="auto" w:fill="BFCED6"/>
          </w:tcPr>
          <w:p w14:paraId="4D53B25C" w14:textId="066C14F5"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090" w:type="dxa"/>
            <w:shd w:val="clear" w:color="auto" w:fill="BFCED6"/>
          </w:tcPr>
          <w:p w14:paraId="1EEE4851" w14:textId="7B6CB3CC" w:rsidR="00847E82" w:rsidRPr="005B1FEF" w:rsidRDefault="00847E82" w:rsidP="00847E82">
            <w:pPr>
              <w:jc w:val="center"/>
              <w:rPr>
                <w:rFonts w:ascii="VIC" w:hAnsi="VIC"/>
                <w:sz w:val="18"/>
                <w:szCs w:val="18"/>
              </w:rPr>
            </w:pPr>
            <w:r w:rsidRPr="00427725">
              <w:rPr>
                <w:rFonts w:ascii="VIC" w:eastAsia="Verdana" w:hAnsi="VIC"/>
                <w:color w:val="000000"/>
                <w:sz w:val="18"/>
                <w:szCs w:val="18"/>
              </w:rPr>
              <w:t>16.9</w:t>
            </w:r>
          </w:p>
        </w:tc>
        <w:tc>
          <w:tcPr>
            <w:tcW w:w="1090" w:type="dxa"/>
            <w:shd w:val="clear" w:color="auto" w:fill="BFCED6"/>
          </w:tcPr>
          <w:p w14:paraId="36591D8C" w14:textId="143A8D2D"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3CF60B3" w14:textId="2546B8C3" w:rsidR="00847E82" w:rsidRPr="005B1FEF" w:rsidRDefault="00847E82" w:rsidP="00847E82">
            <w:pPr>
              <w:jc w:val="center"/>
              <w:rPr>
                <w:rFonts w:ascii="VIC" w:hAnsi="VIC"/>
                <w:sz w:val="18"/>
                <w:szCs w:val="18"/>
              </w:rPr>
            </w:pPr>
            <w:r w:rsidRPr="00427725">
              <w:rPr>
                <w:rFonts w:ascii="VIC" w:eastAsia="Verdana" w:hAnsi="VIC"/>
                <w:color w:val="000000"/>
                <w:sz w:val="18"/>
                <w:szCs w:val="18"/>
              </w:rPr>
              <w:t>22.0</w:t>
            </w:r>
          </w:p>
        </w:tc>
        <w:tc>
          <w:tcPr>
            <w:tcW w:w="1090" w:type="dxa"/>
            <w:shd w:val="clear" w:color="auto" w:fill="BFCED6"/>
          </w:tcPr>
          <w:p w14:paraId="15BD6887" w14:textId="252ADA46"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1E5FD10C" w14:textId="78046334" w:rsidR="00847E82" w:rsidRPr="005B1FEF"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5CE37035" w14:textId="5B5EAF6F"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091" w:type="dxa"/>
            <w:shd w:val="clear" w:color="auto" w:fill="BFCED6"/>
          </w:tcPr>
          <w:p w14:paraId="1C547999" w14:textId="5A7D24BE" w:rsidR="00847E82" w:rsidRPr="005B1FEF" w:rsidRDefault="00847E82" w:rsidP="00847E82">
            <w:pPr>
              <w:jc w:val="center"/>
              <w:rPr>
                <w:rFonts w:ascii="VIC" w:hAnsi="VIC"/>
                <w:sz w:val="18"/>
                <w:szCs w:val="18"/>
              </w:rPr>
            </w:pPr>
            <w:r w:rsidRPr="00427725">
              <w:rPr>
                <w:rFonts w:ascii="VIC" w:eastAsia="Verdana" w:hAnsi="VIC"/>
                <w:color w:val="000000"/>
                <w:sz w:val="18"/>
                <w:szCs w:val="18"/>
              </w:rPr>
              <w:t>16.2</w:t>
            </w:r>
          </w:p>
        </w:tc>
      </w:tr>
      <w:tr w:rsidR="00847E82" w:rsidRPr="00A6366B" w14:paraId="7E10F6FD" w14:textId="77777777" w:rsidTr="005D70E5">
        <w:trPr>
          <w:trHeight w:val="284"/>
        </w:trPr>
        <w:tc>
          <w:tcPr>
            <w:tcW w:w="1570" w:type="dxa"/>
            <w:vMerge/>
            <w:shd w:val="clear" w:color="auto" w:fill="BFCED6"/>
          </w:tcPr>
          <w:p w14:paraId="2471A4E8"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36D01F17" w14:textId="67C4975C" w:rsidR="00847E82" w:rsidRPr="00382424"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TOTAL</w:t>
            </w:r>
          </w:p>
        </w:tc>
        <w:tc>
          <w:tcPr>
            <w:tcW w:w="2833" w:type="dxa"/>
            <w:shd w:val="clear" w:color="auto" w:fill="BFCED6"/>
          </w:tcPr>
          <w:p w14:paraId="694581C8" w14:textId="30B9E042" w:rsidR="00847E82" w:rsidRPr="005B1FEF" w:rsidRDefault="00847E82" w:rsidP="00847E82">
            <w:pPr>
              <w:rPr>
                <w:rFonts w:ascii="VIC" w:hAnsi="VIC"/>
                <w:sz w:val="18"/>
                <w:szCs w:val="18"/>
              </w:rPr>
            </w:pPr>
            <w:r w:rsidRPr="00427725">
              <w:rPr>
                <w:rFonts w:ascii="VIC" w:eastAsia="Verdana" w:hAnsi="VIC"/>
                <w:color w:val="000000"/>
                <w:sz w:val="18"/>
                <w:szCs w:val="18"/>
              </w:rPr>
              <w:t xml:space="preserve"> </w:t>
            </w:r>
          </w:p>
        </w:tc>
        <w:tc>
          <w:tcPr>
            <w:tcW w:w="1090" w:type="dxa"/>
            <w:shd w:val="clear" w:color="auto" w:fill="BFCED6"/>
          </w:tcPr>
          <w:p w14:paraId="2A90B9FD" w14:textId="65DD1C04" w:rsidR="00847E82" w:rsidRPr="005B1FEF" w:rsidRDefault="00847E82" w:rsidP="00847E82">
            <w:pPr>
              <w:jc w:val="center"/>
              <w:rPr>
                <w:rFonts w:ascii="VIC" w:hAnsi="VIC"/>
                <w:sz w:val="18"/>
                <w:szCs w:val="18"/>
              </w:rPr>
            </w:pPr>
            <w:r w:rsidRPr="00427725">
              <w:rPr>
                <w:rFonts w:ascii="VIC" w:eastAsia="Verdana" w:hAnsi="VIC"/>
                <w:color w:val="000000"/>
                <w:sz w:val="18"/>
                <w:szCs w:val="18"/>
              </w:rPr>
              <w:t>86 %</w:t>
            </w:r>
          </w:p>
        </w:tc>
        <w:tc>
          <w:tcPr>
            <w:tcW w:w="1090" w:type="dxa"/>
            <w:shd w:val="clear" w:color="auto" w:fill="BFCED6"/>
          </w:tcPr>
          <w:p w14:paraId="0D3BDAB5" w14:textId="6E88AFB3" w:rsidR="00847E82" w:rsidRPr="005B1FEF" w:rsidRDefault="00847E82" w:rsidP="00847E82">
            <w:pPr>
              <w:jc w:val="center"/>
              <w:rPr>
                <w:rFonts w:ascii="VIC" w:hAnsi="VIC"/>
                <w:sz w:val="18"/>
                <w:szCs w:val="18"/>
              </w:rPr>
            </w:pPr>
            <w:r w:rsidRPr="00427725">
              <w:rPr>
                <w:rFonts w:ascii="VIC" w:eastAsia="Verdana" w:hAnsi="VIC"/>
                <w:color w:val="000000"/>
                <w:sz w:val="18"/>
                <w:szCs w:val="18"/>
              </w:rPr>
              <w:t>17.1</w:t>
            </w:r>
          </w:p>
        </w:tc>
        <w:tc>
          <w:tcPr>
            <w:tcW w:w="1090" w:type="dxa"/>
            <w:shd w:val="clear" w:color="auto" w:fill="BFCED6"/>
          </w:tcPr>
          <w:p w14:paraId="4C420348" w14:textId="0CC95599"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B84BD78" w14:textId="22E593E5" w:rsidR="00847E82" w:rsidRPr="005B1FEF" w:rsidRDefault="00847E82" w:rsidP="00847E82">
            <w:pPr>
              <w:jc w:val="center"/>
              <w:rPr>
                <w:rFonts w:ascii="VIC" w:hAnsi="VIC"/>
                <w:sz w:val="18"/>
                <w:szCs w:val="18"/>
              </w:rPr>
            </w:pPr>
            <w:r w:rsidRPr="00427725">
              <w:rPr>
                <w:rFonts w:ascii="VIC" w:eastAsia="Verdana" w:hAnsi="VIC"/>
                <w:color w:val="000000"/>
                <w:sz w:val="18"/>
                <w:szCs w:val="18"/>
              </w:rPr>
              <w:t>21.9</w:t>
            </w:r>
          </w:p>
        </w:tc>
        <w:tc>
          <w:tcPr>
            <w:tcW w:w="1090" w:type="dxa"/>
            <w:shd w:val="clear" w:color="auto" w:fill="BFCED6"/>
          </w:tcPr>
          <w:p w14:paraId="4E65760A" w14:textId="5C676C57"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256E487C" w14:textId="06B42FA2"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BFCED6"/>
          </w:tcPr>
          <w:p w14:paraId="12DF7146" w14:textId="49940E27"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091" w:type="dxa"/>
            <w:shd w:val="clear" w:color="auto" w:fill="BFCED6"/>
          </w:tcPr>
          <w:p w14:paraId="2109550F" w14:textId="4FEFBFC4" w:rsidR="00847E82" w:rsidRPr="005B1FEF" w:rsidRDefault="00847E82" w:rsidP="00847E82">
            <w:pPr>
              <w:jc w:val="center"/>
              <w:rPr>
                <w:rFonts w:ascii="VIC" w:hAnsi="VIC"/>
                <w:sz w:val="18"/>
                <w:szCs w:val="18"/>
              </w:rPr>
            </w:pPr>
            <w:r w:rsidRPr="00427725">
              <w:rPr>
                <w:rFonts w:ascii="VIC" w:eastAsia="Verdana" w:hAnsi="VIC"/>
                <w:color w:val="000000"/>
                <w:sz w:val="18"/>
                <w:szCs w:val="18"/>
              </w:rPr>
              <w:t>15.2</w:t>
            </w:r>
          </w:p>
        </w:tc>
      </w:tr>
      <w:tr w:rsidR="00847E82" w:rsidRPr="00A6366B" w14:paraId="0A7DBA0B" w14:textId="77777777" w:rsidTr="005D70E5">
        <w:trPr>
          <w:trHeight w:val="284"/>
        </w:trPr>
        <w:tc>
          <w:tcPr>
            <w:tcW w:w="1570" w:type="dxa"/>
            <w:vMerge w:val="restart"/>
            <w:shd w:val="clear" w:color="auto" w:fill="FFFFFF" w:themeFill="background1"/>
          </w:tcPr>
          <w:p w14:paraId="6BE0403E" w14:textId="00FE907A"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Melbourne Health</w:t>
            </w:r>
          </w:p>
        </w:tc>
        <w:tc>
          <w:tcPr>
            <w:tcW w:w="2410" w:type="dxa"/>
            <w:shd w:val="clear" w:color="auto" w:fill="FFFFFF" w:themeFill="background1"/>
          </w:tcPr>
          <w:p w14:paraId="150D7FF0" w14:textId="34B2DBBE"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Inner West (RMH)</w:t>
            </w:r>
          </w:p>
        </w:tc>
        <w:tc>
          <w:tcPr>
            <w:tcW w:w="2833" w:type="dxa"/>
            <w:shd w:val="clear" w:color="auto" w:fill="FFFFFF" w:themeFill="background1"/>
          </w:tcPr>
          <w:p w14:paraId="41F1E5F1" w14:textId="6C966BA9" w:rsidR="00847E82" w:rsidRPr="005B1FEF" w:rsidRDefault="00847E82" w:rsidP="00847E82">
            <w:pPr>
              <w:rPr>
                <w:rFonts w:ascii="VIC" w:hAnsi="VIC"/>
                <w:sz w:val="18"/>
                <w:szCs w:val="18"/>
              </w:rPr>
            </w:pPr>
            <w:r w:rsidRPr="00427725">
              <w:rPr>
                <w:rFonts w:ascii="VIC" w:eastAsia="Verdana" w:hAnsi="VIC"/>
                <w:color w:val="000000"/>
                <w:sz w:val="18"/>
                <w:szCs w:val="18"/>
              </w:rPr>
              <w:t>Arion PARC</w:t>
            </w:r>
          </w:p>
        </w:tc>
        <w:tc>
          <w:tcPr>
            <w:tcW w:w="1090" w:type="dxa"/>
            <w:shd w:val="clear" w:color="auto" w:fill="FFFFFF" w:themeFill="background1"/>
          </w:tcPr>
          <w:p w14:paraId="780F1A86" w14:textId="61AD2F4C"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090" w:type="dxa"/>
            <w:shd w:val="clear" w:color="auto" w:fill="FFFFFF" w:themeFill="background1"/>
          </w:tcPr>
          <w:p w14:paraId="76798DEC" w14:textId="4BFC6F05" w:rsidR="00847E82" w:rsidRPr="005B1FEF" w:rsidRDefault="00847E82" w:rsidP="00847E82">
            <w:pPr>
              <w:jc w:val="center"/>
              <w:rPr>
                <w:rFonts w:ascii="VIC" w:hAnsi="VIC"/>
                <w:sz w:val="18"/>
                <w:szCs w:val="18"/>
              </w:rPr>
            </w:pPr>
            <w:r w:rsidRPr="00427725">
              <w:rPr>
                <w:rFonts w:ascii="VIC" w:eastAsia="Verdana" w:hAnsi="VIC"/>
                <w:color w:val="000000"/>
                <w:sz w:val="18"/>
                <w:szCs w:val="18"/>
              </w:rPr>
              <w:t>31.8</w:t>
            </w:r>
          </w:p>
        </w:tc>
        <w:tc>
          <w:tcPr>
            <w:tcW w:w="1090" w:type="dxa"/>
            <w:shd w:val="clear" w:color="auto" w:fill="FFFFFF" w:themeFill="background1"/>
          </w:tcPr>
          <w:p w14:paraId="304691B1" w14:textId="2E3BE8B0"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FFFFFF" w:themeFill="background1"/>
          </w:tcPr>
          <w:p w14:paraId="1E500FFD" w14:textId="4B5A618F" w:rsidR="00847E82" w:rsidRPr="005B1FEF" w:rsidRDefault="00847E82" w:rsidP="00847E82">
            <w:pPr>
              <w:jc w:val="center"/>
              <w:rPr>
                <w:rFonts w:ascii="VIC" w:hAnsi="VIC"/>
                <w:sz w:val="18"/>
                <w:szCs w:val="18"/>
              </w:rPr>
            </w:pPr>
            <w:r w:rsidRPr="00427725">
              <w:rPr>
                <w:rFonts w:ascii="VIC" w:eastAsia="Verdana" w:hAnsi="VIC"/>
                <w:color w:val="000000"/>
                <w:sz w:val="18"/>
                <w:szCs w:val="18"/>
              </w:rPr>
              <w:t>70.2</w:t>
            </w:r>
          </w:p>
        </w:tc>
        <w:tc>
          <w:tcPr>
            <w:tcW w:w="1090" w:type="dxa"/>
            <w:shd w:val="clear" w:color="auto" w:fill="FFFFFF" w:themeFill="background1"/>
          </w:tcPr>
          <w:p w14:paraId="00822AD7" w14:textId="655D7893"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FFFFFF" w:themeFill="background1"/>
          </w:tcPr>
          <w:p w14:paraId="1CB229FD" w14:textId="4DE78022" w:rsidR="00847E82" w:rsidRPr="005B1FEF" w:rsidRDefault="00847E82" w:rsidP="00847E82">
            <w:pPr>
              <w:jc w:val="center"/>
              <w:rPr>
                <w:rFonts w:ascii="VIC" w:hAnsi="VIC"/>
                <w:sz w:val="18"/>
                <w:szCs w:val="18"/>
              </w:rPr>
            </w:pPr>
            <w:r w:rsidRPr="00427725">
              <w:rPr>
                <w:rFonts w:ascii="VIC" w:eastAsia="Verdana" w:hAnsi="VIC"/>
                <w:color w:val="000000"/>
                <w:sz w:val="18"/>
                <w:szCs w:val="18"/>
              </w:rPr>
              <w:t>35 %</w:t>
            </w:r>
          </w:p>
        </w:tc>
        <w:tc>
          <w:tcPr>
            <w:tcW w:w="1090" w:type="dxa"/>
            <w:shd w:val="clear" w:color="auto" w:fill="FFFFFF" w:themeFill="background1"/>
          </w:tcPr>
          <w:p w14:paraId="7A018502" w14:textId="452B854C" w:rsidR="00847E82" w:rsidRPr="005B1FEF" w:rsidRDefault="00847E82" w:rsidP="00847E82">
            <w:pPr>
              <w:jc w:val="center"/>
              <w:rPr>
                <w:rFonts w:ascii="VIC" w:hAnsi="VIC"/>
                <w:sz w:val="18"/>
                <w:szCs w:val="18"/>
              </w:rPr>
            </w:pPr>
            <w:r w:rsidRPr="00427725">
              <w:rPr>
                <w:rFonts w:ascii="VIC" w:eastAsia="Verdana" w:hAnsi="VIC"/>
                <w:color w:val="000000"/>
                <w:sz w:val="18"/>
                <w:szCs w:val="18"/>
              </w:rPr>
              <w:t>35 %</w:t>
            </w:r>
          </w:p>
        </w:tc>
        <w:tc>
          <w:tcPr>
            <w:tcW w:w="1091" w:type="dxa"/>
            <w:shd w:val="clear" w:color="auto" w:fill="FFFFFF" w:themeFill="background1"/>
          </w:tcPr>
          <w:p w14:paraId="2758889D" w14:textId="31A5927F" w:rsidR="00847E82" w:rsidRPr="005B1FEF" w:rsidRDefault="00847E82" w:rsidP="00847E82">
            <w:pPr>
              <w:jc w:val="center"/>
              <w:rPr>
                <w:rFonts w:ascii="VIC" w:hAnsi="VIC"/>
                <w:sz w:val="18"/>
                <w:szCs w:val="18"/>
              </w:rPr>
            </w:pPr>
            <w:r w:rsidRPr="00427725">
              <w:rPr>
                <w:rFonts w:ascii="VIC" w:eastAsia="Verdana" w:hAnsi="VIC"/>
                <w:color w:val="000000"/>
                <w:sz w:val="18"/>
                <w:szCs w:val="18"/>
              </w:rPr>
              <w:t>12.9</w:t>
            </w:r>
          </w:p>
        </w:tc>
      </w:tr>
      <w:tr w:rsidR="00847E82" w:rsidRPr="00A6366B" w14:paraId="622C9EF7" w14:textId="77777777" w:rsidTr="005D70E5">
        <w:trPr>
          <w:trHeight w:val="284"/>
        </w:trPr>
        <w:tc>
          <w:tcPr>
            <w:tcW w:w="1570" w:type="dxa"/>
            <w:vMerge/>
            <w:shd w:val="clear" w:color="auto" w:fill="FFFFFF" w:themeFill="background1"/>
          </w:tcPr>
          <w:p w14:paraId="1456E4A8"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648EBE65" w14:textId="54A3A243"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Mid West (Sunshine)</w:t>
            </w:r>
          </w:p>
        </w:tc>
        <w:tc>
          <w:tcPr>
            <w:tcW w:w="2833" w:type="dxa"/>
            <w:shd w:val="clear" w:color="auto" w:fill="FFFFFF" w:themeFill="background1"/>
          </w:tcPr>
          <w:p w14:paraId="532B1FD4" w14:textId="7A9B4D82" w:rsidR="00847E82" w:rsidRPr="005B1FEF" w:rsidRDefault="00847E82" w:rsidP="00847E82">
            <w:pPr>
              <w:rPr>
                <w:rFonts w:ascii="VIC" w:hAnsi="VIC"/>
                <w:sz w:val="18"/>
                <w:szCs w:val="18"/>
              </w:rPr>
            </w:pPr>
            <w:r w:rsidRPr="00427725">
              <w:rPr>
                <w:rFonts w:ascii="VIC" w:eastAsia="Verdana" w:hAnsi="VIC"/>
                <w:color w:val="000000"/>
                <w:sz w:val="18"/>
                <w:szCs w:val="18"/>
              </w:rPr>
              <w:t>Mid West PARC</w:t>
            </w:r>
          </w:p>
        </w:tc>
        <w:tc>
          <w:tcPr>
            <w:tcW w:w="1090" w:type="dxa"/>
            <w:shd w:val="clear" w:color="auto" w:fill="FFFFFF" w:themeFill="background1"/>
          </w:tcPr>
          <w:p w14:paraId="3870DA83" w14:textId="32F9666B"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090" w:type="dxa"/>
            <w:shd w:val="clear" w:color="auto" w:fill="FFFFFF" w:themeFill="background1"/>
          </w:tcPr>
          <w:p w14:paraId="5C7BACE7" w14:textId="24DAE9D2" w:rsidR="00847E82" w:rsidRPr="005B1FEF" w:rsidRDefault="00847E82" w:rsidP="00847E82">
            <w:pPr>
              <w:jc w:val="center"/>
              <w:rPr>
                <w:rFonts w:ascii="VIC" w:hAnsi="VIC"/>
                <w:sz w:val="18"/>
                <w:szCs w:val="18"/>
              </w:rPr>
            </w:pPr>
            <w:r w:rsidRPr="00427725">
              <w:rPr>
                <w:rFonts w:ascii="VIC" w:eastAsia="Verdana" w:hAnsi="VIC"/>
                <w:color w:val="000000"/>
                <w:sz w:val="18"/>
                <w:szCs w:val="18"/>
              </w:rPr>
              <w:t>20.2</w:t>
            </w:r>
          </w:p>
        </w:tc>
        <w:tc>
          <w:tcPr>
            <w:tcW w:w="1090" w:type="dxa"/>
            <w:shd w:val="clear" w:color="auto" w:fill="FFFFFF" w:themeFill="background1"/>
          </w:tcPr>
          <w:p w14:paraId="0FA5078B" w14:textId="7D48D3AF"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491F0902" w14:textId="6DEDDBD4" w:rsidR="00847E82" w:rsidRPr="005B1FEF" w:rsidRDefault="00847E82" w:rsidP="00847E82">
            <w:pPr>
              <w:jc w:val="center"/>
              <w:rPr>
                <w:rFonts w:ascii="VIC" w:hAnsi="VIC"/>
                <w:sz w:val="18"/>
                <w:szCs w:val="18"/>
              </w:rPr>
            </w:pPr>
            <w:r w:rsidRPr="00427725">
              <w:rPr>
                <w:rFonts w:ascii="VIC" w:eastAsia="Verdana" w:hAnsi="VIC"/>
                <w:color w:val="000000"/>
                <w:sz w:val="18"/>
                <w:szCs w:val="18"/>
              </w:rPr>
              <w:t>20.7</w:t>
            </w:r>
          </w:p>
        </w:tc>
        <w:tc>
          <w:tcPr>
            <w:tcW w:w="1090" w:type="dxa"/>
            <w:shd w:val="clear" w:color="auto" w:fill="FFFFFF" w:themeFill="background1"/>
          </w:tcPr>
          <w:p w14:paraId="46A95D54" w14:textId="59174C93"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FFFFFF" w:themeFill="background1"/>
          </w:tcPr>
          <w:p w14:paraId="6A6E43EB" w14:textId="6DE18747"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FFFFFF" w:themeFill="background1"/>
          </w:tcPr>
          <w:p w14:paraId="2330777F" w14:textId="000FB3DF"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091" w:type="dxa"/>
            <w:shd w:val="clear" w:color="auto" w:fill="FFFFFF" w:themeFill="background1"/>
          </w:tcPr>
          <w:p w14:paraId="156516E9" w14:textId="757415E6" w:rsidR="00847E82" w:rsidRPr="005B1FEF" w:rsidRDefault="00847E82" w:rsidP="00847E82">
            <w:pPr>
              <w:jc w:val="center"/>
              <w:rPr>
                <w:rFonts w:ascii="VIC" w:hAnsi="VIC"/>
                <w:sz w:val="18"/>
                <w:szCs w:val="18"/>
              </w:rPr>
            </w:pPr>
            <w:r w:rsidRPr="00427725">
              <w:rPr>
                <w:rFonts w:ascii="VIC" w:eastAsia="Verdana" w:hAnsi="VIC"/>
                <w:color w:val="000000"/>
                <w:sz w:val="18"/>
                <w:szCs w:val="18"/>
              </w:rPr>
              <w:t>12.9</w:t>
            </w:r>
          </w:p>
        </w:tc>
      </w:tr>
      <w:tr w:rsidR="00847E82" w:rsidRPr="00A6366B" w14:paraId="59FFAE72" w14:textId="77777777" w:rsidTr="005D70E5">
        <w:trPr>
          <w:trHeight w:val="284"/>
        </w:trPr>
        <w:tc>
          <w:tcPr>
            <w:tcW w:w="1570" w:type="dxa"/>
            <w:vMerge/>
            <w:shd w:val="clear" w:color="auto" w:fill="FFFFFF" w:themeFill="background1"/>
          </w:tcPr>
          <w:p w14:paraId="64DB5E04"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4EB2BC0F" w14:textId="1DC0498D"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 West (Broadmeadows)</w:t>
            </w:r>
          </w:p>
        </w:tc>
        <w:tc>
          <w:tcPr>
            <w:tcW w:w="2833" w:type="dxa"/>
            <w:shd w:val="clear" w:color="auto" w:fill="FFFFFF" w:themeFill="background1"/>
          </w:tcPr>
          <w:p w14:paraId="39E567E9" w14:textId="45495F62" w:rsidR="00847E82" w:rsidRPr="005B1FEF" w:rsidRDefault="00847E82" w:rsidP="00847E82">
            <w:pPr>
              <w:rPr>
                <w:rFonts w:ascii="VIC" w:hAnsi="VIC"/>
                <w:sz w:val="18"/>
                <w:szCs w:val="18"/>
              </w:rPr>
            </w:pPr>
            <w:r w:rsidRPr="00427725">
              <w:rPr>
                <w:rFonts w:ascii="VIC" w:eastAsia="Verdana" w:hAnsi="VIC"/>
                <w:color w:val="000000"/>
                <w:sz w:val="18"/>
                <w:szCs w:val="18"/>
              </w:rPr>
              <w:t>Broadmeadows PARC</w:t>
            </w:r>
          </w:p>
        </w:tc>
        <w:tc>
          <w:tcPr>
            <w:tcW w:w="1090" w:type="dxa"/>
            <w:shd w:val="clear" w:color="auto" w:fill="FFFFFF" w:themeFill="background1"/>
          </w:tcPr>
          <w:p w14:paraId="30D03508" w14:textId="2ADCFAC2"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090" w:type="dxa"/>
            <w:shd w:val="clear" w:color="auto" w:fill="FFFFFF" w:themeFill="background1"/>
          </w:tcPr>
          <w:p w14:paraId="3E8F3026" w14:textId="7A8CBB3E" w:rsidR="00847E82" w:rsidRPr="005B1FEF" w:rsidRDefault="00847E82" w:rsidP="00847E82">
            <w:pPr>
              <w:jc w:val="center"/>
              <w:rPr>
                <w:rFonts w:ascii="VIC" w:hAnsi="VIC"/>
                <w:sz w:val="18"/>
                <w:szCs w:val="18"/>
              </w:rPr>
            </w:pPr>
            <w:r w:rsidRPr="00427725">
              <w:rPr>
                <w:rFonts w:ascii="VIC" w:eastAsia="Verdana" w:hAnsi="VIC"/>
                <w:color w:val="000000"/>
                <w:sz w:val="18"/>
                <w:szCs w:val="18"/>
              </w:rPr>
              <w:t>19.9</w:t>
            </w:r>
          </w:p>
        </w:tc>
        <w:tc>
          <w:tcPr>
            <w:tcW w:w="1090" w:type="dxa"/>
            <w:shd w:val="clear" w:color="auto" w:fill="FFFFFF" w:themeFill="background1"/>
          </w:tcPr>
          <w:p w14:paraId="1636FD25" w14:textId="03F82067"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FFFFFF" w:themeFill="background1"/>
          </w:tcPr>
          <w:p w14:paraId="569A3807" w14:textId="60FFD207" w:rsidR="00847E82" w:rsidRPr="005B1FEF" w:rsidRDefault="00847E82" w:rsidP="00847E82">
            <w:pPr>
              <w:jc w:val="center"/>
              <w:rPr>
                <w:rFonts w:ascii="VIC" w:hAnsi="VIC"/>
                <w:sz w:val="18"/>
                <w:szCs w:val="18"/>
              </w:rPr>
            </w:pPr>
            <w:r w:rsidRPr="00427725">
              <w:rPr>
                <w:rFonts w:ascii="VIC" w:eastAsia="Verdana" w:hAnsi="VIC"/>
                <w:color w:val="000000"/>
                <w:sz w:val="18"/>
                <w:szCs w:val="18"/>
              </w:rPr>
              <w:t>20.7</w:t>
            </w:r>
          </w:p>
        </w:tc>
        <w:tc>
          <w:tcPr>
            <w:tcW w:w="1090" w:type="dxa"/>
            <w:shd w:val="clear" w:color="auto" w:fill="FFFFFF" w:themeFill="background1"/>
          </w:tcPr>
          <w:p w14:paraId="7564383C" w14:textId="512942BD"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FFFFFF" w:themeFill="background1"/>
          </w:tcPr>
          <w:p w14:paraId="20CE51E1" w14:textId="36F23197"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FFFFFF" w:themeFill="background1"/>
          </w:tcPr>
          <w:p w14:paraId="2627F6C9" w14:textId="04653B09" w:rsidR="00847E82" w:rsidRPr="005B1FEF" w:rsidRDefault="00847E82" w:rsidP="00847E82">
            <w:pPr>
              <w:jc w:val="center"/>
              <w:rPr>
                <w:rFonts w:ascii="VIC" w:hAnsi="VIC"/>
                <w:sz w:val="18"/>
                <w:szCs w:val="18"/>
              </w:rPr>
            </w:pPr>
            <w:r w:rsidRPr="00427725">
              <w:rPr>
                <w:rFonts w:ascii="VIC" w:eastAsia="Verdana" w:hAnsi="VIC"/>
                <w:color w:val="000000"/>
                <w:sz w:val="18"/>
                <w:szCs w:val="18"/>
              </w:rPr>
              <w:t>99 %</w:t>
            </w:r>
          </w:p>
        </w:tc>
        <w:tc>
          <w:tcPr>
            <w:tcW w:w="1091" w:type="dxa"/>
            <w:shd w:val="clear" w:color="auto" w:fill="FFFFFF" w:themeFill="background1"/>
          </w:tcPr>
          <w:p w14:paraId="663352E3" w14:textId="3A967F31" w:rsidR="00847E82" w:rsidRPr="005B1FEF" w:rsidRDefault="00847E82" w:rsidP="00847E82">
            <w:pPr>
              <w:jc w:val="center"/>
              <w:rPr>
                <w:rFonts w:ascii="VIC" w:hAnsi="VIC"/>
                <w:sz w:val="18"/>
                <w:szCs w:val="18"/>
              </w:rPr>
            </w:pPr>
            <w:r w:rsidRPr="00427725">
              <w:rPr>
                <w:rFonts w:ascii="VIC" w:eastAsia="Verdana" w:hAnsi="VIC"/>
                <w:color w:val="000000"/>
                <w:sz w:val="18"/>
                <w:szCs w:val="18"/>
              </w:rPr>
              <w:t>15.6</w:t>
            </w:r>
          </w:p>
        </w:tc>
      </w:tr>
      <w:tr w:rsidR="00847E82" w:rsidRPr="00A6366B" w14:paraId="438CE0AF" w14:textId="77777777" w:rsidTr="005D70E5">
        <w:trPr>
          <w:trHeight w:val="284"/>
        </w:trPr>
        <w:tc>
          <w:tcPr>
            <w:tcW w:w="1570" w:type="dxa"/>
            <w:vMerge/>
            <w:shd w:val="clear" w:color="auto" w:fill="FFFFFF" w:themeFill="background1"/>
          </w:tcPr>
          <w:p w14:paraId="40D43F67"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29913327" w14:textId="4E7FBFCF"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Northern</w:t>
            </w:r>
          </w:p>
        </w:tc>
        <w:tc>
          <w:tcPr>
            <w:tcW w:w="2833" w:type="dxa"/>
            <w:shd w:val="clear" w:color="auto" w:fill="FFFFFF" w:themeFill="background1"/>
          </w:tcPr>
          <w:p w14:paraId="426425C0" w14:textId="713FE19A" w:rsidR="00847E82" w:rsidRPr="005B1FEF" w:rsidRDefault="00847E82" w:rsidP="00847E82">
            <w:pPr>
              <w:rPr>
                <w:rFonts w:ascii="VIC" w:hAnsi="VIC"/>
                <w:sz w:val="18"/>
                <w:szCs w:val="18"/>
              </w:rPr>
            </w:pPr>
            <w:r w:rsidRPr="00427725">
              <w:rPr>
                <w:rFonts w:ascii="VIC" w:eastAsia="Verdana" w:hAnsi="VIC"/>
                <w:color w:val="000000"/>
                <w:sz w:val="18"/>
                <w:szCs w:val="18"/>
              </w:rPr>
              <w:t>Northern PARC</w:t>
            </w:r>
          </w:p>
        </w:tc>
        <w:tc>
          <w:tcPr>
            <w:tcW w:w="1090" w:type="dxa"/>
            <w:shd w:val="clear" w:color="auto" w:fill="FFFFFF" w:themeFill="background1"/>
          </w:tcPr>
          <w:p w14:paraId="170914A3" w14:textId="3ABECE87"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090" w:type="dxa"/>
            <w:shd w:val="clear" w:color="auto" w:fill="FFFFFF" w:themeFill="background1"/>
          </w:tcPr>
          <w:p w14:paraId="52697B8B" w14:textId="4505D501" w:rsidR="00847E82" w:rsidRPr="005B1FEF" w:rsidRDefault="00847E82" w:rsidP="00847E82">
            <w:pPr>
              <w:jc w:val="center"/>
              <w:rPr>
                <w:rFonts w:ascii="VIC" w:hAnsi="VIC"/>
                <w:sz w:val="18"/>
                <w:szCs w:val="18"/>
              </w:rPr>
            </w:pPr>
            <w:r w:rsidRPr="00427725">
              <w:rPr>
                <w:rFonts w:ascii="VIC" w:eastAsia="Verdana" w:hAnsi="VIC"/>
                <w:color w:val="000000"/>
                <w:sz w:val="18"/>
                <w:szCs w:val="18"/>
              </w:rPr>
              <w:t>20.6</w:t>
            </w:r>
          </w:p>
        </w:tc>
        <w:tc>
          <w:tcPr>
            <w:tcW w:w="1090" w:type="dxa"/>
            <w:shd w:val="clear" w:color="auto" w:fill="FFFFFF" w:themeFill="background1"/>
          </w:tcPr>
          <w:p w14:paraId="33B56488" w14:textId="0BC9578A"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50DE717F" w14:textId="46300A3F" w:rsidR="00847E82" w:rsidRPr="005B1FEF" w:rsidRDefault="00847E82" w:rsidP="00847E82">
            <w:pPr>
              <w:jc w:val="center"/>
              <w:rPr>
                <w:rFonts w:ascii="VIC" w:hAnsi="VIC"/>
                <w:sz w:val="18"/>
                <w:szCs w:val="18"/>
              </w:rPr>
            </w:pPr>
            <w:r w:rsidRPr="00427725">
              <w:rPr>
                <w:rFonts w:ascii="VIC" w:eastAsia="Verdana" w:hAnsi="VIC"/>
                <w:color w:val="000000"/>
                <w:sz w:val="18"/>
                <w:szCs w:val="18"/>
              </w:rPr>
              <w:t>24.0</w:t>
            </w:r>
          </w:p>
        </w:tc>
        <w:tc>
          <w:tcPr>
            <w:tcW w:w="1090" w:type="dxa"/>
            <w:shd w:val="clear" w:color="auto" w:fill="FFFFFF" w:themeFill="background1"/>
          </w:tcPr>
          <w:p w14:paraId="00B508E8" w14:textId="3C05E6CF"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FFFFFF" w:themeFill="background1"/>
          </w:tcPr>
          <w:p w14:paraId="3C2351BF" w14:textId="49745775"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090" w:type="dxa"/>
            <w:shd w:val="clear" w:color="auto" w:fill="FFFFFF" w:themeFill="background1"/>
          </w:tcPr>
          <w:p w14:paraId="3203DF56" w14:textId="0F4C0F8E"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091" w:type="dxa"/>
            <w:shd w:val="clear" w:color="auto" w:fill="FFFFFF" w:themeFill="background1"/>
          </w:tcPr>
          <w:p w14:paraId="599BA81A" w14:textId="73FD6B36" w:rsidR="00847E82" w:rsidRPr="005B1FEF" w:rsidRDefault="00847E82" w:rsidP="00847E82">
            <w:pPr>
              <w:jc w:val="center"/>
              <w:rPr>
                <w:rFonts w:ascii="VIC" w:hAnsi="VIC"/>
                <w:sz w:val="18"/>
                <w:szCs w:val="18"/>
              </w:rPr>
            </w:pPr>
            <w:r w:rsidRPr="00427725">
              <w:rPr>
                <w:rFonts w:ascii="VIC" w:eastAsia="Verdana" w:hAnsi="VIC"/>
                <w:color w:val="000000"/>
                <w:sz w:val="18"/>
                <w:szCs w:val="18"/>
              </w:rPr>
              <w:t>13.0</w:t>
            </w:r>
          </w:p>
        </w:tc>
      </w:tr>
      <w:tr w:rsidR="00847E82" w:rsidRPr="00A6366B" w14:paraId="65563A7B" w14:textId="77777777" w:rsidTr="005D70E5">
        <w:trPr>
          <w:trHeight w:val="284"/>
        </w:trPr>
        <w:tc>
          <w:tcPr>
            <w:tcW w:w="1570" w:type="dxa"/>
            <w:vMerge/>
            <w:shd w:val="clear" w:color="auto" w:fill="FFFFFF" w:themeFill="background1"/>
          </w:tcPr>
          <w:p w14:paraId="0E94815A"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FFFFFF" w:themeFill="background1"/>
          </w:tcPr>
          <w:p w14:paraId="7233231F" w14:textId="118E0F98"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TOTAL</w:t>
            </w:r>
          </w:p>
        </w:tc>
        <w:tc>
          <w:tcPr>
            <w:tcW w:w="2833" w:type="dxa"/>
            <w:shd w:val="clear" w:color="auto" w:fill="FFFFFF" w:themeFill="background1"/>
          </w:tcPr>
          <w:p w14:paraId="2ED75CC4" w14:textId="17A3A1BE" w:rsidR="00847E82" w:rsidRPr="005B1FEF" w:rsidRDefault="00847E82" w:rsidP="00847E82">
            <w:pPr>
              <w:rPr>
                <w:rFonts w:ascii="VIC" w:hAnsi="VIC"/>
                <w:sz w:val="18"/>
                <w:szCs w:val="18"/>
              </w:rPr>
            </w:pPr>
            <w:r w:rsidRPr="00427725">
              <w:rPr>
                <w:rFonts w:ascii="VIC" w:eastAsia="Verdana" w:hAnsi="VIC"/>
                <w:color w:val="000000"/>
                <w:sz w:val="18"/>
                <w:szCs w:val="18"/>
              </w:rPr>
              <w:t xml:space="preserve"> </w:t>
            </w:r>
          </w:p>
        </w:tc>
        <w:tc>
          <w:tcPr>
            <w:tcW w:w="1090" w:type="dxa"/>
            <w:shd w:val="clear" w:color="auto" w:fill="FFFFFF" w:themeFill="background1"/>
          </w:tcPr>
          <w:p w14:paraId="170E9276" w14:textId="7B80AB5E" w:rsidR="00847E82" w:rsidRPr="005B1FEF" w:rsidRDefault="00847E82" w:rsidP="00847E82">
            <w:pPr>
              <w:jc w:val="center"/>
              <w:rPr>
                <w:rFonts w:ascii="VIC" w:hAnsi="VIC"/>
                <w:sz w:val="18"/>
                <w:szCs w:val="18"/>
              </w:rPr>
            </w:pPr>
            <w:r w:rsidRPr="00427725">
              <w:rPr>
                <w:rFonts w:ascii="VIC" w:eastAsia="Verdana" w:hAnsi="VIC"/>
                <w:color w:val="000000"/>
                <w:sz w:val="18"/>
                <w:szCs w:val="18"/>
              </w:rPr>
              <w:t>82 %</w:t>
            </w:r>
          </w:p>
        </w:tc>
        <w:tc>
          <w:tcPr>
            <w:tcW w:w="1090" w:type="dxa"/>
            <w:shd w:val="clear" w:color="auto" w:fill="FFFFFF" w:themeFill="background1"/>
          </w:tcPr>
          <w:p w14:paraId="251588BE" w14:textId="123B41F1" w:rsidR="00847E82" w:rsidRPr="005B1FEF" w:rsidRDefault="00847E82" w:rsidP="00847E82">
            <w:pPr>
              <w:jc w:val="center"/>
              <w:rPr>
                <w:rFonts w:ascii="VIC" w:hAnsi="VIC"/>
                <w:sz w:val="18"/>
                <w:szCs w:val="18"/>
              </w:rPr>
            </w:pPr>
            <w:r w:rsidRPr="00427725">
              <w:rPr>
                <w:rFonts w:ascii="VIC" w:eastAsia="Verdana" w:hAnsi="VIC"/>
                <w:color w:val="000000"/>
                <w:sz w:val="18"/>
                <w:szCs w:val="18"/>
              </w:rPr>
              <w:t>22.3</w:t>
            </w:r>
          </w:p>
        </w:tc>
        <w:tc>
          <w:tcPr>
            <w:tcW w:w="1090" w:type="dxa"/>
            <w:shd w:val="clear" w:color="auto" w:fill="FFFFFF" w:themeFill="background1"/>
          </w:tcPr>
          <w:p w14:paraId="462BACA0" w14:textId="065D79B8"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FFFFFF" w:themeFill="background1"/>
          </w:tcPr>
          <w:p w14:paraId="148A5A88" w14:textId="4B13400A" w:rsidR="00847E82" w:rsidRPr="005B1FEF" w:rsidRDefault="00847E82" w:rsidP="00847E82">
            <w:pPr>
              <w:jc w:val="center"/>
              <w:rPr>
                <w:rFonts w:ascii="VIC" w:hAnsi="VIC"/>
                <w:sz w:val="18"/>
                <w:szCs w:val="18"/>
              </w:rPr>
            </w:pPr>
            <w:r w:rsidRPr="00427725">
              <w:rPr>
                <w:rFonts w:ascii="VIC" w:eastAsia="Verdana" w:hAnsi="VIC"/>
                <w:color w:val="000000"/>
                <w:sz w:val="18"/>
                <w:szCs w:val="18"/>
              </w:rPr>
              <w:t>30.2</w:t>
            </w:r>
          </w:p>
        </w:tc>
        <w:tc>
          <w:tcPr>
            <w:tcW w:w="1090" w:type="dxa"/>
            <w:shd w:val="clear" w:color="auto" w:fill="FFFFFF" w:themeFill="background1"/>
          </w:tcPr>
          <w:p w14:paraId="1ABFD62C" w14:textId="3C8CA250"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FFFFFF" w:themeFill="background1"/>
          </w:tcPr>
          <w:p w14:paraId="4C880364" w14:textId="7A3BB95D" w:rsidR="00847E82" w:rsidRPr="005B1FEF" w:rsidRDefault="00847E82" w:rsidP="00847E82">
            <w:pPr>
              <w:jc w:val="center"/>
              <w:rPr>
                <w:rFonts w:ascii="VIC" w:hAnsi="VIC"/>
                <w:sz w:val="18"/>
                <w:szCs w:val="18"/>
              </w:rPr>
            </w:pPr>
            <w:r w:rsidRPr="00427725">
              <w:rPr>
                <w:rFonts w:ascii="VIC" w:eastAsia="Verdana" w:hAnsi="VIC"/>
                <w:color w:val="000000"/>
                <w:sz w:val="18"/>
                <w:szCs w:val="18"/>
              </w:rPr>
              <w:t>15 %</w:t>
            </w:r>
          </w:p>
        </w:tc>
        <w:tc>
          <w:tcPr>
            <w:tcW w:w="1090" w:type="dxa"/>
            <w:shd w:val="clear" w:color="auto" w:fill="FFFFFF" w:themeFill="background1"/>
          </w:tcPr>
          <w:p w14:paraId="18F6F004" w14:textId="604330F9" w:rsidR="00847E82" w:rsidRPr="005B1FEF" w:rsidRDefault="00847E82" w:rsidP="00847E82">
            <w:pPr>
              <w:jc w:val="center"/>
              <w:rPr>
                <w:rFonts w:ascii="VIC" w:hAnsi="VIC"/>
                <w:sz w:val="18"/>
                <w:szCs w:val="18"/>
              </w:rPr>
            </w:pPr>
            <w:r w:rsidRPr="00427725">
              <w:rPr>
                <w:rFonts w:ascii="VIC" w:eastAsia="Verdana" w:hAnsi="VIC"/>
                <w:color w:val="000000"/>
                <w:sz w:val="18"/>
                <w:szCs w:val="18"/>
              </w:rPr>
              <w:t>85 %</w:t>
            </w:r>
          </w:p>
        </w:tc>
        <w:tc>
          <w:tcPr>
            <w:tcW w:w="1091" w:type="dxa"/>
            <w:shd w:val="clear" w:color="auto" w:fill="FFFFFF" w:themeFill="background1"/>
          </w:tcPr>
          <w:p w14:paraId="54629761" w14:textId="0CBABAF8" w:rsidR="00847E82" w:rsidRPr="005B1FEF" w:rsidRDefault="00847E82" w:rsidP="00847E82">
            <w:pPr>
              <w:jc w:val="center"/>
              <w:rPr>
                <w:rFonts w:ascii="VIC" w:hAnsi="VIC"/>
                <w:sz w:val="18"/>
                <w:szCs w:val="18"/>
              </w:rPr>
            </w:pPr>
            <w:r w:rsidRPr="00427725">
              <w:rPr>
                <w:rFonts w:ascii="VIC" w:eastAsia="Verdana" w:hAnsi="VIC"/>
                <w:color w:val="000000"/>
                <w:sz w:val="18"/>
                <w:szCs w:val="18"/>
              </w:rPr>
              <w:t>13.8</w:t>
            </w:r>
          </w:p>
        </w:tc>
      </w:tr>
      <w:tr w:rsidR="00847E82" w:rsidRPr="00A6366B" w14:paraId="458A2955" w14:textId="77777777" w:rsidTr="005D70E5">
        <w:trPr>
          <w:trHeight w:val="284"/>
        </w:trPr>
        <w:tc>
          <w:tcPr>
            <w:tcW w:w="1570" w:type="dxa"/>
            <w:vMerge w:val="restart"/>
            <w:shd w:val="clear" w:color="auto" w:fill="BFCED6"/>
          </w:tcPr>
          <w:p w14:paraId="380E5D25" w14:textId="02E226E1"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Monash Health</w:t>
            </w:r>
          </w:p>
        </w:tc>
        <w:tc>
          <w:tcPr>
            <w:tcW w:w="2410" w:type="dxa"/>
            <w:vMerge w:val="restart"/>
            <w:shd w:val="clear" w:color="auto" w:fill="BFCED6"/>
          </w:tcPr>
          <w:p w14:paraId="1A1833D4" w14:textId="7232877F"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Casey</w:t>
            </w:r>
          </w:p>
        </w:tc>
        <w:tc>
          <w:tcPr>
            <w:tcW w:w="2833" w:type="dxa"/>
            <w:shd w:val="clear" w:color="auto" w:fill="BFCED6"/>
          </w:tcPr>
          <w:p w14:paraId="2D890842" w14:textId="66FBE5A9" w:rsidR="00847E82" w:rsidRPr="005B1FEF" w:rsidRDefault="00847E82" w:rsidP="00847E82">
            <w:pPr>
              <w:rPr>
                <w:rFonts w:ascii="VIC" w:hAnsi="VIC"/>
                <w:sz w:val="18"/>
                <w:szCs w:val="18"/>
              </w:rPr>
            </w:pPr>
            <w:r w:rsidRPr="00427725">
              <w:rPr>
                <w:rFonts w:ascii="VIC" w:eastAsia="Verdana" w:hAnsi="VIC"/>
                <w:color w:val="000000"/>
                <w:sz w:val="18"/>
                <w:szCs w:val="18"/>
              </w:rPr>
              <w:t>Casey Adult PARC</w:t>
            </w:r>
          </w:p>
        </w:tc>
        <w:tc>
          <w:tcPr>
            <w:tcW w:w="1090" w:type="dxa"/>
            <w:shd w:val="clear" w:color="auto" w:fill="BFCED6"/>
          </w:tcPr>
          <w:p w14:paraId="7D0EA750" w14:textId="68A65FA8" w:rsidR="00847E82" w:rsidRPr="005B1FEF" w:rsidRDefault="00847E82" w:rsidP="00847E82">
            <w:pPr>
              <w:jc w:val="center"/>
              <w:rPr>
                <w:rFonts w:ascii="VIC" w:hAnsi="VIC"/>
                <w:sz w:val="18"/>
                <w:szCs w:val="18"/>
              </w:rPr>
            </w:pPr>
            <w:r w:rsidRPr="00427725">
              <w:rPr>
                <w:rFonts w:ascii="VIC" w:eastAsia="Verdana" w:hAnsi="VIC"/>
                <w:color w:val="000000"/>
                <w:sz w:val="18"/>
                <w:szCs w:val="18"/>
              </w:rPr>
              <w:t>81 %</w:t>
            </w:r>
          </w:p>
        </w:tc>
        <w:tc>
          <w:tcPr>
            <w:tcW w:w="1090" w:type="dxa"/>
            <w:shd w:val="clear" w:color="auto" w:fill="BFCED6"/>
          </w:tcPr>
          <w:p w14:paraId="36359203" w14:textId="51B09303" w:rsidR="00847E82" w:rsidRPr="005B1FEF" w:rsidRDefault="00847E82" w:rsidP="00847E82">
            <w:pPr>
              <w:jc w:val="center"/>
              <w:rPr>
                <w:rFonts w:ascii="VIC" w:hAnsi="VIC"/>
                <w:sz w:val="18"/>
                <w:szCs w:val="18"/>
              </w:rPr>
            </w:pPr>
            <w:r w:rsidRPr="00427725">
              <w:rPr>
                <w:rFonts w:ascii="VIC" w:eastAsia="Verdana" w:hAnsi="VIC"/>
                <w:color w:val="000000"/>
                <w:sz w:val="18"/>
                <w:szCs w:val="18"/>
              </w:rPr>
              <w:t>18.7</w:t>
            </w:r>
          </w:p>
        </w:tc>
        <w:tc>
          <w:tcPr>
            <w:tcW w:w="1090" w:type="dxa"/>
            <w:shd w:val="clear" w:color="auto" w:fill="BFCED6"/>
          </w:tcPr>
          <w:p w14:paraId="402F50EF" w14:textId="7E04B1E7"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7240C47A" w14:textId="1529E6A1" w:rsidR="00847E82" w:rsidRPr="005B1FEF" w:rsidRDefault="00847E82" w:rsidP="00847E82">
            <w:pPr>
              <w:jc w:val="center"/>
              <w:rPr>
                <w:rFonts w:ascii="VIC" w:hAnsi="VIC"/>
                <w:sz w:val="18"/>
                <w:szCs w:val="18"/>
              </w:rPr>
            </w:pPr>
            <w:r w:rsidRPr="00427725">
              <w:rPr>
                <w:rFonts w:ascii="VIC" w:eastAsia="Verdana" w:hAnsi="VIC"/>
                <w:color w:val="000000"/>
                <w:sz w:val="18"/>
                <w:szCs w:val="18"/>
              </w:rPr>
              <w:t>19.2</w:t>
            </w:r>
          </w:p>
        </w:tc>
        <w:tc>
          <w:tcPr>
            <w:tcW w:w="1090" w:type="dxa"/>
            <w:shd w:val="clear" w:color="auto" w:fill="BFCED6"/>
          </w:tcPr>
          <w:p w14:paraId="39BE6C7D" w14:textId="03815DC6"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BFCED6"/>
          </w:tcPr>
          <w:p w14:paraId="5954CE1A" w14:textId="14F719A6" w:rsidR="00847E82" w:rsidRPr="005B1FEF"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25739B5B" w14:textId="669FA8EE"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091" w:type="dxa"/>
            <w:shd w:val="clear" w:color="auto" w:fill="BFCED6"/>
          </w:tcPr>
          <w:p w14:paraId="5F1BB8B7" w14:textId="16209213" w:rsidR="00847E82" w:rsidRPr="005B1FEF" w:rsidRDefault="00847E82" w:rsidP="00847E82">
            <w:pPr>
              <w:jc w:val="center"/>
              <w:rPr>
                <w:rFonts w:ascii="VIC" w:hAnsi="VIC"/>
                <w:sz w:val="18"/>
                <w:szCs w:val="18"/>
              </w:rPr>
            </w:pPr>
            <w:r w:rsidRPr="00427725">
              <w:rPr>
                <w:rFonts w:ascii="VIC" w:eastAsia="Verdana" w:hAnsi="VIC"/>
                <w:color w:val="000000"/>
                <w:sz w:val="18"/>
                <w:szCs w:val="18"/>
              </w:rPr>
              <w:t>13.9</w:t>
            </w:r>
          </w:p>
        </w:tc>
      </w:tr>
      <w:tr w:rsidR="00847E82" w:rsidRPr="00A6366B" w14:paraId="2D8CAC10" w14:textId="77777777" w:rsidTr="00A17C7C">
        <w:trPr>
          <w:trHeight w:val="284"/>
        </w:trPr>
        <w:tc>
          <w:tcPr>
            <w:tcW w:w="1570" w:type="dxa"/>
            <w:vMerge/>
            <w:shd w:val="clear" w:color="auto" w:fill="BFCED6"/>
          </w:tcPr>
          <w:p w14:paraId="60608E73"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7345B32E"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53F7F102" w14:textId="169867EA" w:rsidR="00847E82" w:rsidRPr="005B1FEF" w:rsidRDefault="00847E82" w:rsidP="00847E82">
            <w:pPr>
              <w:rPr>
                <w:rFonts w:ascii="VIC" w:hAnsi="VIC"/>
                <w:sz w:val="18"/>
                <w:szCs w:val="18"/>
              </w:rPr>
            </w:pPr>
            <w:r w:rsidRPr="00427725">
              <w:rPr>
                <w:rFonts w:ascii="VIC" w:eastAsia="Verdana" w:hAnsi="VIC"/>
                <w:color w:val="000000"/>
                <w:sz w:val="18"/>
                <w:szCs w:val="18"/>
              </w:rPr>
              <w:t>Casey Extended PARC</w:t>
            </w:r>
          </w:p>
        </w:tc>
        <w:tc>
          <w:tcPr>
            <w:tcW w:w="1090" w:type="dxa"/>
            <w:shd w:val="clear" w:color="auto" w:fill="BFCED6"/>
          </w:tcPr>
          <w:p w14:paraId="69E5B8F5" w14:textId="6FD740DD"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0" w:type="dxa"/>
            <w:shd w:val="clear" w:color="auto" w:fill="BFCED6"/>
          </w:tcPr>
          <w:p w14:paraId="2CF58A0A" w14:textId="2FE05BB7" w:rsidR="00847E82" w:rsidRPr="005B1FEF" w:rsidRDefault="00847E82" w:rsidP="00847E82">
            <w:pPr>
              <w:jc w:val="center"/>
              <w:rPr>
                <w:rFonts w:ascii="VIC" w:hAnsi="VIC"/>
                <w:sz w:val="18"/>
                <w:szCs w:val="18"/>
              </w:rPr>
            </w:pPr>
            <w:r w:rsidRPr="00427725">
              <w:rPr>
                <w:rFonts w:ascii="VIC" w:eastAsia="Verdana" w:hAnsi="VIC"/>
                <w:color w:val="000000"/>
                <w:sz w:val="18"/>
                <w:szCs w:val="18"/>
              </w:rPr>
              <w:t>138.1</w:t>
            </w:r>
          </w:p>
        </w:tc>
        <w:tc>
          <w:tcPr>
            <w:tcW w:w="1090" w:type="dxa"/>
            <w:shd w:val="clear" w:color="auto" w:fill="BFCED6"/>
          </w:tcPr>
          <w:p w14:paraId="62BD5ED9" w14:textId="4D2B580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5EC9409" w14:textId="12DC77CF" w:rsidR="00847E82" w:rsidRPr="005B1FEF" w:rsidRDefault="00847E82" w:rsidP="00847E82">
            <w:pPr>
              <w:jc w:val="center"/>
              <w:rPr>
                <w:rFonts w:ascii="VIC" w:hAnsi="VIC"/>
                <w:sz w:val="18"/>
                <w:szCs w:val="18"/>
              </w:rPr>
            </w:pPr>
            <w:r w:rsidRPr="00427725">
              <w:rPr>
                <w:rFonts w:ascii="VIC" w:eastAsia="Verdana" w:hAnsi="VIC"/>
                <w:color w:val="000000"/>
                <w:sz w:val="18"/>
                <w:szCs w:val="18"/>
              </w:rPr>
              <w:t>121.8</w:t>
            </w:r>
          </w:p>
        </w:tc>
        <w:tc>
          <w:tcPr>
            <w:tcW w:w="1090" w:type="dxa"/>
            <w:shd w:val="clear" w:color="auto" w:fill="BFCED6"/>
          </w:tcPr>
          <w:p w14:paraId="2FF7D1A5" w14:textId="2EECF852" w:rsidR="00847E82" w:rsidRPr="005B1FEF" w:rsidRDefault="00847E82" w:rsidP="00847E82">
            <w:pPr>
              <w:jc w:val="center"/>
              <w:rPr>
                <w:rFonts w:ascii="VIC" w:hAnsi="VIC"/>
                <w:sz w:val="18"/>
                <w:szCs w:val="18"/>
              </w:rPr>
            </w:pPr>
            <w:r w:rsidRPr="00427725">
              <w:rPr>
                <w:rFonts w:ascii="VIC" w:eastAsia="Verdana" w:hAnsi="VIC"/>
                <w:color w:val="000000"/>
                <w:sz w:val="18"/>
                <w:szCs w:val="18"/>
              </w:rPr>
              <w:t>16 %</w:t>
            </w:r>
          </w:p>
        </w:tc>
        <w:tc>
          <w:tcPr>
            <w:tcW w:w="1090" w:type="dxa"/>
            <w:shd w:val="clear" w:color="auto" w:fill="BFCED6"/>
          </w:tcPr>
          <w:p w14:paraId="51327F82" w14:textId="53FF3D80" w:rsidR="00847E82" w:rsidRPr="005B1FEF" w:rsidRDefault="00847E82" w:rsidP="00847E82">
            <w:pPr>
              <w:jc w:val="center"/>
              <w:rPr>
                <w:rFonts w:ascii="VIC" w:hAnsi="VIC"/>
                <w:sz w:val="18"/>
                <w:szCs w:val="18"/>
              </w:rPr>
            </w:pPr>
            <w:r w:rsidRPr="00427725">
              <w:rPr>
                <w:rFonts w:ascii="VIC" w:eastAsia="Verdana" w:hAnsi="VIC"/>
                <w:color w:val="000000"/>
                <w:sz w:val="18"/>
                <w:szCs w:val="18"/>
              </w:rPr>
              <w:t>32 %</w:t>
            </w:r>
          </w:p>
        </w:tc>
        <w:tc>
          <w:tcPr>
            <w:tcW w:w="1090" w:type="dxa"/>
            <w:shd w:val="clear" w:color="auto" w:fill="BFCED6"/>
          </w:tcPr>
          <w:p w14:paraId="19526C88" w14:textId="01E73DEE"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BFCED6"/>
          </w:tcPr>
          <w:p w14:paraId="0A1A49C4" w14:textId="1F3F928E" w:rsidR="00847E82" w:rsidRPr="005B1FEF" w:rsidRDefault="00847E82" w:rsidP="00847E82">
            <w:pPr>
              <w:jc w:val="center"/>
              <w:rPr>
                <w:rFonts w:ascii="VIC" w:hAnsi="VIC"/>
                <w:sz w:val="18"/>
                <w:szCs w:val="18"/>
              </w:rPr>
            </w:pPr>
            <w:r w:rsidRPr="00427725">
              <w:rPr>
                <w:rFonts w:ascii="VIC" w:eastAsia="Verdana" w:hAnsi="VIC"/>
                <w:color w:val="000000"/>
                <w:sz w:val="18"/>
                <w:szCs w:val="18"/>
              </w:rPr>
              <w:t>12.6</w:t>
            </w:r>
          </w:p>
        </w:tc>
      </w:tr>
      <w:tr w:rsidR="00847E82" w:rsidRPr="00A6366B" w14:paraId="51747A1A" w14:textId="77777777" w:rsidTr="00A17C7C">
        <w:trPr>
          <w:trHeight w:val="284"/>
        </w:trPr>
        <w:tc>
          <w:tcPr>
            <w:tcW w:w="1570" w:type="dxa"/>
            <w:vMerge/>
            <w:shd w:val="clear" w:color="auto" w:fill="BFCED6"/>
          </w:tcPr>
          <w:p w14:paraId="08B19CB6"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20D59CC1"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3DEB5927" w14:textId="6706E35D" w:rsidR="00847E82" w:rsidRPr="005B1FEF"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BFCED6"/>
          </w:tcPr>
          <w:p w14:paraId="08C7FA1F" w14:textId="0E4D6604"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090" w:type="dxa"/>
            <w:shd w:val="clear" w:color="auto" w:fill="BFCED6"/>
          </w:tcPr>
          <w:p w14:paraId="7AD33FA4" w14:textId="4A4F6B43" w:rsidR="00847E82" w:rsidRPr="005B1FEF" w:rsidRDefault="00847E82" w:rsidP="00847E82">
            <w:pPr>
              <w:jc w:val="center"/>
              <w:rPr>
                <w:rFonts w:ascii="VIC" w:hAnsi="VIC"/>
                <w:sz w:val="18"/>
                <w:szCs w:val="18"/>
              </w:rPr>
            </w:pPr>
            <w:r w:rsidRPr="00427725">
              <w:rPr>
                <w:rFonts w:ascii="VIC" w:eastAsia="Verdana" w:hAnsi="VIC"/>
                <w:color w:val="000000"/>
                <w:sz w:val="18"/>
                <w:szCs w:val="18"/>
              </w:rPr>
              <w:t>32.9</w:t>
            </w:r>
          </w:p>
        </w:tc>
        <w:tc>
          <w:tcPr>
            <w:tcW w:w="1090" w:type="dxa"/>
            <w:shd w:val="clear" w:color="auto" w:fill="BFCED6"/>
          </w:tcPr>
          <w:p w14:paraId="153D6241" w14:textId="63D2D1F0"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6EEF0BD6" w14:textId="29CCD3E8" w:rsidR="00847E82" w:rsidRPr="005B1FEF" w:rsidRDefault="00847E82" w:rsidP="00847E82">
            <w:pPr>
              <w:jc w:val="center"/>
              <w:rPr>
                <w:rFonts w:ascii="VIC" w:hAnsi="VIC"/>
                <w:sz w:val="18"/>
                <w:szCs w:val="18"/>
              </w:rPr>
            </w:pPr>
            <w:r w:rsidRPr="00427725">
              <w:rPr>
                <w:rFonts w:ascii="VIC" w:eastAsia="Verdana" w:hAnsi="VIC"/>
                <w:color w:val="000000"/>
                <w:sz w:val="18"/>
                <w:szCs w:val="18"/>
              </w:rPr>
              <w:t>37.4</w:t>
            </w:r>
          </w:p>
        </w:tc>
        <w:tc>
          <w:tcPr>
            <w:tcW w:w="1090" w:type="dxa"/>
            <w:shd w:val="clear" w:color="auto" w:fill="BFCED6"/>
          </w:tcPr>
          <w:p w14:paraId="63A601BB" w14:textId="31EA3E74"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729D5FD6" w14:textId="026AB373" w:rsidR="00847E82" w:rsidRPr="005B1FEF" w:rsidRDefault="00847E82" w:rsidP="00847E82">
            <w:pPr>
              <w:jc w:val="center"/>
              <w:rPr>
                <w:rFonts w:ascii="VIC" w:hAnsi="VIC"/>
                <w:sz w:val="18"/>
                <w:szCs w:val="18"/>
              </w:rPr>
            </w:pPr>
            <w:r w:rsidRPr="00427725">
              <w:rPr>
                <w:rFonts w:ascii="VIC" w:eastAsia="Verdana" w:hAnsi="VIC"/>
                <w:color w:val="000000"/>
                <w:sz w:val="18"/>
                <w:szCs w:val="18"/>
              </w:rPr>
              <w:t>15 %</w:t>
            </w:r>
          </w:p>
        </w:tc>
        <w:tc>
          <w:tcPr>
            <w:tcW w:w="1090" w:type="dxa"/>
            <w:shd w:val="clear" w:color="auto" w:fill="BFCED6"/>
          </w:tcPr>
          <w:p w14:paraId="1A728D14" w14:textId="5272E4F2"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1" w:type="dxa"/>
            <w:shd w:val="clear" w:color="auto" w:fill="BFCED6"/>
          </w:tcPr>
          <w:p w14:paraId="379B0751" w14:textId="1CC5EB2A" w:rsidR="00847E82" w:rsidRPr="005B1FEF" w:rsidRDefault="00847E82" w:rsidP="00847E82">
            <w:pPr>
              <w:jc w:val="center"/>
              <w:rPr>
                <w:rFonts w:ascii="VIC" w:hAnsi="VIC"/>
                <w:sz w:val="18"/>
                <w:szCs w:val="18"/>
              </w:rPr>
            </w:pPr>
            <w:r w:rsidRPr="00427725">
              <w:rPr>
                <w:rFonts w:ascii="VIC" w:eastAsia="Verdana" w:hAnsi="VIC"/>
                <w:color w:val="000000"/>
                <w:sz w:val="18"/>
                <w:szCs w:val="18"/>
              </w:rPr>
              <w:t>13.7</w:t>
            </w:r>
          </w:p>
        </w:tc>
      </w:tr>
      <w:tr w:rsidR="00847E82" w:rsidRPr="00A6366B" w14:paraId="78ABD982" w14:textId="77777777" w:rsidTr="005D70E5">
        <w:trPr>
          <w:trHeight w:val="284"/>
        </w:trPr>
        <w:tc>
          <w:tcPr>
            <w:tcW w:w="1570" w:type="dxa"/>
            <w:vMerge/>
            <w:shd w:val="clear" w:color="auto" w:fill="BFCED6"/>
          </w:tcPr>
          <w:p w14:paraId="7C7D22D0" w14:textId="77777777" w:rsidR="00847E82" w:rsidRPr="00382424" w:rsidRDefault="00847E82" w:rsidP="00847E82">
            <w:pPr>
              <w:pStyle w:val="DHHStabletext"/>
              <w:spacing w:before="0" w:after="0"/>
              <w:rPr>
                <w:rFonts w:ascii="VIC" w:hAnsi="VIC"/>
                <w:sz w:val="18"/>
                <w:szCs w:val="18"/>
              </w:rPr>
            </w:pPr>
          </w:p>
        </w:tc>
        <w:tc>
          <w:tcPr>
            <w:tcW w:w="2410" w:type="dxa"/>
            <w:vMerge w:val="restart"/>
            <w:shd w:val="clear" w:color="auto" w:fill="BFCED6"/>
          </w:tcPr>
          <w:p w14:paraId="67AD90ED" w14:textId="4FF7EC54"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Dandenong</w:t>
            </w:r>
          </w:p>
        </w:tc>
        <w:tc>
          <w:tcPr>
            <w:tcW w:w="2833" w:type="dxa"/>
            <w:shd w:val="clear" w:color="auto" w:fill="BFCED6"/>
          </w:tcPr>
          <w:p w14:paraId="089DCE9C" w14:textId="200D7A0B" w:rsidR="00847E82" w:rsidRPr="005B1FEF" w:rsidRDefault="00847E82" w:rsidP="00847E82">
            <w:pPr>
              <w:rPr>
                <w:rFonts w:ascii="VIC" w:hAnsi="VIC"/>
                <w:sz w:val="18"/>
                <w:szCs w:val="18"/>
              </w:rPr>
            </w:pPr>
            <w:r w:rsidRPr="00427725">
              <w:rPr>
                <w:rFonts w:ascii="VIC" w:eastAsia="Verdana" w:hAnsi="VIC"/>
                <w:color w:val="000000"/>
                <w:sz w:val="18"/>
                <w:szCs w:val="18"/>
              </w:rPr>
              <w:t>Dandenong Youth PARC*</w:t>
            </w:r>
          </w:p>
        </w:tc>
        <w:tc>
          <w:tcPr>
            <w:tcW w:w="1090" w:type="dxa"/>
            <w:shd w:val="clear" w:color="auto" w:fill="BFCED6"/>
          </w:tcPr>
          <w:p w14:paraId="290BE97A" w14:textId="400FC758"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090" w:type="dxa"/>
            <w:shd w:val="clear" w:color="auto" w:fill="BFCED6"/>
          </w:tcPr>
          <w:p w14:paraId="4908A6A4" w14:textId="385F6285" w:rsidR="00847E82" w:rsidRPr="005B1FEF" w:rsidRDefault="00847E82" w:rsidP="00847E82">
            <w:pPr>
              <w:jc w:val="center"/>
              <w:rPr>
                <w:rFonts w:ascii="VIC" w:hAnsi="VIC"/>
                <w:sz w:val="18"/>
                <w:szCs w:val="18"/>
              </w:rPr>
            </w:pPr>
            <w:r w:rsidRPr="00427725">
              <w:rPr>
                <w:rFonts w:ascii="VIC" w:eastAsia="Verdana" w:hAnsi="VIC"/>
                <w:color w:val="000000"/>
                <w:sz w:val="18"/>
                <w:szCs w:val="18"/>
              </w:rPr>
              <w:t>14.8</w:t>
            </w:r>
          </w:p>
        </w:tc>
        <w:tc>
          <w:tcPr>
            <w:tcW w:w="1090" w:type="dxa"/>
            <w:shd w:val="clear" w:color="auto" w:fill="BFCED6"/>
          </w:tcPr>
          <w:p w14:paraId="6BEDB9B1" w14:textId="3E53633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19F9AC85" w14:textId="2011A865" w:rsidR="00847E82" w:rsidRPr="005B1FEF" w:rsidRDefault="00847E82" w:rsidP="00847E82">
            <w:pPr>
              <w:jc w:val="center"/>
              <w:rPr>
                <w:rFonts w:ascii="VIC" w:hAnsi="VIC"/>
                <w:sz w:val="18"/>
                <w:szCs w:val="18"/>
              </w:rPr>
            </w:pPr>
            <w:r w:rsidRPr="00427725">
              <w:rPr>
                <w:rFonts w:ascii="VIC" w:eastAsia="Verdana" w:hAnsi="VIC"/>
                <w:color w:val="000000"/>
                <w:sz w:val="18"/>
                <w:szCs w:val="18"/>
              </w:rPr>
              <w:t>15.4</w:t>
            </w:r>
          </w:p>
        </w:tc>
        <w:tc>
          <w:tcPr>
            <w:tcW w:w="1090" w:type="dxa"/>
            <w:shd w:val="clear" w:color="auto" w:fill="BFCED6"/>
          </w:tcPr>
          <w:p w14:paraId="1A5C2F7A" w14:textId="6075F0BF"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BFCED6"/>
          </w:tcPr>
          <w:p w14:paraId="5D9627E5" w14:textId="27A1C939"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BFCED6"/>
          </w:tcPr>
          <w:p w14:paraId="64856E75" w14:textId="04B15086" w:rsidR="00847E82" w:rsidRPr="005B1FEF" w:rsidRDefault="00847E82" w:rsidP="00847E82">
            <w:pPr>
              <w:jc w:val="center"/>
              <w:rPr>
                <w:rFonts w:ascii="VIC" w:hAnsi="VIC"/>
                <w:sz w:val="18"/>
                <w:szCs w:val="18"/>
              </w:rPr>
            </w:pPr>
            <w:r w:rsidRPr="00427725">
              <w:rPr>
                <w:rFonts w:ascii="VIC" w:eastAsia="Verdana" w:hAnsi="VIC"/>
                <w:color w:val="000000"/>
                <w:sz w:val="18"/>
                <w:szCs w:val="18"/>
              </w:rPr>
              <w:t>89 %</w:t>
            </w:r>
          </w:p>
        </w:tc>
        <w:tc>
          <w:tcPr>
            <w:tcW w:w="1091" w:type="dxa"/>
            <w:shd w:val="clear" w:color="auto" w:fill="BFCED6"/>
          </w:tcPr>
          <w:p w14:paraId="6DEB586A" w14:textId="216ADCBA" w:rsidR="00847E82" w:rsidRPr="005B1FEF" w:rsidRDefault="00847E82" w:rsidP="00847E82">
            <w:pPr>
              <w:jc w:val="center"/>
              <w:rPr>
                <w:rFonts w:ascii="VIC" w:hAnsi="VIC"/>
                <w:sz w:val="18"/>
                <w:szCs w:val="18"/>
              </w:rPr>
            </w:pPr>
            <w:r w:rsidRPr="00427725">
              <w:rPr>
                <w:rFonts w:ascii="VIC" w:eastAsia="Verdana" w:hAnsi="VIC"/>
                <w:color w:val="000000"/>
                <w:sz w:val="18"/>
                <w:szCs w:val="18"/>
              </w:rPr>
              <w:t>13.7</w:t>
            </w:r>
          </w:p>
        </w:tc>
      </w:tr>
      <w:tr w:rsidR="00847E82" w:rsidRPr="00A6366B" w14:paraId="53CE976E" w14:textId="77777777" w:rsidTr="00A17C7C">
        <w:trPr>
          <w:trHeight w:val="284"/>
        </w:trPr>
        <w:tc>
          <w:tcPr>
            <w:tcW w:w="1570" w:type="dxa"/>
            <w:vMerge/>
            <w:shd w:val="clear" w:color="auto" w:fill="BFCED6"/>
          </w:tcPr>
          <w:p w14:paraId="73C44BEE"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4CA1E578"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79ECF7BE" w14:textId="48ED079C" w:rsidR="00847E82" w:rsidRPr="005B1FEF" w:rsidRDefault="00847E82" w:rsidP="00847E82">
            <w:pPr>
              <w:rPr>
                <w:rFonts w:ascii="VIC" w:hAnsi="VIC"/>
                <w:sz w:val="18"/>
                <w:szCs w:val="18"/>
              </w:rPr>
            </w:pPr>
            <w:r w:rsidRPr="00427725">
              <w:rPr>
                <w:rFonts w:ascii="VIC" w:eastAsia="Verdana" w:hAnsi="VIC"/>
                <w:color w:val="000000"/>
                <w:sz w:val="18"/>
                <w:szCs w:val="18"/>
              </w:rPr>
              <w:t>Springvale Women's PARC</w:t>
            </w:r>
          </w:p>
        </w:tc>
        <w:tc>
          <w:tcPr>
            <w:tcW w:w="1090" w:type="dxa"/>
            <w:shd w:val="clear" w:color="auto" w:fill="BFCED6"/>
          </w:tcPr>
          <w:p w14:paraId="12E93B59" w14:textId="4849D0C0"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090" w:type="dxa"/>
            <w:shd w:val="clear" w:color="auto" w:fill="BFCED6"/>
          </w:tcPr>
          <w:p w14:paraId="18967A9C" w14:textId="52DA30DD" w:rsidR="00847E82" w:rsidRPr="005B1FEF" w:rsidRDefault="00847E82" w:rsidP="00847E82">
            <w:pPr>
              <w:jc w:val="center"/>
              <w:rPr>
                <w:rFonts w:ascii="VIC" w:hAnsi="VIC"/>
                <w:sz w:val="18"/>
                <w:szCs w:val="18"/>
              </w:rPr>
            </w:pPr>
            <w:r w:rsidRPr="00427725">
              <w:rPr>
                <w:rFonts w:ascii="VIC" w:eastAsia="Verdana" w:hAnsi="VIC"/>
                <w:color w:val="000000"/>
                <w:sz w:val="18"/>
                <w:szCs w:val="18"/>
              </w:rPr>
              <w:t>23.2</w:t>
            </w:r>
          </w:p>
        </w:tc>
        <w:tc>
          <w:tcPr>
            <w:tcW w:w="1090" w:type="dxa"/>
            <w:shd w:val="clear" w:color="auto" w:fill="BFCED6"/>
          </w:tcPr>
          <w:p w14:paraId="5FEA6BC4" w14:textId="17916355"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3F3527C7" w14:textId="3F9C6D93" w:rsidR="00847E82" w:rsidRPr="005B1FEF" w:rsidRDefault="00847E82" w:rsidP="00847E82">
            <w:pPr>
              <w:jc w:val="center"/>
              <w:rPr>
                <w:rFonts w:ascii="VIC" w:hAnsi="VIC"/>
                <w:sz w:val="18"/>
                <w:szCs w:val="18"/>
              </w:rPr>
            </w:pPr>
            <w:r w:rsidRPr="00427725">
              <w:rPr>
                <w:rFonts w:ascii="VIC" w:eastAsia="Verdana" w:hAnsi="VIC"/>
                <w:color w:val="000000"/>
                <w:sz w:val="18"/>
                <w:szCs w:val="18"/>
              </w:rPr>
              <w:t>28.3</w:t>
            </w:r>
          </w:p>
        </w:tc>
        <w:tc>
          <w:tcPr>
            <w:tcW w:w="1090" w:type="dxa"/>
            <w:shd w:val="clear" w:color="auto" w:fill="BFCED6"/>
          </w:tcPr>
          <w:p w14:paraId="7543D482" w14:textId="6F2474FE"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BFCED6"/>
          </w:tcPr>
          <w:p w14:paraId="463C698D" w14:textId="64A9373F"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BFCED6"/>
          </w:tcPr>
          <w:p w14:paraId="16AA1679" w14:textId="4AB95935" w:rsidR="00847E82" w:rsidRPr="005B1FEF" w:rsidRDefault="00847E82" w:rsidP="00847E82">
            <w:pPr>
              <w:jc w:val="center"/>
              <w:rPr>
                <w:rFonts w:ascii="VIC" w:hAnsi="VIC"/>
                <w:sz w:val="18"/>
                <w:szCs w:val="18"/>
              </w:rPr>
            </w:pPr>
            <w:r w:rsidRPr="00427725">
              <w:rPr>
                <w:rFonts w:ascii="VIC" w:eastAsia="Verdana" w:hAnsi="VIC"/>
                <w:color w:val="000000"/>
                <w:sz w:val="18"/>
                <w:szCs w:val="18"/>
              </w:rPr>
              <w:t>97 %</w:t>
            </w:r>
          </w:p>
        </w:tc>
        <w:tc>
          <w:tcPr>
            <w:tcW w:w="1091" w:type="dxa"/>
            <w:shd w:val="clear" w:color="auto" w:fill="BFCED6"/>
          </w:tcPr>
          <w:p w14:paraId="162CE80A" w14:textId="43A0209E" w:rsidR="00847E82" w:rsidRPr="005B1FEF" w:rsidRDefault="00847E82" w:rsidP="00847E82">
            <w:pPr>
              <w:jc w:val="center"/>
              <w:rPr>
                <w:rFonts w:ascii="VIC" w:hAnsi="VIC"/>
                <w:sz w:val="18"/>
                <w:szCs w:val="18"/>
              </w:rPr>
            </w:pPr>
            <w:r w:rsidRPr="00427725">
              <w:rPr>
                <w:rFonts w:ascii="VIC" w:eastAsia="Verdana" w:hAnsi="VIC"/>
                <w:color w:val="000000"/>
                <w:sz w:val="18"/>
                <w:szCs w:val="18"/>
              </w:rPr>
              <w:t>9.4</w:t>
            </w:r>
          </w:p>
        </w:tc>
      </w:tr>
      <w:tr w:rsidR="00847E82" w:rsidRPr="00A6366B" w14:paraId="15E6867F" w14:textId="77777777" w:rsidTr="00A17C7C">
        <w:trPr>
          <w:trHeight w:val="284"/>
        </w:trPr>
        <w:tc>
          <w:tcPr>
            <w:tcW w:w="1570" w:type="dxa"/>
            <w:vMerge/>
            <w:shd w:val="clear" w:color="auto" w:fill="BFCED6"/>
          </w:tcPr>
          <w:p w14:paraId="379441F6"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BFCED6"/>
          </w:tcPr>
          <w:p w14:paraId="4DB33C87"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BFCED6"/>
          </w:tcPr>
          <w:p w14:paraId="7025EFCA" w14:textId="14145CF5" w:rsidR="00847E82" w:rsidRPr="005B1FEF"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BFCED6"/>
          </w:tcPr>
          <w:p w14:paraId="7A6D1609" w14:textId="6C3ECD7C" w:rsidR="00847E82" w:rsidRPr="005B1FEF" w:rsidRDefault="00847E82" w:rsidP="00847E82">
            <w:pPr>
              <w:jc w:val="center"/>
              <w:rPr>
                <w:rFonts w:ascii="VIC" w:hAnsi="VIC"/>
                <w:sz w:val="18"/>
                <w:szCs w:val="18"/>
              </w:rPr>
            </w:pPr>
            <w:r w:rsidRPr="00427725">
              <w:rPr>
                <w:rFonts w:ascii="VIC" w:eastAsia="Verdana" w:hAnsi="VIC"/>
                <w:color w:val="000000"/>
                <w:sz w:val="18"/>
                <w:szCs w:val="18"/>
              </w:rPr>
              <w:t>77 %</w:t>
            </w:r>
          </w:p>
        </w:tc>
        <w:tc>
          <w:tcPr>
            <w:tcW w:w="1090" w:type="dxa"/>
            <w:shd w:val="clear" w:color="auto" w:fill="BFCED6"/>
          </w:tcPr>
          <w:p w14:paraId="45F348A3" w14:textId="405E0DE0" w:rsidR="00847E82" w:rsidRPr="005B1FEF" w:rsidRDefault="00847E82" w:rsidP="00847E82">
            <w:pPr>
              <w:jc w:val="center"/>
              <w:rPr>
                <w:rFonts w:ascii="VIC" w:hAnsi="VIC"/>
                <w:sz w:val="18"/>
                <w:szCs w:val="18"/>
              </w:rPr>
            </w:pPr>
            <w:r w:rsidRPr="00427725">
              <w:rPr>
                <w:rFonts w:ascii="VIC" w:eastAsia="Verdana" w:hAnsi="VIC"/>
                <w:color w:val="000000"/>
                <w:sz w:val="18"/>
                <w:szCs w:val="18"/>
              </w:rPr>
              <w:t>17.7</w:t>
            </w:r>
          </w:p>
        </w:tc>
        <w:tc>
          <w:tcPr>
            <w:tcW w:w="1090" w:type="dxa"/>
            <w:shd w:val="clear" w:color="auto" w:fill="BFCED6"/>
          </w:tcPr>
          <w:p w14:paraId="21366850" w14:textId="73471FB7"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3F4C8966" w14:textId="0A98AB6A" w:rsidR="00847E82" w:rsidRPr="005B1FEF" w:rsidRDefault="00847E82" w:rsidP="00847E82">
            <w:pPr>
              <w:jc w:val="center"/>
              <w:rPr>
                <w:rFonts w:ascii="VIC" w:hAnsi="VIC"/>
                <w:sz w:val="18"/>
                <w:szCs w:val="18"/>
              </w:rPr>
            </w:pPr>
            <w:r w:rsidRPr="00427725">
              <w:rPr>
                <w:rFonts w:ascii="VIC" w:eastAsia="Verdana" w:hAnsi="VIC"/>
                <w:color w:val="000000"/>
                <w:sz w:val="18"/>
                <w:szCs w:val="18"/>
              </w:rPr>
              <w:t>19.8</w:t>
            </w:r>
          </w:p>
        </w:tc>
        <w:tc>
          <w:tcPr>
            <w:tcW w:w="1090" w:type="dxa"/>
            <w:shd w:val="clear" w:color="auto" w:fill="BFCED6"/>
          </w:tcPr>
          <w:p w14:paraId="763FDAB4" w14:textId="1DF4C5C5"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0AB624A1" w14:textId="5253DC40"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08A7E412" w14:textId="76355A3D" w:rsidR="00847E82" w:rsidRPr="005B1FEF" w:rsidRDefault="00847E82" w:rsidP="00847E82">
            <w:pPr>
              <w:jc w:val="center"/>
              <w:rPr>
                <w:rFonts w:ascii="VIC" w:hAnsi="VIC"/>
                <w:sz w:val="18"/>
                <w:szCs w:val="18"/>
              </w:rPr>
            </w:pPr>
            <w:r w:rsidRPr="00427725">
              <w:rPr>
                <w:rFonts w:ascii="VIC" w:eastAsia="Verdana" w:hAnsi="VIC"/>
                <w:color w:val="000000"/>
                <w:sz w:val="18"/>
                <w:szCs w:val="18"/>
              </w:rPr>
              <w:t>91 %</w:t>
            </w:r>
          </w:p>
        </w:tc>
        <w:tc>
          <w:tcPr>
            <w:tcW w:w="1091" w:type="dxa"/>
            <w:shd w:val="clear" w:color="auto" w:fill="BFCED6"/>
          </w:tcPr>
          <w:p w14:paraId="2BE54721" w14:textId="77D3D1F0" w:rsidR="00847E82" w:rsidRPr="005B1FEF" w:rsidRDefault="00847E82" w:rsidP="00847E82">
            <w:pPr>
              <w:jc w:val="center"/>
              <w:rPr>
                <w:rFonts w:ascii="VIC" w:hAnsi="VIC"/>
                <w:sz w:val="18"/>
                <w:szCs w:val="18"/>
              </w:rPr>
            </w:pPr>
            <w:r w:rsidRPr="00427725">
              <w:rPr>
                <w:rFonts w:ascii="VIC" w:eastAsia="Verdana" w:hAnsi="VIC"/>
                <w:color w:val="000000"/>
                <w:sz w:val="18"/>
                <w:szCs w:val="18"/>
              </w:rPr>
              <w:t>12.2</w:t>
            </w:r>
          </w:p>
        </w:tc>
      </w:tr>
      <w:tr w:rsidR="00847E82" w:rsidRPr="00A6366B" w14:paraId="52EEFDF7" w14:textId="77777777" w:rsidTr="005D70E5">
        <w:trPr>
          <w:trHeight w:val="284"/>
        </w:trPr>
        <w:tc>
          <w:tcPr>
            <w:tcW w:w="1570" w:type="dxa"/>
            <w:vMerge/>
            <w:shd w:val="clear" w:color="auto" w:fill="BFCED6"/>
          </w:tcPr>
          <w:p w14:paraId="47C270E1"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0971512B" w14:textId="26931D6C"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Middle South (Monash Adult)</w:t>
            </w:r>
          </w:p>
        </w:tc>
        <w:tc>
          <w:tcPr>
            <w:tcW w:w="2833" w:type="dxa"/>
            <w:shd w:val="clear" w:color="auto" w:fill="BFCED6"/>
          </w:tcPr>
          <w:p w14:paraId="5B438189" w14:textId="48DA82BE" w:rsidR="00847E82" w:rsidRPr="005B1FEF" w:rsidRDefault="00847E82" w:rsidP="00847E82">
            <w:pPr>
              <w:rPr>
                <w:rFonts w:ascii="VIC" w:hAnsi="VIC"/>
                <w:sz w:val="18"/>
                <w:szCs w:val="18"/>
              </w:rPr>
            </w:pPr>
            <w:r w:rsidRPr="00427725">
              <w:rPr>
                <w:rFonts w:ascii="VIC" w:eastAsia="Verdana" w:hAnsi="VIC"/>
                <w:color w:val="000000"/>
                <w:sz w:val="18"/>
                <w:szCs w:val="18"/>
              </w:rPr>
              <w:t>Clayton PARC</w:t>
            </w:r>
          </w:p>
        </w:tc>
        <w:tc>
          <w:tcPr>
            <w:tcW w:w="1090" w:type="dxa"/>
            <w:shd w:val="clear" w:color="auto" w:fill="BFCED6"/>
          </w:tcPr>
          <w:p w14:paraId="47CD5756" w14:textId="01D699E7" w:rsidR="00847E82" w:rsidRPr="005B1FEF" w:rsidRDefault="00847E82" w:rsidP="00847E82">
            <w:pPr>
              <w:jc w:val="center"/>
              <w:rPr>
                <w:rFonts w:ascii="VIC" w:hAnsi="VIC"/>
                <w:sz w:val="18"/>
                <w:szCs w:val="18"/>
              </w:rPr>
            </w:pPr>
            <w:r w:rsidRPr="00427725">
              <w:rPr>
                <w:rFonts w:ascii="VIC" w:eastAsia="Verdana" w:hAnsi="VIC"/>
                <w:color w:val="000000"/>
                <w:sz w:val="18"/>
                <w:szCs w:val="18"/>
              </w:rPr>
              <w:t>69 %</w:t>
            </w:r>
          </w:p>
        </w:tc>
        <w:tc>
          <w:tcPr>
            <w:tcW w:w="1090" w:type="dxa"/>
            <w:shd w:val="clear" w:color="auto" w:fill="BFCED6"/>
          </w:tcPr>
          <w:p w14:paraId="2B9C4DAB" w14:textId="20DAF575" w:rsidR="00847E82" w:rsidRPr="005B1FEF" w:rsidRDefault="00847E82" w:rsidP="00847E82">
            <w:pPr>
              <w:jc w:val="center"/>
              <w:rPr>
                <w:rFonts w:ascii="VIC" w:hAnsi="VIC"/>
                <w:sz w:val="18"/>
                <w:szCs w:val="18"/>
              </w:rPr>
            </w:pPr>
            <w:r w:rsidRPr="00427725">
              <w:rPr>
                <w:rFonts w:ascii="VIC" w:eastAsia="Verdana" w:hAnsi="VIC"/>
                <w:color w:val="000000"/>
                <w:sz w:val="18"/>
                <w:szCs w:val="18"/>
              </w:rPr>
              <w:t>20.3</w:t>
            </w:r>
          </w:p>
        </w:tc>
        <w:tc>
          <w:tcPr>
            <w:tcW w:w="1090" w:type="dxa"/>
            <w:shd w:val="clear" w:color="auto" w:fill="BFCED6"/>
          </w:tcPr>
          <w:p w14:paraId="265C6147" w14:textId="0B074860"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410CB78F" w14:textId="31703E34" w:rsidR="00847E82" w:rsidRPr="005B1FEF" w:rsidRDefault="00847E82" w:rsidP="00847E82">
            <w:pPr>
              <w:jc w:val="center"/>
              <w:rPr>
                <w:rFonts w:ascii="VIC" w:hAnsi="VIC"/>
                <w:sz w:val="18"/>
                <w:szCs w:val="18"/>
              </w:rPr>
            </w:pPr>
            <w:r w:rsidRPr="00427725">
              <w:rPr>
                <w:rFonts w:ascii="VIC" w:eastAsia="Verdana" w:hAnsi="VIC"/>
                <w:color w:val="000000"/>
                <w:sz w:val="18"/>
                <w:szCs w:val="18"/>
              </w:rPr>
              <w:t>22.2</w:t>
            </w:r>
          </w:p>
        </w:tc>
        <w:tc>
          <w:tcPr>
            <w:tcW w:w="1090" w:type="dxa"/>
            <w:shd w:val="clear" w:color="auto" w:fill="BFCED6"/>
          </w:tcPr>
          <w:p w14:paraId="1FEACFD4" w14:textId="3A0F14A0" w:rsidR="00847E82" w:rsidRPr="005B1FEF" w:rsidRDefault="00847E82" w:rsidP="00847E82">
            <w:pPr>
              <w:jc w:val="center"/>
              <w:rPr>
                <w:rFonts w:ascii="VIC" w:hAnsi="VIC"/>
                <w:sz w:val="18"/>
                <w:szCs w:val="18"/>
              </w:rPr>
            </w:pPr>
            <w:r w:rsidRPr="00427725">
              <w:rPr>
                <w:rFonts w:ascii="VIC" w:eastAsia="Verdana" w:hAnsi="VIC"/>
                <w:color w:val="000000"/>
                <w:sz w:val="18"/>
                <w:szCs w:val="18"/>
              </w:rPr>
              <w:t>8 %</w:t>
            </w:r>
          </w:p>
        </w:tc>
        <w:tc>
          <w:tcPr>
            <w:tcW w:w="1090" w:type="dxa"/>
            <w:shd w:val="clear" w:color="auto" w:fill="BFCED6"/>
          </w:tcPr>
          <w:p w14:paraId="0E33BA8E" w14:textId="6F971FC1"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BFCED6"/>
          </w:tcPr>
          <w:p w14:paraId="71889873" w14:textId="13AA22F5" w:rsidR="00847E82" w:rsidRPr="005B1FEF" w:rsidRDefault="00847E82" w:rsidP="00847E82">
            <w:pPr>
              <w:jc w:val="center"/>
              <w:rPr>
                <w:rFonts w:ascii="VIC" w:hAnsi="VIC"/>
                <w:sz w:val="18"/>
                <w:szCs w:val="18"/>
              </w:rPr>
            </w:pPr>
            <w:r w:rsidRPr="00427725">
              <w:rPr>
                <w:rFonts w:ascii="VIC" w:eastAsia="Verdana" w:hAnsi="VIC"/>
                <w:color w:val="000000"/>
                <w:sz w:val="18"/>
                <w:szCs w:val="18"/>
              </w:rPr>
              <w:t>98 %</w:t>
            </w:r>
          </w:p>
        </w:tc>
        <w:tc>
          <w:tcPr>
            <w:tcW w:w="1091" w:type="dxa"/>
            <w:shd w:val="clear" w:color="auto" w:fill="BFCED6"/>
          </w:tcPr>
          <w:p w14:paraId="204D5CD4" w14:textId="010BBD97" w:rsidR="00847E82" w:rsidRPr="005B1FEF" w:rsidRDefault="00847E82" w:rsidP="00847E82">
            <w:pPr>
              <w:jc w:val="center"/>
              <w:rPr>
                <w:rFonts w:ascii="VIC" w:hAnsi="VIC"/>
                <w:sz w:val="18"/>
                <w:szCs w:val="18"/>
              </w:rPr>
            </w:pPr>
            <w:r w:rsidRPr="00427725">
              <w:rPr>
                <w:rFonts w:ascii="VIC" w:eastAsia="Verdana" w:hAnsi="VIC"/>
                <w:color w:val="000000"/>
                <w:sz w:val="18"/>
                <w:szCs w:val="18"/>
              </w:rPr>
              <w:t>12.3</w:t>
            </w:r>
          </w:p>
        </w:tc>
      </w:tr>
      <w:tr w:rsidR="00847E82" w:rsidRPr="00A6366B" w14:paraId="6929EC3F" w14:textId="77777777" w:rsidTr="005D70E5">
        <w:trPr>
          <w:trHeight w:val="284"/>
        </w:trPr>
        <w:tc>
          <w:tcPr>
            <w:tcW w:w="1570" w:type="dxa"/>
            <w:vMerge/>
            <w:shd w:val="clear" w:color="auto" w:fill="BFCED6"/>
          </w:tcPr>
          <w:p w14:paraId="3591DB7A" w14:textId="77777777" w:rsidR="00847E82" w:rsidRPr="00382424" w:rsidRDefault="00847E82" w:rsidP="00847E82">
            <w:pPr>
              <w:pStyle w:val="DHHStabletext"/>
              <w:spacing w:before="0" w:after="0"/>
              <w:rPr>
                <w:rFonts w:ascii="VIC" w:hAnsi="VIC"/>
                <w:sz w:val="18"/>
                <w:szCs w:val="18"/>
              </w:rPr>
            </w:pPr>
          </w:p>
        </w:tc>
        <w:tc>
          <w:tcPr>
            <w:tcW w:w="2410" w:type="dxa"/>
            <w:shd w:val="clear" w:color="auto" w:fill="BFCED6"/>
          </w:tcPr>
          <w:p w14:paraId="379D9CA1" w14:textId="35979282"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TOTAL</w:t>
            </w:r>
          </w:p>
        </w:tc>
        <w:tc>
          <w:tcPr>
            <w:tcW w:w="2833" w:type="dxa"/>
            <w:shd w:val="clear" w:color="auto" w:fill="BFCED6"/>
          </w:tcPr>
          <w:p w14:paraId="348EA701" w14:textId="2BC79A62" w:rsidR="00847E82" w:rsidRPr="005B1FEF" w:rsidRDefault="00847E82" w:rsidP="00847E82">
            <w:pPr>
              <w:rPr>
                <w:rFonts w:ascii="VIC" w:hAnsi="VIC"/>
                <w:sz w:val="18"/>
                <w:szCs w:val="18"/>
              </w:rPr>
            </w:pPr>
            <w:r w:rsidRPr="00427725">
              <w:rPr>
                <w:rFonts w:ascii="VIC" w:eastAsia="Verdana" w:hAnsi="VIC"/>
                <w:color w:val="000000"/>
                <w:sz w:val="18"/>
                <w:szCs w:val="18"/>
              </w:rPr>
              <w:t xml:space="preserve"> </w:t>
            </w:r>
          </w:p>
        </w:tc>
        <w:tc>
          <w:tcPr>
            <w:tcW w:w="1090" w:type="dxa"/>
            <w:shd w:val="clear" w:color="auto" w:fill="BFCED6"/>
          </w:tcPr>
          <w:p w14:paraId="5FA99506" w14:textId="237A6CC2" w:rsidR="00847E82" w:rsidRPr="005B1FEF" w:rsidRDefault="00847E82" w:rsidP="00847E82">
            <w:pPr>
              <w:jc w:val="center"/>
              <w:rPr>
                <w:rFonts w:ascii="VIC" w:hAnsi="VIC"/>
                <w:sz w:val="18"/>
                <w:szCs w:val="18"/>
              </w:rPr>
            </w:pPr>
            <w:r w:rsidRPr="00427725">
              <w:rPr>
                <w:rFonts w:ascii="VIC" w:eastAsia="Verdana" w:hAnsi="VIC"/>
                <w:color w:val="000000"/>
                <w:sz w:val="18"/>
                <w:szCs w:val="18"/>
              </w:rPr>
              <w:t>80 %</w:t>
            </w:r>
          </w:p>
        </w:tc>
        <w:tc>
          <w:tcPr>
            <w:tcW w:w="1090" w:type="dxa"/>
            <w:shd w:val="clear" w:color="auto" w:fill="BFCED6"/>
          </w:tcPr>
          <w:p w14:paraId="07C6E1D9" w14:textId="2AAB0912" w:rsidR="00847E82" w:rsidRPr="005B1FEF" w:rsidRDefault="00847E82" w:rsidP="00847E82">
            <w:pPr>
              <w:jc w:val="center"/>
              <w:rPr>
                <w:rFonts w:ascii="VIC" w:hAnsi="VIC"/>
                <w:sz w:val="18"/>
                <w:szCs w:val="18"/>
              </w:rPr>
            </w:pPr>
            <w:r w:rsidRPr="00427725">
              <w:rPr>
                <w:rFonts w:ascii="VIC" w:eastAsia="Verdana" w:hAnsi="VIC"/>
                <w:color w:val="000000"/>
                <w:sz w:val="18"/>
                <w:szCs w:val="18"/>
              </w:rPr>
              <w:t>22.9</w:t>
            </w:r>
          </w:p>
        </w:tc>
        <w:tc>
          <w:tcPr>
            <w:tcW w:w="1090" w:type="dxa"/>
            <w:shd w:val="clear" w:color="auto" w:fill="BFCED6"/>
          </w:tcPr>
          <w:p w14:paraId="73D2ED10" w14:textId="7E87D306"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7DDD7798" w14:textId="3BB78511" w:rsidR="00847E82" w:rsidRPr="005B1FEF" w:rsidRDefault="00847E82" w:rsidP="00847E82">
            <w:pPr>
              <w:jc w:val="center"/>
              <w:rPr>
                <w:rFonts w:ascii="VIC" w:hAnsi="VIC"/>
                <w:sz w:val="18"/>
                <w:szCs w:val="18"/>
              </w:rPr>
            </w:pPr>
            <w:r w:rsidRPr="00427725">
              <w:rPr>
                <w:rFonts w:ascii="VIC" w:eastAsia="Verdana" w:hAnsi="VIC"/>
                <w:color w:val="000000"/>
                <w:sz w:val="18"/>
                <w:szCs w:val="18"/>
              </w:rPr>
              <w:t>26.1</w:t>
            </w:r>
          </w:p>
        </w:tc>
        <w:tc>
          <w:tcPr>
            <w:tcW w:w="1090" w:type="dxa"/>
            <w:shd w:val="clear" w:color="auto" w:fill="BFCED6"/>
          </w:tcPr>
          <w:p w14:paraId="3441FAEE" w14:textId="0A78A8A2"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624447E9" w14:textId="51E9FEF4" w:rsidR="00847E82" w:rsidRPr="005B1FEF" w:rsidRDefault="00847E82" w:rsidP="00847E82">
            <w:pPr>
              <w:jc w:val="center"/>
              <w:rPr>
                <w:rFonts w:ascii="VIC" w:hAnsi="VIC"/>
                <w:sz w:val="18"/>
                <w:szCs w:val="18"/>
              </w:rPr>
            </w:pPr>
            <w:r w:rsidRPr="00427725">
              <w:rPr>
                <w:rFonts w:ascii="VIC" w:eastAsia="Verdana" w:hAnsi="VIC"/>
                <w:color w:val="000000"/>
                <w:sz w:val="18"/>
                <w:szCs w:val="18"/>
              </w:rPr>
              <w:t>10 %</w:t>
            </w:r>
          </w:p>
        </w:tc>
        <w:tc>
          <w:tcPr>
            <w:tcW w:w="1090" w:type="dxa"/>
            <w:shd w:val="clear" w:color="auto" w:fill="BFCED6"/>
          </w:tcPr>
          <w:p w14:paraId="7087B279" w14:textId="18E6C803"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091" w:type="dxa"/>
            <w:shd w:val="clear" w:color="auto" w:fill="BFCED6"/>
          </w:tcPr>
          <w:p w14:paraId="20D6BD53" w14:textId="6893C7BF" w:rsidR="00847E82" w:rsidRPr="005B1FEF" w:rsidRDefault="00847E82" w:rsidP="00847E82">
            <w:pPr>
              <w:jc w:val="center"/>
              <w:rPr>
                <w:rFonts w:ascii="VIC" w:hAnsi="VIC"/>
                <w:sz w:val="18"/>
                <w:szCs w:val="18"/>
              </w:rPr>
            </w:pPr>
            <w:r w:rsidRPr="00427725">
              <w:rPr>
                <w:rFonts w:ascii="VIC" w:eastAsia="Verdana" w:hAnsi="VIC"/>
                <w:color w:val="000000"/>
                <w:sz w:val="18"/>
                <w:szCs w:val="18"/>
              </w:rPr>
              <w:t>12.7</w:t>
            </w:r>
          </w:p>
        </w:tc>
      </w:tr>
      <w:tr w:rsidR="00847E82" w:rsidRPr="00A6366B" w14:paraId="277DB29F" w14:textId="77777777" w:rsidTr="005D70E5">
        <w:trPr>
          <w:trHeight w:val="284"/>
        </w:trPr>
        <w:tc>
          <w:tcPr>
            <w:tcW w:w="1570" w:type="dxa"/>
            <w:vMerge w:val="restart"/>
            <w:shd w:val="clear" w:color="auto" w:fill="FFFFFF" w:themeFill="background1"/>
          </w:tcPr>
          <w:p w14:paraId="08591797" w14:textId="518A25AC"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Peninsula Health</w:t>
            </w:r>
          </w:p>
        </w:tc>
        <w:tc>
          <w:tcPr>
            <w:tcW w:w="2410" w:type="dxa"/>
            <w:vMerge w:val="restart"/>
            <w:shd w:val="clear" w:color="auto" w:fill="FFFFFF" w:themeFill="background1"/>
          </w:tcPr>
          <w:p w14:paraId="5CEAA224" w14:textId="508FBB7F"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Peninsula</w:t>
            </w:r>
          </w:p>
        </w:tc>
        <w:tc>
          <w:tcPr>
            <w:tcW w:w="2833" w:type="dxa"/>
            <w:shd w:val="clear" w:color="auto" w:fill="FFFFFF" w:themeFill="background1"/>
          </w:tcPr>
          <w:p w14:paraId="305B3850" w14:textId="170CB65A" w:rsidR="00847E82" w:rsidRPr="005B1FEF" w:rsidRDefault="00847E82" w:rsidP="00847E82">
            <w:pPr>
              <w:rPr>
                <w:rFonts w:ascii="VIC" w:hAnsi="VIC"/>
                <w:sz w:val="18"/>
                <w:szCs w:val="18"/>
              </w:rPr>
            </w:pPr>
            <w:r w:rsidRPr="00427725">
              <w:rPr>
                <w:rFonts w:ascii="VIC" w:eastAsia="Verdana" w:hAnsi="VIC"/>
                <w:color w:val="000000"/>
                <w:sz w:val="18"/>
                <w:szCs w:val="18"/>
              </w:rPr>
              <w:t>Peninsula PARC, Adult</w:t>
            </w:r>
          </w:p>
        </w:tc>
        <w:tc>
          <w:tcPr>
            <w:tcW w:w="1090" w:type="dxa"/>
            <w:shd w:val="clear" w:color="auto" w:fill="FFFFFF" w:themeFill="background1"/>
          </w:tcPr>
          <w:p w14:paraId="368C2ADB" w14:textId="5DBC664C" w:rsidR="00847E82" w:rsidRPr="005B1FEF" w:rsidRDefault="00847E82" w:rsidP="00847E82">
            <w:pPr>
              <w:jc w:val="center"/>
              <w:rPr>
                <w:rFonts w:ascii="VIC" w:hAnsi="VIC"/>
                <w:sz w:val="18"/>
                <w:szCs w:val="18"/>
              </w:rPr>
            </w:pPr>
            <w:r w:rsidRPr="00427725">
              <w:rPr>
                <w:rFonts w:ascii="VIC" w:eastAsia="Verdana" w:hAnsi="VIC"/>
                <w:color w:val="000000"/>
                <w:sz w:val="18"/>
                <w:szCs w:val="18"/>
              </w:rPr>
              <w:t>88 %</w:t>
            </w:r>
          </w:p>
        </w:tc>
        <w:tc>
          <w:tcPr>
            <w:tcW w:w="1090" w:type="dxa"/>
            <w:shd w:val="clear" w:color="auto" w:fill="FFFFFF" w:themeFill="background1"/>
          </w:tcPr>
          <w:p w14:paraId="3A54EC93" w14:textId="1FAD5604" w:rsidR="00847E82" w:rsidRPr="005B1FEF" w:rsidRDefault="00847E82" w:rsidP="00847E82">
            <w:pPr>
              <w:jc w:val="center"/>
              <w:rPr>
                <w:rFonts w:ascii="VIC" w:hAnsi="VIC"/>
                <w:sz w:val="18"/>
                <w:szCs w:val="18"/>
              </w:rPr>
            </w:pPr>
            <w:r w:rsidRPr="00427725">
              <w:rPr>
                <w:rFonts w:ascii="VIC" w:eastAsia="Verdana" w:hAnsi="VIC"/>
                <w:color w:val="000000"/>
                <w:sz w:val="18"/>
                <w:szCs w:val="18"/>
              </w:rPr>
              <w:t>18.6</w:t>
            </w:r>
          </w:p>
        </w:tc>
        <w:tc>
          <w:tcPr>
            <w:tcW w:w="1090" w:type="dxa"/>
            <w:shd w:val="clear" w:color="auto" w:fill="FFFFFF" w:themeFill="background1"/>
          </w:tcPr>
          <w:p w14:paraId="67049526" w14:textId="57C99A37" w:rsidR="00847E82" w:rsidRPr="005B1FEF"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FFFFFF" w:themeFill="background1"/>
          </w:tcPr>
          <w:p w14:paraId="35DAB32A" w14:textId="6C2E03BF" w:rsidR="00847E82" w:rsidRPr="005B1FEF" w:rsidRDefault="00847E82" w:rsidP="00847E82">
            <w:pPr>
              <w:jc w:val="center"/>
              <w:rPr>
                <w:rFonts w:ascii="VIC" w:hAnsi="VIC"/>
                <w:sz w:val="18"/>
                <w:szCs w:val="18"/>
              </w:rPr>
            </w:pPr>
            <w:r w:rsidRPr="00427725">
              <w:rPr>
                <w:rFonts w:ascii="VIC" w:eastAsia="Verdana" w:hAnsi="VIC"/>
                <w:color w:val="000000"/>
                <w:sz w:val="18"/>
                <w:szCs w:val="18"/>
              </w:rPr>
              <w:t>18.7</w:t>
            </w:r>
          </w:p>
        </w:tc>
        <w:tc>
          <w:tcPr>
            <w:tcW w:w="1090" w:type="dxa"/>
            <w:shd w:val="clear" w:color="auto" w:fill="FFFFFF" w:themeFill="background1"/>
          </w:tcPr>
          <w:p w14:paraId="22181C5D" w14:textId="3C52B970"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FFFFFF" w:themeFill="background1"/>
          </w:tcPr>
          <w:p w14:paraId="1204E7EA" w14:textId="4CA0CBB0" w:rsidR="00847E82" w:rsidRPr="005B1FEF" w:rsidRDefault="00847E82" w:rsidP="00847E82">
            <w:pPr>
              <w:jc w:val="center"/>
              <w:rPr>
                <w:rFonts w:ascii="VIC" w:hAnsi="VIC"/>
                <w:sz w:val="18"/>
                <w:szCs w:val="18"/>
              </w:rPr>
            </w:pPr>
            <w:r w:rsidRPr="00427725">
              <w:rPr>
                <w:rFonts w:ascii="VIC" w:eastAsia="Verdana" w:hAnsi="VIC"/>
                <w:color w:val="000000"/>
                <w:sz w:val="18"/>
                <w:szCs w:val="18"/>
              </w:rPr>
              <w:t>2 %</w:t>
            </w:r>
          </w:p>
        </w:tc>
        <w:tc>
          <w:tcPr>
            <w:tcW w:w="1090" w:type="dxa"/>
            <w:shd w:val="clear" w:color="auto" w:fill="FFFFFF" w:themeFill="background1"/>
          </w:tcPr>
          <w:p w14:paraId="6141C476" w14:textId="4FB2FC26" w:rsidR="00847E82" w:rsidRPr="005B1FEF" w:rsidRDefault="00847E82" w:rsidP="00847E82">
            <w:pPr>
              <w:jc w:val="center"/>
              <w:rPr>
                <w:rFonts w:ascii="VIC" w:hAnsi="VIC"/>
                <w:sz w:val="18"/>
                <w:szCs w:val="18"/>
              </w:rPr>
            </w:pPr>
            <w:r w:rsidRPr="00427725">
              <w:rPr>
                <w:rFonts w:ascii="VIC" w:eastAsia="Verdana" w:hAnsi="VIC"/>
                <w:color w:val="000000"/>
                <w:sz w:val="18"/>
                <w:szCs w:val="18"/>
              </w:rPr>
              <w:t>100 %</w:t>
            </w:r>
          </w:p>
        </w:tc>
        <w:tc>
          <w:tcPr>
            <w:tcW w:w="1091" w:type="dxa"/>
            <w:shd w:val="clear" w:color="auto" w:fill="FFFFFF" w:themeFill="background1"/>
          </w:tcPr>
          <w:p w14:paraId="331AD582" w14:textId="20801626" w:rsidR="00847E82" w:rsidRPr="005B1FEF" w:rsidRDefault="00847E82" w:rsidP="00847E82">
            <w:pPr>
              <w:jc w:val="center"/>
              <w:rPr>
                <w:rFonts w:ascii="VIC" w:hAnsi="VIC"/>
                <w:sz w:val="18"/>
                <w:szCs w:val="18"/>
              </w:rPr>
            </w:pPr>
            <w:r w:rsidRPr="00427725">
              <w:rPr>
                <w:rFonts w:ascii="VIC" w:eastAsia="Verdana" w:hAnsi="VIC"/>
                <w:color w:val="000000"/>
                <w:sz w:val="18"/>
                <w:szCs w:val="18"/>
              </w:rPr>
              <w:t>14.7</w:t>
            </w:r>
          </w:p>
        </w:tc>
      </w:tr>
      <w:tr w:rsidR="00847E82" w:rsidRPr="00A6366B" w14:paraId="7BF47ABF" w14:textId="77777777" w:rsidTr="00A17C7C">
        <w:trPr>
          <w:trHeight w:val="284"/>
        </w:trPr>
        <w:tc>
          <w:tcPr>
            <w:tcW w:w="1570" w:type="dxa"/>
            <w:vMerge/>
            <w:shd w:val="clear" w:color="auto" w:fill="FFFFFF" w:themeFill="background1"/>
          </w:tcPr>
          <w:p w14:paraId="1C3A41CD"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FFFFFF" w:themeFill="background1"/>
          </w:tcPr>
          <w:p w14:paraId="01FB0641"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FFFFFF" w:themeFill="background1"/>
          </w:tcPr>
          <w:p w14:paraId="162BA89C" w14:textId="2B76A89D" w:rsidR="00847E82" w:rsidRPr="005B1FEF" w:rsidRDefault="00847E82" w:rsidP="00847E82">
            <w:pPr>
              <w:rPr>
                <w:rFonts w:ascii="VIC" w:hAnsi="VIC"/>
                <w:sz w:val="18"/>
                <w:szCs w:val="18"/>
              </w:rPr>
            </w:pPr>
            <w:r w:rsidRPr="00427725">
              <w:rPr>
                <w:rFonts w:ascii="VIC" w:eastAsia="Verdana" w:hAnsi="VIC"/>
                <w:color w:val="000000"/>
                <w:sz w:val="18"/>
                <w:szCs w:val="18"/>
              </w:rPr>
              <w:t>Peninsula PARC, Youth (16-17)</w:t>
            </w:r>
          </w:p>
        </w:tc>
        <w:tc>
          <w:tcPr>
            <w:tcW w:w="1090" w:type="dxa"/>
            <w:shd w:val="clear" w:color="auto" w:fill="FFFFFF" w:themeFill="background1"/>
          </w:tcPr>
          <w:p w14:paraId="23F0169B" w14:textId="022F55D9" w:rsidR="00847E82" w:rsidRPr="005B1FEF" w:rsidRDefault="00847E82" w:rsidP="00847E82">
            <w:pPr>
              <w:jc w:val="center"/>
              <w:rPr>
                <w:rFonts w:ascii="VIC" w:hAnsi="VIC"/>
                <w:sz w:val="18"/>
                <w:szCs w:val="18"/>
              </w:rPr>
            </w:pPr>
            <w:r w:rsidRPr="00427725">
              <w:rPr>
                <w:rFonts w:ascii="VIC" w:eastAsia="Verdana" w:hAnsi="VIC"/>
                <w:color w:val="000000"/>
                <w:sz w:val="18"/>
                <w:szCs w:val="18"/>
              </w:rPr>
              <w:t>49 %</w:t>
            </w:r>
          </w:p>
        </w:tc>
        <w:tc>
          <w:tcPr>
            <w:tcW w:w="1090" w:type="dxa"/>
            <w:shd w:val="clear" w:color="auto" w:fill="FFFFFF" w:themeFill="background1"/>
          </w:tcPr>
          <w:p w14:paraId="4CA0100D" w14:textId="6CFD0BE5" w:rsidR="00847E82" w:rsidRPr="005B1FEF" w:rsidRDefault="00847E82" w:rsidP="00847E82">
            <w:pPr>
              <w:jc w:val="center"/>
              <w:rPr>
                <w:rFonts w:ascii="VIC" w:hAnsi="VIC"/>
                <w:sz w:val="18"/>
                <w:szCs w:val="18"/>
              </w:rPr>
            </w:pPr>
            <w:r w:rsidRPr="00427725">
              <w:rPr>
                <w:rFonts w:ascii="VIC" w:eastAsia="Verdana" w:hAnsi="VIC"/>
                <w:color w:val="000000"/>
                <w:sz w:val="18"/>
                <w:szCs w:val="18"/>
              </w:rPr>
              <w:t>21.7</w:t>
            </w:r>
          </w:p>
        </w:tc>
        <w:tc>
          <w:tcPr>
            <w:tcW w:w="1090" w:type="dxa"/>
            <w:shd w:val="clear" w:color="auto" w:fill="FFFFFF" w:themeFill="background1"/>
          </w:tcPr>
          <w:p w14:paraId="33949119" w14:textId="42BE3486" w:rsidR="00847E82" w:rsidRPr="005B1FEF" w:rsidRDefault="00847E82" w:rsidP="00847E82">
            <w:pPr>
              <w:jc w:val="center"/>
              <w:rPr>
                <w:rFonts w:ascii="VIC" w:hAnsi="VIC"/>
                <w:sz w:val="18"/>
                <w:szCs w:val="18"/>
              </w:rPr>
            </w:pPr>
            <w:r w:rsidRPr="00427725">
              <w:rPr>
                <w:rFonts w:ascii="VIC" w:eastAsia="Verdana" w:hAnsi="VIC"/>
                <w:color w:val="000000"/>
                <w:sz w:val="18"/>
                <w:szCs w:val="18"/>
              </w:rPr>
              <w:t>30 %</w:t>
            </w:r>
          </w:p>
        </w:tc>
        <w:tc>
          <w:tcPr>
            <w:tcW w:w="1090" w:type="dxa"/>
            <w:shd w:val="clear" w:color="auto" w:fill="FFFFFF" w:themeFill="background1"/>
          </w:tcPr>
          <w:p w14:paraId="658F45C5" w14:textId="15F1CB7A" w:rsidR="00847E82" w:rsidRPr="005B1FEF" w:rsidRDefault="00847E82" w:rsidP="00847E82">
            <w:pPr>
              <w:jc w:val="center"/>
              <w:rPr>
                <w:rFonts w:ascii="VIC" w:hAnsi="VIC"/>
                <w:sz w:val="18"/>
                <w:szCs w:val="18"/>
              </w:rPr>
            </w:pPr>
            <w:r w:rsidRPr="00427725">
              <w:rPr>
                <w:rFonts w:ascii="VIC" w:eastAsia="Verdana" w:hAnsi="VIC"/>
                <w:color w:val="000000"/>
                <w:sz w:val="18"/>
                <w:szCs w:val="18"/>
              </w:rPr>
              <w:t>21.1</w:t>
            </w:r>
          </w:p>
        </w:tc>
        <w:tc>
          <w:tcPr>
            <w:tcW w:w="1090" w:type="dxa"/>
            <w:shd w:val="clear" w:color="auto" w:fill="FFFFFF" w:themeFill="background1"/>
          </w:tcPr>
          <w:p w14:paraId="447480AA" w14:textId="7817D62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4478DB64" w14:textId="457F2694"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6B8558CD" w14:textId="39F7CD37" w:rsidR="00847E82" w:rsidRPr="005B1FEF"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1" w:type="dxa"/>
            <w:shd w:val="clear" w:color="auto" w:fill="FFFFFF" w:themeFill="background1"/>
          </w:tcPr>
          <w:p w14:paraId="75ACA9A1" w14:textId="72887B76" w:rsidR="00847E82" w:rsidRPr="005B1FEF" w:rsidRDefault="00847E82" w:rsidP="00847E82">
            <w:pPr>
              <w:jc w:val="center"/>
              <w:rPr>
                <w:rFonts w:ascii="VIC" w:hAnsi="VIC"/>
                <w:sz w:val="18"/>
                <w:szCs w:val="18"/>
              </w:rPr>
            </w:pPr>
            <w:r w:rsidRPr="00427725">
              <w:rPr>
                <w:rFonts w:ascii="VIC" w:eastAsia="Verdana" w:hAnsi="VIC"/>
                <w:color w:val="000000"/>
                <w:sz w:val="18"/>
                <w:szCs w:val="18"/>
              </w:rPr>
              <w:t>15.3</w:t>
            </w:r>
          </w:p>
        </w:tc>
      </w:tr>
      <w:tr w:rsidR="00847E82" w:rsidRPr="00A6366B" w14:paraId="11DA127D" w14:textId="77777777" w:rsidTr="00A17C7C">
        <w:trPr>
          <w:trHeight w:val="284"/>
        </w:trPr>
        <w:tc>
          <w:tcPr>
            <w:tcW w:w="1570" w:type="dxa"/>
            <w:vMerge/>
            <w:shd w:val="clear" w:color="auto" w:fill="FFFFFF" w:themeFill="background1"/>
          </w:tcPr>
          <w:p w14:paraId="6D15FBED"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FFFFFF" w:themeFill="background1"/>
          </w:tcPr>
          <w:p w14:paraId="7F6EADC0"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FFFFFF" w:themeFill="background1"/>
          </w:tcPr>
          <w:p w14:paraId="540CAC4A" w14:textId="784368FD" w:rsidR="00847E82" w:rsidRPr="005B1FEF" w:rsidRDefault="00847E82" w:rsidP="00847E82">
            <w:pPr>
              <w:rPr>
                <w:rFonts w:ascii="VIC" w:hAnsi="VIC"/>
                <w:sz w:val="18"/>
                <w:szCs w:val="18"/>
              </w:rPr>
            </w:pPr>
            <w:r w:rsidRPr="00427725">
              <w:rPr>
                <w:rFonts w:ascii="VIC" w:eastAsia="Verdana" w:hAnsi="VIC"/>
                <w:color w:val="000000"/>
                <w:sz w:val="18"/>
                <w:szCs w:val="18"/>
              </w:rPr>
              <w:t>Peninsula PARC, Youth (18-25)</w:t>
            </w:r>
          </w:p>
        </w:tc>
        <w:tc>
          <w:tcPr>
            <w:tcW w:w="1090" w:type="dxa"/>
            <w:shd w:val="clear" w:color="auto" w:fill="FFFFFF" w:themeFill="background1"/>
          </w:tcPr>
          <w:p w14:paraId="053A715F" w14:textId="4D1FB5DC" w:rsidR="00847E82" w:rsidRPr="005B1FEF" w:rsidRDefault="00847E82" w:rsidP="00847E82">
            <w:pPr>
              <w:jc w:val="center"/>
              <w:rPr>
                <w:rFonts w:ascii="VIC" w:hAnsi="VIC"/>
                <w:sz w:val="18"/>
                <w:szCs w:val="18"/>
              </w:rPr>
            </w:pPr>
            <w:r w:rsidRPr="00427725">
              <w:rPr>
                <w:rFonts w:ascii="VIC" w:eastAsia="Verdana" w:hAnsi="VIC"/>
                <w:color w:val="000000"/>
                <w:sz w:val="18"/>
                <w:szCs w:val="18"/>
              </w:rPr>
              <w:t>94 %</w:t>
            </w:r>
          </w:p>
        </w:tc>
        <w:tc>
          <w:tcPr>
            <w:tcW w:w="1090" w:type="dxa"/>
            <w:shd w:val="clear" w:color="auto" w:fill="FFFFFF" w:themeFill="background1"/>
          </w:tcPr>
          <w:p w14:paraId="2E1BFEDD" w14:textId="54908DD1" w:rsidR="00847E82" w:rsidRPr="005B1FEF" w:rsidRDefault="00847E82" w:rsidP="00847E82">
            <w:pPr>
              <w:jc w:val="center"/>
              <w:rPr>
                <w:rFonts w:ascii="VIC" w:hAnsi="VIC"/>
                <w:sz w:val="18"/>
                <w:szCs w:val="18"/>
              </w:rPr>
            </w:pPr>
            <w:r w:rsidRPr="00427725">
              <w:rPr>
                <w:rFonts w:ascii="VIC" w:eastAsia="Verdana" w:hAnsi="VIC"/>
                <w:color w:val="000000"/>
                <w:sz w:val="18"/>
                <w:szCs w:val="18"/>
              </w:rPr>
              <w:t>19.6</w:t>
            </w:r>
          </w:p>
        </w:tc>
        <w:tc>
          <w:tcPr>
            <w:tcW w:w="1090" w:type="dxa"/>
            <w:shd w:val="clear" w:color="auto" w:fill="FFFFFF" w:themeFill="background1"/>
          </w:tcPr>
          <w:p w14:paraId="030D245A" w14:textId="489D5D0C" w:rsidR="00847E82" w:rsidRPr="005B1FEF" w:rsidRDefault="00847E82" w:rsidP="00847E82">
            <w:pPr>
              <w:jc w:val="center"/>
              <w:rPr>
                <w:rFonts w:ascii="VIC" w:hAnsi="VIC"/>
                <w:sz w:val="18"/>
                <w:szCs w:val="18"/>
              </w:rPr>
            </w:pPr>
            <w:r w:rsidRPr="00427725">
              <w:rPr>
                <w:rFonts w:ascii="VIC" w:eastAsia="Verdana" w:hAnsi="VIC"/>
                <w:color w:val="000000"/>
                <w:sz w:val="18"/>
                <w:szCs w:val="18"/>
              </w:rPr>
              <w:t>22 %</w:t>
            </w:r>
          </w:p>
        </w:tc>
        <w:tc>
          <w:tcPr>
            <w:tcW w:w="1090" w:type="dxa"/>
            <w:shd w:val="clear" w:color="auto" w:fill="FFFFFF" w:themeFill="background1"/>
          </w:tcPr>
          <w:p w14:paraId="2A384FC9" w14:textId="58077232" w:rsidR="00847E82" w:rsidRPr="005B1FEF" w:rsidRDefault="00847E82" w:rsidP="00847E82">
            <w:pPr>
              <w:jc w:val="center"/>
              <w:rPr>
                <w:rFonts w:ascii="VIC" w:hAnsi="VIC"/>
                <w:sz w:val="18"/>
                <w:szCs w:val="18"/>
              </w:rPr>
            </w:pPr>
            <w:r w:rsidRPr="00427725">
              <w:rPr>
                <w:rFonts w:ascii="VIC" w:eastAsia="Verdana" w:hAnsi="VIC"/>
                <w:color w:val="000000"/>
                <w:sz w:val="18"/>
                <w:szCs w:val="18"/>
              </w:rPr>
              <w:t>19.6</w:t>
            </w:r>
          </w:p>
        </w:tc>
        <w:tc>
          <w:tcPr>
            <w:tcW w:w="1090" w:type="dxa"/>
            <w:shd w:val="clear" w:color="auto" w:fill="FFFFFF" w:themeFill="background1"/>
          </w:tcPr>
          <w:p w14:paraId="4D59A99D" w14:textId="30B4C407"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FFFFFF" w:themeFill="background1"/>
          </w:tcPr>
          <w:p w14:paraId="03CCC37B" w14:textId="21D10E8C" w:rsidR="00847E82" w:rsidRPr="005B1FEF"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FFFFFF" w:themeFill="background1"/>
          </w:tcPr>
          <w:p w14:paraId="6173F82F" w14:textId="6C27C7B4" w:rsidR="00847E82" w:rsidRPr="005B1FEF" w:rsidRDefault="00847E82" w:rsidP="00847E82">
            <w:pPr>
              <w:jc w:val="center"/>
              <w:rPr>
                <w:rFonts w:ascii="VIC" w:hAnsi="VIC"/>
                <w:sz w:val="18"/>
                <w:szCs w:val="18"/>
              </w:rPr>
            </w:pPr>
            <w:r w:rsidRPr="00427725">
              <w:rPr>
                <w:rFonts w:ascii="VIC" w:eastAsia="Verdana" w:hAnsi="VIC"/>
                <w:color w:val="000000"/>
                <w:sz w:val="18"/>
                <w:szCs w:val="18"/>
              </w:rPr>
              <w:t>97 %</w:t>
            </w:r>
          </w:p>
        </w:tc>
        <w:tc>
          <w:tcPr>
            <w:tcW w:w="1091" w:type="dxa"/>
            <w:shd w:val="clear" w:color="auto" w:fill="FFFFFF" w:themeFill="background1"/>
          </w:tcPr>
          <w:p w14:paraId="39050D40" w14:textId="4D254318" w:rsidR="00847E82" w:rsidRPr="005B1FEF" w:rsidRDefault="00847E82" w:rsidP="00847E82">
            <w:pPr>
              <w:jc w:val="center"/>
              <w:rPr>
                <w:rFonts w:ascii="VIC" w:hAnsi="VIC"/>
                <w:sz w:val="18"/>
                <w:szCs w:val="18"/>
              </w:rPr>
            </w:pPr>
            <w:r w:rsidRPr="00427725">
              <w:rPr>
                <w:rFonts w:ascii="VIC" w:eastAsia="Verdana" w:hAnsi="VIC"/>
                <w:color w:val="000000"/>
                <w:sz w:val="18"/>
                <w:szCs w:val="18"/>
              </w:rPr>
              <w:t>16.1</w:t>
            </w:r>
          </w:p>
        </w:tc>
      </w:tr>
      <w:tr w:rsidR="00847E82" w:rsidRPr="00A6366B" w14:paraId="54E0A61F" w14:textId="77777777" w:rsidTr="00A17C7C">
        <w:trPr>
          <w:trHeight w:val="284"/>
        </w:trPr>
        <w:tc>
          <w:tcPr>
            <w:tcW w:w="1570" w:type="dxa"/>
            <w:vMerge/>
            <w:shd w:val="clear" w:color="auto" w:fill="FFFFFF" w:themeFill="background1"/>
          </w:tcPr>
          <w:p w14:paraId="76040EC3" w14:textId="77777777" w:rsidR="00847E82" w:rsidRPr="00382424" w:rsidRDefault="00847E82" w:rsidP="00847E82">
            <w:pPr>
              <w:pStyle w:val="DHHStabletext"/>
              <w:spacing w:before="0" w:after="0"/>
              <w:rPr>
                <w:rFonts w:ascii="VIC" w:hAnsi="VIC"/>
                <w:sz w:val="18"/>
                <w:szCs w:val="18"/>
              </w:rPr>
            </w:pPr>
          </w:p>
        </w:tc>
        <w:tc>
          <w:tcPr>
            <w:tcW w:w="2410" w:type="dxa"/>
            <w:vMerge/>
            <w:shd w:val="clear" w:color="auto" w:fill="FFFFFF" w:themeFill="background1"/>
          </w:tcPr>
          <w:p w14:paraId="14B74860" w14:textId="77777777" w:rsidR="00847E82" w:rsidRPr="006F4A3D" w:rsidRDefault="00847E82" w:rsidP="00847E82">
            <w:pPr>
              <w:pStyle w:val="DHHStabletext"/>
              <w:spacing w:before="0" w:after="0"/>
              <w:rPr>
                <w:rFonts w:ascii="VIC" w:eastAsia="Verdana" w:hAnsi="VIC"/>
                <w:color w:val="000000"/>
                <w:sz w:val="18"/>
                <w:szCs w:val="18"/>
              </w:rPr>
            </w:pPr>
          </w:p>
        </w:tc>
        <w:tc>
          <w:tcPr>
            <w:tcW w:w="2833" w:type="dxa"/>
            <w:shd w:val="clear" w:color="auto" w:fill="FFFFFF" w:themeFill="background1"/>
          </w:tcPr>
          <w:p w14:paraId="56605654" w14:textId="73A63A46" w:rsidR="00847E82" w:rsidRPr="005B1FEF"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FFFFFF" w:themeFill="background1"/>
          </w:tcPr>
          <w:p w14:paraId="48DCAAFC" w14:textId="4B167867" w:rsidR="00847E82" w:rsidRPr="005B1FEF" w:rsidRDefault="00847E82" w:rsidP="00847E82">
            <w:pPr>
              <w:jc w:val="center"/>
              <w:rPr>
                <w:rFonts w:ascii="VIC" w:hAnsi="VIC"/>
                <w:sz w:val="18"/>
                <w:szCs w:val="18"/>
              </w:rPr>
            </w:pPr>
            <w:r w:rsidRPr="00427725">
              <w:rPr>
                <w:rFonts w:ascii="VIC" w:eastAsia="Verdana" w:hAnsi="VIC"/>
                <w:color w:val="000000"/>
                <w:sz w:val="18"/>
                <w:szCs w:val="18"/>
              </w:rPr>
              <w:t>84 %</w:t>
            </w:r>
          </w:p>
        </w:tc>
        <w:tc>
          <w:tcPr>
            <w:tcW w:w="1090" w:type="dxa"/>
            <w:shd w:val="clear" w:color="auto" w:fill="FFFFFF" w:themeFill="background1"/>
          </w:tcPr>
          <w:p w14:paraId="5498508D" w14:textId="3815F3B1" w:rsidR="00847E82" w:rsidRPr="005B1FEF" w:rsidRDefault="00847E82" w:rsidP="00847E82">
            <w:pPr>
              <w:jc w:val="center"/>
              <w:rPr>
                <w:rFonts w:ascii="VIC" w:hAnsi="VIC"/>
                <w:sz w:val="18"/>
                <w:szCs w:val="18"/>
              </w:rPr>
            </w:pPr>
            <w:r w:rsidRPr="00427725">
              <w:rPr>
                <w:rFonts w:ascii="VIC" w:eastAsia="Verdana" w:hAnsi="VIC"/>
                <w:color w:val="000000"/>
                <w:sz w:val="18"/>
                <w:szCs w:val="18"/>
              </w:rPr>
              <w:t>19.2</w:t>
            </w:r>
          </w:p>
        </w:tc>
        <w:tc>
          <w:tcPr>
            <w:tcW w:w="1090" w:type="dxa"/>
            <w:shd w:val="clear" w:color="auto" w:fill="FFFFFF" w:themeFill="background1"/>
          </w:tcPr>
          <w:p w14:paraId="7257043E" w14:textId="3D3292D6" w:rsidR="00847E82" w:rsidRPr="005B1FEF" w:rsidRDefault="00847E82" w:rsidP="00847E82">
            <w:pPr>
              <w:jc w:val="center"/>
              <w:rPr>
                <w:rFonts w:ascii="VIC" w:hAnsi="VIC"/>
                <w:sz w:val="18"/>
                <w:szCs w:val="18"/>
              </w:rPr>
            </w:pPr>
            <w:r w:rsidRPr="00427725">
              <w:rPr>
                <w:rFonts w:ascii="VIC" w:eastAsia="Verdana" w:hAnsi="VIC"/>
                <w:color w:val="000000"/>
                <w:sz w:val="18"/>
                <w:szCs w:val="18"/>
              </w:rPr>
              <w:t>17 %</w:t>
            </w:r>
          </w:p>
        </w:tc>
        <w:tc>
          <w:tcPr>
            <w:tcW w:w="1090" w:type="dxa"/>
            <w:shd w:val="clear" w:color="auto" w:fill="FFFFFF" w:themeFill="background1"/>
          </w:tcPr>
          <w:p w14:paraId="0F4AA242" w14:textId="5837E4CC" w:rsidR="00847E82" w:rsidRPr="005B1FEF" w:rsidRDefault="00847E82" w:rsidP="00847E82">
            <w:pPr>
              <w:jc w:val="center"/>
              <w:rPr>
                <w:rFonts w:ascii="VIC" w:hAnsi="VIC"/>
                <w:sz w:val="18"/>
                <w:szCs w:val="18"/>
              </w:rPr>
            </w:pPr>
            <w:r w:rsidRPr="00427725">
              <w:rPr>
                <w:rFonts w:ascii="VIC" w:eastAsia="Verdana" w:hAnsi="VIC"/>
                <w:color w:val="000000"/>
                <w:sz w:val="18"/>
                <w:szCs w:val="18"/>
              </w:rPr>
              <w:t>19.2</w:t>
            </w:r>
          </w:p>
        </w:tc>
        <w:tc>
          <w:tcPr>
            <w:tcW w:w="1090" w:type="dxa"/>
            <w:shd w:val="clear" w:color="auto" w:fill="FFFFFF" w:themeFill="background1"/>
          </w:tcPr>
          <w:p w14:paraId="3D3F6876" w14:textId="735143C4" w:rsidR="00847E82" w:rsidRPr="005B1FEF"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FFFFFF" w:themeFill="background1"/>
          </w:tcPr>
          <w:p w14:paraId="44975055" w14:textId="0FA1B85B" w:rsidR="00847E82" w:rsidRPr="005B1FEF"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FFFFFF" w:themeFill="background1"/>
          </w:tcPr>
          <w:p w14:paraId="7BF1A212" w14:textId="4A2A422A" w:rsidR="00847E82" w:rsidRPr="005B1FEF" w:rsidRDefault="00847E82" w:rsidP="00847E82">
            <w:pPr>
              <w:jc w:val="center"/>
              <w:rPr>
                <w:rFonts w:ascii="VIC" w:hAnsi="VIC"/>
                <w:sz w:val="18"/>
                <w:szCs w:val="18"/>
              </w:rPr>
            </w:pPr>
            <w:r w:rsidRPr="00427725">
              <w:rPr>
                <w:rFonts w:ascii="VIC" w:eastAsia="Verdana" w:hAnsi="VIC"/>
                <w:color w:val="000000"/>
                <w:sz w:val="18"/>
                <w:szCs w:val="18"/>
              </w:rPr>
              <w:t>98 %</w:t>
            </w:r>
          </w:p>
        </w:tc>
        <w:tc>
          <w:tcPr>
            <w:tcW w:w="1091" w:type="dxa"/>
            <w:shd w:val="clear" w:color="auto" w:fill="FFFFFF" w:themeFill="background1"/>
          </w:tcPr>
          <w:p w14:paraId="7FE37A88" w14:textId="52392D8F" w:rsidR="00847E82" w:rsidRPr="005B1FEF" w:rsidRDefault="00847E82" w:rsidP="00847E82">
            <w:pPr>
              <w:jc w:val="center"/>
              <w:rPr>
                <w:rFonts w:ascii="VIC" w:hAnsi="VIC"/>
                <w:sz w:val="18"/>
                <w:szCs w:val="18"/>
              </w:rPr>
            </w:pPr>
            <w:r w:rsidRPr="00427725">
              <w:rPr>
                <w:rFonts w:ascii="VIC" w:eastAsia="Verdana" w:hAnsi="VIC"/>
                <w:color w:val="000000"/>
                <w:sz w:val="18"/>
                <w:szCs w:val="18"/>
              </w:rPr>
              <w:t>15.3</w:t>
            </w:r>
          </w:p>
        </w:tc>
      </w:tr>
      <w:tr w:rsidR="00847E82" w:rsidRPr="00A6366B" w14:paraId="18121B99" w14:textId="77777777" w:rsidTr="005D70E5">
        <w:trPr>
          <w:trHeight w:val="284"/>
        </w:trPr>
        <w:tc>
          <w:tcPr>
            <w:tcW w:w="1570" w:type="dxa"/>
            <w:shd w:val="clear" w:color="auto" w:fill="BFCED6"/>
          </w:tcPr>
          <w:p w14:paraId="4951D0B2" w14:textId="64604166"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St Vincent's Hospital</w:t>
            </w:r>
          </w:p>
        </w:tc>
        <w:tc>
          <w:tcPr>
            <w:tcW w:w="2410" w:type="dxa"/>
            <w:shd w:val="clear" w:color="auto" w:fill="BFCED6"/>
          </w:tcPr>
          <w:p w14:paraId="62C029E8" w14:textId="0361DF12"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Inner East (St Vincent's)</w:t>
            </w:r>
          </w:p>
        </w:tc>
        <w:tc>
          <w:tcPr>
            <w:tcW w:w="2833" w:type="dxa"/>
            <w:shd w:val="clear" w:color="auto" w:fill="BFCED6"/>
          </w:tcPr>
          <w:p w14:paraId="0114A30B" w14:textId="01E5DFE8" w:rsidR="00847E82" w:rsidRPr="005B1FEF" w:rsidRDefault="00847E82" w:rsidP="00847E82">
            <w:pPr>
              <w:rPr>
                <w:rFonts w:ascii="VIC" w:hAnsi="VIC"/>
                <w:sz w:val="18"/>
                <w:szCs w:val="18"/>
              </w:rPr>
            </w:pPr>
            <w:r w:rsidRPr="00427725">
              <w:rPr>
                <w:rFonts w:ascii="VIC" w:eastAsia="Verdana" w:hAnsi="VIC"/>
                <w:color w:val="000000"/>
                <w:sz w:val="18"/>
                <w:szCs w:val="18"/>
              </w:rPr>
              <w:t>St Vincent's PARC</w:t>
            </w:r>
          </w:p>
        </w:tc>
        <w:tc>
          <w:tcPr>
            <w:tcW w:w="1090" w:type="dxa"/>
            <w:shd w:val="clear" w:color="auto" w:fill="BFCED6"/>
          </w:tcPr>
          <w:p w14:paraId="0FBF96D8" w14:textId="6ACB7E5A" w:rsidR="00847E82" w:rsidRPr="005B1FEF" w:rsidRDefault="00847E82" w:rsidP="00847E82">
            <w:pPr>
              <w:jc w:val="center"/>
              <w:rPr>
                <w:rFonts w:ascii="VIC" w:hAnsi="VIC"/>
                <w:sz w:val="18"/>
                <w:szCs w:val="18"/>
              </w:rPr>
            </w:pPr>
            <w:r w:rsidRPr="00427725">
              <w:rPr>
                <w:rFonts w:ascii="VIC" w:eastAsia="Verdana" w:hAnsi="VIC"/>
                <w:color w:val="000000"/>
                <w:sz w:val="18"/>
                <w:szCs w:val="18"/>
              </w:rPr>
              <w:t>83 %</w:t>
            </w:r>
          </w:p>
        </w:tc>
        <w:tc>
          <w:tcPr>
            <w:tcW w:w="1090" w:type="dxa"/>
            <w:shd w:val="clear" w:color="auto" w:fill="BFCED6"/>
          </w:tcPr>
          <w:p w14:paraId="440A98A3" w14:textId="1BBB2FF2" w:rsidR="00847E82" w:rsidRPr="005B1FEF" w:rsidRDefault="00847E82" w:rsidP="00847E82">
            <w:pPr>
              <w:jc w:val="center"/>
              <w:rPr>
                <w:rFonts w:ascii="VIC" w:hAnsi="VIC"/>
                <w:sz w:val="18"/>
                <w:szCs w:val="18"/>
              </w:rPr>
            </w:pPr>
            <w:r w:rsidRPr="00427725">
              <w:rPr>
                <w:rFonts w:ascii="VIC" w:eastAsia="Verdana" w:hAnsi="VIC"/>
                <w:color w:val="000000"/>
                <w:sz w:val="18"/>
                <w:szCs w:val="18"/>
              </w:rPr>
              <w:t>18.5</w:t>
            </w:r>
          </w:p>
        </w:tc>
        <w:tc>
          <w:tcPr>
            <w:tcW w:w="1090" w:type="dxa"/>
            <w:shd w:val="clear" w:color="auto" w:fill="BFCED6"/>
          </w:tcPr>
          <w:p w14:paraId="658E8515" w14:textId="772B1B05" w:rsidR="00847E82" w:rsidRPr="005B1FEF" w:rsidRDefault="00847E82" w:rsidP="00847E82">
            <w:pPr>
              <w:jc w:val="center"/>
              <w:rPr>
                <w:rFonts w:ascii="VIC" w:hAnsi="VIC"/>
                <w:sz w:val="18"/>
                <w:szCs w:val="18"/>
              </w:rPr>
            </w:pPr>
            <w:r w:rsidRPr="00427725">
              <w:rPr>
                <w:rFonts w:ascii="VIC" w:eastAsia="Verdana" w:hAnsi="VIC"/>
                <w:color w:val="000000"/>
                <w:sz w:val="18"/>
                <w:szCs w:val="18"/>
              </w:rPr>
              <w:t>18 %</w:t>
            </w:r>
          </w:p>
        </w:tc>
        <w:tc>
          <w:tcPr>
            <w:tcW w:w="1090" w:type="dxa"/>
            <w:shd w:val="clear" w:color="auto" w:fill="BFCED6"/>
          </w:tcPr>
          <w:p w14:paraId="27947350" w14:textId="4BB8934A" w:rsidR="00847E82" w:rsidRPr="005B1FEF" w:rsidRDefault="00847E82" w:rsidP="00847E82">
            <w:pPr>
              <w:jc w:val="center"/>
              <w:rPr>
                <w:rFonts w:ascii="VIC" w:hAnsi="VIC"/>
                <w:sz w:val="18"/>
                <w:szCs w:val="18"/>
              </w:rPr>
            </w:pPr>
            <w:r w:rsidRPr="00427725">
              <w:rPr>
                <w:rFonts w:ascii="VIC" w:eastAsia="Verdana" w:hAnsi="VIC"/>
                <w:color w:val="000000"/>
                <w:sz w:val="18"/>
                <w:szCs w:val="18"/>
              </w:rPr>
              <w:t>24.1</w:t>
            </w:r>
          </w:p>
        </w:tc>
        <w:tc>
          <w:tcPr>
            <w:tcW w:w="1090" w:type="dxa"/>
            <w:shd w:val="clear" w:color="auto" w:fill="BFCED6"/>
          </w:tcPr>
          <w:p w14:paraId="05188122" w14:textId="02F75D1F" w:rsidR="00847E82" w:rsidRPr="005B1FEF" w:rsidRDefault="00847E82" w:rsidP="00847E82">
            <w:pPr>
              <w:jc w:val="center"/>
              <w:rPr>
                <w:rFonts w:ascii="VIC" w:hAnsi="VIC"/>
                <w:sz w:val="18"/>
                <w:szCs w:val="18"/>
              </w:rPr>
            </w:pPr>
            <w:r w:rsidRPr="00427725">
              <w:rPr>
                <w:rFonts w:ascii="VIC" w:eastAsia="Verdana" w:hAnsi="VIC"/>
                <w:color w:val="000000"/>
                <w:sz w:val="18"/>
                <w:szCs w:val="18"/>
              </w:rPr>
              <w:t>7 %</w:t>
            </w:r>
          </w:p>
        </w:tc>
        <w:tc>
          <w:tcPr>
            <w:tcW w:w="1090" w:type="dxa"/>
            <w:shd w:val="clear" w:color="auto" w:fill="BFCED6"/>
          </w:tcPr>
          <w:p w14:paraId="181EAA41" w14:textId="66BC1C91" w:rsidR="00847E82" w:rsidRPr="005B1FEF"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6B763C3A" w14:textId="59A0CA42"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091" w:type="dxa"/>
            <w:shd w:val="clear" w:color="auto" w:fill="BFCED6"/>
          </w:tcPr>
          <w:p w14:paraId="31F17B40" w14:textId="087C1FD2" w:rsidR="00847E82" w:rsidRPr="005B1FEF" w:rsidRDefault="00847E82" w:rsidP="00847E82">
            <w:pPr>
              <w:jc w:val="center"/>
              <w:rPr>
                <w:rFonts w:ascii="VIC" w:hAnsi="VIC"/>
                <w:sz w:val="18"/>
                <w:szCs w:val="18"/>
              </w:rPr>
            </w:pPr>
            <w:r w:rsidRPr="00427725">
              <w:rPr>
                <w:rFonts w:ascii="VIC" w:eastAsia="Verdana" w:hAnsi="VIC"/>
                <w:color w:val="000000"/>
                <w:sz w:val="18"/>
                <w:szCs w:val="18"/>
              </w:rPr>
              <w:t>17.8</w:t>
            </w:r>
          </w:p>
        </w:tc>
      </w:tr>
      <w:tr w:rsidR="00847E82" w:rsidRPr="00A6366B" w14:paraId="4AB0D76F" w14:textId="77777777" w:rsidTr="005D70E5">
        <w:trPr>
          <w:trHeight w:val="284"/>
        </w:trPr>
        <w:tc>
          <w:tcPr>
            <w:tcW w:w="1570" w:type="dxa"/>
            <w:shd w:val="clear" w:color="auto" w:fill="FFFFFF" w:themeFill="background1"/>
          </w:tcPr>
          <w:p w14:paraId="09B96BCA" w14:textId="74B5D4F8" w:rsidR="00847E82" w:rsidRPr="00382424"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Mercy Health</w:t>
            </w:r>
          </w:p>
        </w:tc>
        <w:tc>
          <w:tcPr>
            <w:tcW w:w="2410" w:type="dxa"/>
            <w:shd w:val="clear" w:color="auto" w:fill="FFFFFF" w:themeFill="background1"/>
          </w:tcPr>
          <w:p w14:paraId="2968E87F" w14:textId="79175F53" w:rsidR="00847E82" w:rsidRPr="006F4A3D"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South West (Werribee)</w:t>
            </w:r>
          </w:p>
        </w:tc>
        <w:tc>
          <w:tcPr>
            <w:tcW w:w="2833" w:type="dxa"/>
            <w:shd w:val="clear" w:color="auto" w:fill="FFFFFF" w:themeFill="background1"/>
          </w:tcPr>
          <w:p w14:paraId="38AC07E2" w14:textId="6D63D399" w:rsidR="00847E82" w:rsidRPr="005B1FEF" w:rsidRDefault="00847E82" w:rsidP="00847E82">
            <w:pPr>
              <w:rPr>
                <w:rFonts w:ascii="VIC" w:hAnsi="VIC"/>
                <w:sz w:val="18"/>
                <w:szCs w:val="18"/>
              </w:rPr>
            </w:pPr>
            <w:r w:rsidRPr="00427725">
              <w:rPr>
                <w:rFonts w:ascii="VIC" w:eastAsia="Verdana" w:hAnsi="VIC"/>
                <w:color w:val="000000"/>
                <w:sz w:val="18"/>
                <w:szCs w:val="18"/>
              </w:rPr>
              <w:t>Werribee PARC</w:t>
            </w:r>
          </w:p>
        </w:tc>
        <w:tc>
          <w:tcPr>
            <w:tcW w:w="1090" w:type="dxa"/>
            <w:shd w:val="clear" w:color="auto" w:fill="FFFFFF" w:themeFill="background1"/>
          </w:tcPr>
          <w:p w14:paraId="3AB74856" w14:textId="29B99250" w:rsidR="00847E82" w:rsidRPr="005B1FEF" w:rsidRDefault="00847E82" w:rsidP="00847E82">
            <w:pPr>
              <w:jc w:val="center"/>
              <w:rPr>
                <w:rFonts w:ascii="VIC" w:hAnsi="VIC"/>
                <w:sz w:val="18"/>
                <w:szCs w:val="18"/>
              </w:rPr>
            </w:pPr>
            <w:r w:rsidRPr="00427725">
              <w:rPr>
                <w:rFonts w:ascii="VIC" w:eastAsia="Verdana" w:hAnsi="VIC"/>
                <w:color w:val="000000"/>
                <w:sz w:val="18"/>
                <w:szCs w:val="18"/>
              </w:rPr>
              <w:t>93 %</w:t>
            </w:r>
          </w:p>
        </w:tc>
        <w:tc>
          <w:tcPr>
            <w:tcW w:w="1090" w:type="dxa"/>
            <w:shd w:val="clear" w:color="auto" w:fill="FFFFFF" w:themeFill="background1"/>
          </w:tcPr>
          <w:p w14:paraId="245EDFEA" w14:textId="4F2ED91C" w:rsidR="00847E82" w:rsidRPr="005B1FEF" w:rsidRDefault="00847E82" w:rsidP="00847E82">
            <w:pPr>
              <w:jc w:val="center"/>
              <w:rPr>
                <w:rFonts w:ascii="VIC" w:hAnsi="VIC"/>
                <w:sz w:val="18"/>
                <w:szCs w:val="18"/>
              </w:rPr>
            </w:pPr>
            <w:r w:rsidRPr="00427725">
              <w:rPr>
                <w:rFonts w:ascii="VIC" w:eastAsia="Verdana" w:hAnsi="VIC"/>
                <w:color w:val="000000"/>
                <w:sz w:val="18"/>
                <w:szCs w:val="18"/>
              </w:rPr>
              <w:t>25.9</w:t>
            </w:r>
          </w:p>
        </w:tc>
        <w:tc>
          <w:tcPr>
            <w:tcW w:w="1090" w:type="dxa"/>
            <w:shd w:val="clear" w:color="auto" w:fill="FFFFFF" w:themeFill="background1"/>
          </w:tcPr>
          <w:p w14:paraId="66C0D139" w14:textId="534BDD0A" w:rsidR="00847E82" w:rsidRPr="005B1FEF"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0E2760E9" w14:textId="206BA89E" w:rsidR="00847E82" w:rsidRPr="005B1FEF" w:rsidRDefault="00847E82" w:rsidP="00847E82">
            <w:pPr>
              <w:jc w:val="center"/>
              <w:rPr>
                <w:rFonts w:ascii="VIC" w:hAnsi="VIC"/>
                <w:sz w:val="18"/>
                <w:szCs w:val="18"/>
              </w:rPr>
            </w:pPr>
            <w:r w:rsidRPr="00427725">
              <w:rPr>
                <w:rFonts w:ascii="VIC" w:eastAsia="Verdana" w:hAnsi="VIC"/>
                <w:color w:val="000000"/>
                <w:sz w:val="18"/>
                <w:szCs w:val="18"/>
              </w:rPr>
              <w:t>27.1</w:t>
            </w:r>
          </w:p>
        </w:tc>
        <w:tc>
          <w:tcPr>
            <w:tcW w:w="1090" w:type="dxa"/>
            <w:shd w:val="clear" w:color="auto" w:fill="FFFFFF" w:themeFill="background1"/>
          </w:tcPr>
          <w:p w14:paraId="17BD7F06" w14:textId="5D308306" w:rsidR="00847E82" w:rsidRPr="005B1FEF"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FFFFFF" w:themeFill="background1"/>
          </w:tcPr>
          <w:p w14:paraId="5BBEBB61" w14:textId="291F5DEA" w:rsidR="00847E82" w:rsidRPr="005B1FEF" w:rsidRDefault="00847E82" w:rsidP="00847E82">
            <w:pPr>
              <w:jc w:val="center"/>
              <w:rPr>
                <w:rFonts w:ascii="VIC" w:hAnsi="VIC"/>
                <w:sz w:val="18"/>
                <w:szCs w:val="18"/>
              </w:rPr>
            </w:pPr>
            <w:r w:rsidRPr="00427725">
              <w:rPr>
                <w:rFonts w:ascii="VIC" w:eastAsia="Verdana" w:hAnsi="VIC"/>
                <w:color w:val="000000"/>
                <w:sz w:val="18"/>
                <w:szCs w:val="18"/>
              </w:rPr>
              <w:t>21 %</w:t>
            </w:r>
          </w:p>
        </w:tc>
        <w:tc>
          <w:tcPr>
            <w:tcW w:w="1090" w:type="dxa"/>
            <w:shd w:val="clear" w:color="auto" w:fill="FFFFFF" w:themeFill="background1"/>
          </w:tcPr>
          <w:p w14:paraId="3F276CE7" w14:textId="3362A097" w:rsidR="00847E82" w:rsidRPr="005B1FEF" w:rsidRDefault="00847E82" w:rsidP="00847E82">
            <w:pPr>
              <w:jc w:val="center"/>
              <w:rPr>
                <w:rFonts w:ascii="VIC" w:hAnsi="VIC"/>
                <w:sz w:val="18"/>
                <w:szCs w:val="18"/>
              </w:rPr>
            </w:pPr>
            <w:r w:rsidRPr="00427725">
              <w:rPr>
                <w:rFonts w:ascii="VIC" w:eastAsia="Verdana" w:hAnsi="VIC"/>
                <w:color w:val="000000"/>
                <w:sz w:val="18"/>
                <w:szCs w:val="18"/>
              </w:rPr>
              <w:t>96 %</w:t>
            </w:r>
          </w:p>
        </w:tc>
        <w:tc>
          <w:tcPr>
            <w:tcW w:w="1091" w:type="dxa"/>
            <w:shd w:val="clear" w:color="auto" w:fill="FFFFFF" w:themeFill="background1"/>
          </w:tcPr>
          <w:p w14:paraId="6689ACA3" w14:textId="69B79EBD" w:rsidR="00847E82" w:rsidRPr="005B1FEF" w:rsidRDefault="00847E82" w:rsidP="00847E82">
            <w:pPr>
              <w:jc w:val="center"/>
              <w:rPr>
                <w:rFonts w:ascii="VIC" w:hAnsi="VIC"/>
                <w:sz w:val="18"/>
                <w:szCs w:val="18"/>
              </w:rPr>
            </w:pPr>
            <w:r w:rsidRPr="00427725">
              <w:rPr>
                <w:rFonts w:ascii="VIC" w:eastAsia="Verdana" w:hAnsi="VIC"/>
                <w:color w:val="000000"/>
                <w:sz w:val="18"/>
                <w:szCs w:val="18"/>
              </w:rPr>
              <w:t>10.4</w:t>
            </w:r>
          </w:p>
        </w:tc>
      </w:tr>
      <w:tr w:rsidR="00847E82" w:rsidRPr="00847E82" w14:paraId="686B0F1A" w14:textId="77777777" w:rsidTr="005D70E5">
        <w:trPr>
          <w:trHeight w:val="284"/>
        </w:trPr>
        <w:tc>
          <w:tcPr>
            <w:tcW w:w="1570" w:type="dxa"/>
            <w:shd w:val="clear" w:color="auto" w:fill="B1C9E8"/>
          </w:tcPr>
          <w:p w14:paraId="7D459E94" w14:textId="0BDAC2BB"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METRO</w:t>
            </w:r>
          </w:p>
        </w:tc>
        <w:tc>
          <w:tcPr>
            <w:tcW w:w="2410" w:type="dxa"/>
            <w:shd w:val="clear" w:color="auto" w:fill="B1C9E8"/>
          </w:tcPr>
          <w:p w14:paraId="72E18B20" w14:textId="13A4A5F2"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2833" w:type="dxa"/>
            <w:shd w:val="clear" w:color="auto" w:fill="B1C9E8"/>
          </w:tcPr>
          <w:p w14:paraId="51A3321A" w14:textId="594C4BF8" w:rsidR="00847E82" w:rsidRPr="00847E82" w:rsidRDefault="00847E82" w:rsidP="00847E82">
            <w:pPr>
              <w:rPr>
                <w:rFonts w:ascii="VIC" w:hAnsi="VIC"/>
                <w:color w:val="000000" w:themeColor="text1"/>
                <w:sz w:val="18"/>
                <w:szCs w:val="18"/>
              </w:rPr>
            </w:pPr>
            <w:r w:rsidRPr="00847E82">
              <w:rPr>
                <w:rFonts w:ascii="VIC" w:eastAsia="Verdana" w:hAnsi="VIC"/>
                <w:color w:val="000000" w:themeColor="text1"/>
                <w:sz w:val="18"/>
                <w:szCs w:val="18"/>
              </w:rPr>
              <w:t xml:space="preserve"> </w:t>
            </w:r>
          </w:p>
        </w:tc>
        <w:tc>
          <w:tcPr>
            <w:tcW w:w="1090" w:type="dxa"/>
            <w:shd w:val="clear" w:color="auto" w:fill="B1C9E8"/>
          </w:tcPr>
          <w:p w14:paraId="7CC5E370" w14:textId="5F0B45DA"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81 %</w:t>
            </w:r>
          </w:p>
        </w:tc>
        <w:tc>
          <w:tcPr>
            <w:tcW w:w="1090" w:type="dxa"/>
            <w:shd w:val="clear" w:color="auto" w:fill="B1C9E8"/>
          </w:tcPr>
          <w:p w14:paraId="4EB33147" w14:textId="4E83B774"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20.7</w:t>
            </w:r>
          </w:p>
        </w:tc>
        <w:tc>
          <w:tcPr>
            <w:tcW w:w="1090" w:type="dxa"/>
            <w:shd w:val="clear" w:color="auto" w:fill="B1C9E8"/>
          </w:tcPr>
          <w:p w14:paraId="4B7658B8" w14:textId="2E21AF4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5 %</w:t>
            </w:r>
          </w:p>
        </w:tc>
        <w:tc>
          <w:tcPr>
            <w:tcW w:w="1090" w:type="dxa"/>
            <w:shd w:val="clear" w:color="auto" w:fill="B1C9E8"/>
          </w:tcPr>
          <w:p w14:paraId="16366237" w14:textId="5D4D7A2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24.5</w:t>
            </w:r>
          </w:p>
        </w:tc>
        <w:tc>
          <w:tcPr>
            <w:tcW w:w="1090" w:type="dxa"/>
            <w:shd w:val="clear" w:color="auto" w:fill="B1C9E8"/>
          </w:tcPr>
          <w:p w14:paraId="3F628384" w14:textId="0054EC37"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8 %</w:t>
            </w:r>
          </w:p>
        </w:tc>
        <w:tc>
          <w:tcPr>
            <w:tcW w:w="1090" w:type="dxa"/>
            <w:shd w:val="clear" w:color="auto" w:fill="B1C9E8"/>
          </w:tcPr>
          <w:p w14:paraId="415C26E2" w14:textId="54F6A19E"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12 %</w:t>
            </w:r>
          </w:p>
        </w:tc>
        <w:tc>
          <w:tcPr>
            <w:tcW w:w="1090" w:type="dxa"/>
            <w:shd w:val="clear" w:color="auto" w:fill="B1C9E8"/>
          </w:tcPr>
          <w:p w14:paraId="074C9455" w14:textId="14A3079D"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93 %</w:t>
            </w:r>
          </w:p>
        </w:tc>
        <w:tc>
          <w:tcPr>
            <w:tcW w:w="1091" w:type="dxa"/>
            <w:shd w:val="clear" w:color="auto" w:fill="B1C9E8"/>
          </w:tcPr>
          <w:p w14:paraId="1FE32765" w14:textId="4D67D266"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13.8</w:t>
            </w:r>
          </w:p>
        </w:tc>
      </w:tr>
      <w:tr w:rsidR="00847E82" w:rsidRPr="008D13A2" w14:paraId="2AC9C844" w14:textId="77777777" w:rsidTr="005D70E5">
        <w:trPr>
          <w:trHeight w:val="284"/>
        </w:trPr>
        <w:tc>
          <w:tcPr>
            <w:tcW w:w="1570" w:type="dxa"/>
            <w:shd w:val="clear" w:color="auto" w:fill="244C5A"/>
          </w:tcPr>
          <w:p w14:paraId="6E2F483C" w14:textId="3C2C7CED"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410" w:type="dxa"/>
            <w:shd w:val="clear" w:color="auto" w:fill="244C5A"/>
          </w:tcPr>
          <w:p w14:paraId="26F3264D" w14:textId="4074F71D"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2833" w:type="dxa"/>
            <w:shd w:val="clear" w:color="auto" w:fill="244C5A"/>
          </w:tcPr>
          <w:p w14:paraId="59111F3A" w14:textId="3E6FDC9B" w:rsidR="00847E82" w:rsidRPr="008D13A2" w:rsidRDefault="00847E82" w:rsidP="00847E82">
            <w:pPr>
              <w:rPr>
                <w:rFonts w:ascii="VIC" w:hAnsi="VIC"/>
                <w:color w:val="FFFFFF" w:themeColor="background1"/>
                <w:sz w:val="18"/>
                <w:szCs w:val="18"/>
              </w:rPr>
            </w:pPr>
            <w:r w:rsidRPr="00427725">
              <w:rPr>
                <w:rFonts w:ascii="VIC" w:eastAsia="Verdana" w:hAnsi="VIC"/>
                <w:color w:val="FFFFFF"/>
                <w:sz w:val="18"/>
                <w:szCs w:val="18"/>
              </w:rPr>
              <w:t xml:space="preserve"> </w:t>
            </w:r>
          </w:p>
        </w:tc>
        <w:tc>
          <w:tcPr>
            <w:tcW w:w="1090" w:type="dxa"/>
            <w:shd w:val="clear" w:color="auto" w:fill="244C5A"/>
          </w:tcPr>
          <w:p w14:paraId="00E7EA50" w14:textId="646EFCEC"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80 %</w:t>
            </w:r>
          </w:p>
        </w:tc>
        <w:tc>
          <w:tcPr>
            <w:tcW w:w="1090" w:type="dxa"/>
            <w:shd w:val="clear" w:color="auto" w:fill="244C5A"/>
          </w:tcPr>
          <w:p w14:paraId="5C14A44D" w14:textId="10E9E90A"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19.8</w:t>
            </w:r>
          </w:p>
        </w:tc>
        <w:tc>
          <w:tcPr>
            <w:tcW w:w="1090" w:type="dxa"/>
            <w:shd w:val="clear" w:color="auto" w:fill="244C5A"/>
          </w:tcPr>
          <w:p w14:paraId="1EF00261" w14:textId="789DEF68"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4 %</w:t>
            </w:r>
          </w:p>
        </w:tc>
        <w:tc>
          <w:tcPr>
            <w:tcW w:w="1090" w:type="dxa"/>
            <w:shd w:val="clear" w:color="auto" w:fill="244C5A"/>
          </w:tcPr>
          <w:p w14:paraId="78981176" w14:textId="5DF6739F"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23.9</w:t>
            </w:r>
          </w:p>
        </w:tc>
        <w:tc>
          <w:tcPr>
            <w:tcW w:w="1090" w:type="dxa"/>
            <w:shd w:val="clear" w:color="auto" w:fill="244C5A"/>
          </w:tcPr>
          <w:p w14:paraId="7CE2CDFB" w14:textId="52BE8AEE"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10 %</w:t>
            </w:r>
          </w:p>
        </w:tc>
        <w:tc>
          <w:tcPr>
            <w:tcW w:w="1090" w:type="dxa"/>
            <w:shd w:val="clear" w:color="auto" w:fill="244C5A"/>
          </w:tcPr>
          <w:p w14:paraId="2405089A" w14:textId="72E4A313"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10 %</w:t>
            </w:r>
          </w:p>
        </w:tc>
        <w:tc>
          <w:tcPr>
            <w:tcW w:w="1090" w:type="dxa"/>
            <w:shd w:val="clear" w:color="auto" w:fill="244C5A"/>
          </w:tcPr>
          <w:p w14:paraId="7027BD81" w14:textId="48510F35"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89 %</w:t>
            </w:r>
          </w:p>
        </w:tc>
        <w:tc>
          <w:tcPr>
            <w:tcW w:w="1091" w:type="dxa"/>
            <w:shd w:val="clear" w:color="auto" w:fill="244C5A"/>
          </w:tcPr>
          <w:p w14:paraId="3F9DFB98" w14:textId="68C12F1B" w:rsidR="00847E82" w:rsidRPr="008D13A2"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13.8</w:t>
            </w:r>
          </w:p>
        </w:tc>
      </w:tr>
    </w:tbl>
    <w:p w14:paraId="5879B366" w14:textId="1A14AE93" w:rsidR="00D31B5F" w:rsidRDefault="00D31B5F">
      <w:pPr>
        <w:widowControl/>
        <w:rPr>
          <w:rFonts w:ascii="VIC Medium" w:eastAsia="MS Gothic" w:hAnsi="VIC Medium" w:cs="Arial"/>
          <w:bCs/>
          <w:color w:val="2E5E6D"/>
          <w:kern w:val="32"/>
          <w:lang w:val="en-AU"/>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31B5F" w:rsidRPr="00A6366B" w14:paraId="068437D0" w14:textId="77777777" w:rsidTr="003330EE">
        <w:trPr>
          <w:trHeight w:val="1062"/>
          <w:tblHeader/>
        </w:trPr>
        <w:tc>
          <w:tcPr>
            <w:tcW w:w="6813" w:type="dxa"/>
            <w:gridSpan w:val="3"/>
            <w:shd w:val="clear" w:color="auto" w:fill="FFFFFF"/>
            <w:vAlign w:val="bottom"/>
          </w:tcPr>
          <w:p w14:paraId="4FE4234D" w14:textId="24D899CA" w:rsidR="00D31B5F" w:rsidRPr="00EC71A3" w:rsidRDefault="00D31B5F" w:rsidP="003330EE">
            <w:pPr>
              <w:pStyle w:val="Heading1"/>
              <w:spacing w:before="0" w:line="240" w:lineRule="auto"/>
              <w:rPr>
                <w:rFonts w:eastAsia="Verdana"/>
                <w:bCs w:val="0"/>
                <w:color w:val="244C5A"/>
                <w:sz w:val="22"/>
              </w:rPr>
            </w:pPr>
            <w:bookmarkStart w:id="13" w:name="_Toc37867225"/>
            <w:r>
              <w:rPr>
                <w:bCs w:val="0"/>
                <w:color w:val="244C5A"/>
                <w:sz w:val="22"/>
              </w:rPr>
              <w:t>Rural PARC</w:t>
            </w:r>
            <w:r w:rsidRPr="00EC71A3">
              <w:rPr>
                <w:bCs w:val="0"/>
                <w:color w:val="244C5A"/>
                <w:sz w:val="22"/>
              </w:rPr>
              <w:br w:type="textWrapping" w:clear="all"/>
            </w:r>
            <w:r w:rsidR="005406C4">
              <w:rPr>
                <w:bCs w:val="0"/>
                <w:color w:val="244C5A"/>
                <w:sz w:val="22"/>
              </w:rPr>
              <w:t>2019–20 Q1–Q</w:t>
            </w:r>
            <w:r w:rsidR="0056356A">
              <w:rPr>
                <w:bCs w:val="0"/>
                <w:color w:val="244C5A"/>
                <w:sz w:val="22"/>
              </w:rPr>
              <w:t>3</w:t>
            </w:r>
            <w:bookmarkEnd w:id="13"/>
          </w:p>
        </w:tc>
        <w:tc>
          <w:tcPr>
            <w:tcW w:w="1090" w:type="dxa"/>
            <w:shd w:val="clear" w:color="auto" w:fill="FFFFFF"/>
            <w:vAlign w:val="bottom"/>
          </w:tcPr>
          <w:p w14:paraId="7E2B133E" w14:textId="77777777" w:rsidR="00D31B5F" w:rsidRPr="00C714A8" w:rsidRDefault="00D31B5F" w:rsidP="003330EE">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558E1C4C" w14:textId="77777777" w:rsidR="00D31B5F" w:rsidRPr="00C714A8" w:rsidRDefault="00D31B5F" w:rsidP="003330EE">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7E0634E" w14:textId="77777777" w:rsidR="00D31B5F" w:rsidRPr="00C714A8" w:rsidRDefault="00D31B5F" w:rsidP="003330EE">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064E7D0F" w14:textId="50A81867" w:rsidR="00D31B5F" w:rsidRPr="00C714A8" w:rsidRDefault="00D31B5F" w:rsidP="003330EE">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0C205423" w14:textId="77777777" w:rsidR="00D31B5F" w:rsidRPr="00C714A8" w:rsidRDefault="00D31B5F" w:rsidP="003330EE">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F487238" w14:textId="5BBD04B4" w:rsidR="00D31B5F" w:rsidRPr="00C714A8" w:rsidRDefault="00D31B5F" w:rsidP="003330EE">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2952AE54" w14:textId="77777777" w:rsidR="00D31B5F" w:rsidRPr="00C714A8" w:rsidRDefault="00D31B5F" w:rsidP="003330EE">
            <w:pPr>
              <w:pStyle w:val="VAHItablecolhead"/>
              <w:rPr>
                <w:sz w:val="16"/>
              </w:rPr>
            </w:pPr>
            <w:r w:rsidRPr="00C714A8">
              <w:rPr>
                <w:sz w:val="16"/>
              </w:rPr>
              <w:t>HoNOS compliance</w:t>
            </w:r>
          </w:p>
        </w:tc>
        <w:tc>
          <w:tcPr>
            <w:tcW w:w="1091" w:type="dxa"/>
            <w:shd w:val="clear" w:color="auto" w:fill="FFFFFF"/>
            <w:vAlign w:val="bottom"/>
          </w:tcPr>
          <w:p w14:paraId="63F69A24" w14:textId="77777777" w:rsidR="00D31B5F" w:rsidRPr="00C714A8" w:rsidRDefault="00D31B5F" w:rsidP="003330EE">
            <w:pPr>
              <w:pStyle w:val="VAHItablecolhead"/>
              <w:rPr>
                <w:rFonts w:eastAsia="Verdana"/>
                <w:color w:val="244C5A"/>
                <w:sz w:val="16"/>
              </w:rPr>
            </w:pPr>
            <w:r w:rsidRPr="00C714A8">
              <w:rPr>
                <w:sz w:val="16"/>
              </w:rPr>
              <w:t>Average HoNOS at episode start</w:t>
            </w:r>
          </w:p>
        </w:tc>
      </w:tr>
      <w:tr w:rsidR="00847E82" w:rsidRPr="00A6366B" w14:paraId="5B4134B3" w14:textId="77777777" w:rsidTr="003330EE">
        <w:trPr>
          <w:trHeight w:val="284"/>
        </w:trPr>
        <w:tc>
          <w:tcPr>
            <w:tcW w:w="1570" w:type="dxa"/>
            <w:shd w:val="clear" w:color="auto" w:fill="BFCED6"/>
          </w:tcPr>
          <w:p w14:paraId="195DED26" w14:textId="76730BCF" w:rsidR="00847E82" w:rsidRPr="00C15426"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 Health</w:t>
            </w:r>
          </w:p>
        </w:tc>
        <w:tc>
          <w:tcPr>
            <w:tcW w:w="2410" w:type="dxa"/>
            <w:shd w:val="clear" w:color="auto" w:fill="BFCED6"/>
          </w:tcPr>
          <w:p w14:paraId="435F8254" w14:textId="2437189A" w:rsidR="00847E82" w:rsidRPr="00C15426"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Barwon</w:t>
            </w:r>
          </w:p>
        </w:tc>
        <w:tc>
          <w:tcPr>
            <w:tcW w:w="2833" w:type="dxa"/>
            <w:shd w:val="clear" w:color="auto" w:fill="BFCED6"/>
          </w:tcPr>
          <w:p w14:paraId="42179AD8" w14:textId="4E185BF2" w:rsidR="00847E82" w:rsidRPr="00C15426" w:rsidRDefault="00847E82" w:rsidP="00847E82">
            <w:pPr>
              <w:rPr>
                <w:rFonts w:ascii="VIC" w:hAnsi="VIC"/>
                <w:sz w:val="18"/>
                <w:szCs w:val="18"/>
              </w:rPr>
            </w:pPr>
            <w:r w:rsidRPr="00427725">
              <w:rPr>
                <w:rFonts w:ascii="VIC" w:eastAsia="Verdana" w:hAnsi="VIC"/>
                <w:color w:val="000000"/>
                <w:sz w:val="18"/>
                <w:szCs w:val="18"/>
              </w:rPr>
              <w:t>Barwon PARC</w:t>
            </w:r>
          </w:p>
        </w:tc>
        <w:tc>
          <w:tcPr>
            <w:tcW w:w="1090" w:type="dxa"/>
            <w:shd w:val="clear" w:color="auto" w:fill="BFCED6"/>
          </w:tcPr>
          <w:p w14:paraId="1E9C3181" w14:textId="178C24F7" w:rsidR="00847E82" w:rsidRPr="00C15426" w:rsidRDefault="00847E82" w:rsidP="00847E82">
            <w:pPr>
              <w:jc w:val="center"/>
              <w:rPr>
                <w:rFonts w:ascii="VIC" w:hAnsi="VIC"/>
                <w:sz w:val="18"/>
                <w:szCs w:val="18"/>
              </w:rPr>
            </w:pPr>
            <w:r w:rsidRPr="00427725">
              <w:rPr>
                <w:rFonts w:ascii="VIC" w:eastAsia="Verdana" w:hAnsi="VIC"/>
                <w:color w:val="000000"/>
                <w:sz w:val="18"/>
                <w:szCs w:val="18"/>
              </w:rPr>
              <w:t>78 %</w:t>
            </w:r>
          </w:p>
        </w:tc>
        <w:tc>
          <w:tcPr>
            <w:tcW w:w="1090" w:type="dxa"/>
            <w:shd w:val="clear" w:color="auto" w:fill="BFCED6"/>
          </w:tcPr>
          <w:p w14:paraId="6923DDF4" w14:textId="7672C73B" w:rsidR="00847E82" w:rsidRPr="00C15426" w:rsidRDefault="00847E82" w:rsidP="00847E82">
            <w:pPr>
              <w:jc w:val="center"/>
              <w:rPr>
                <w:rFonts w:ascii="VIC" w:hAnsi="VIC"/>
                <w:sz w:val="18"/>
                <w:szCs w:val="18"/>
              </w:rPr>
            </w:pPr>
            <w:r w:rsidRPr="00427725">
              <w:rPr>
                <w:rFonts w:ascii="VIC" w:eastAsia="Verdana" w:hAnsi="VIC"/>
                <w:color w:val="000000"/>
                <w:sz w:val="18"/>
                <w:szCs w:val="18"/>
              </w:rPr>
              <w:t>14.8</w:t>
            </w:r>
          </w:p>
        </w:tc>
        <w:tc>
          <w:tcPr>
            <w:tcW w:w="1090" w:type="dxa"/>
            <w:shd w:val="clear" w:color="auto" w:fill="BFCED6"/>
          </w:tcPr>
          <w:p w14:paraId="2006CD68" w14:textId="2C5228C8" w:rsidR="00847E82" w:rsidRPr="00C15426"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BFCED6"/>
          </w:tcPr>
          <w:p w14:paraId="4002DA9C" w14:textId="66F34E5B" w:rsidR="00847E82" w:rsidRPr="00C15426" w:rsidRDefault="00847E82" w:rsidP="00847E82">
            <w:pPr>
              <w:jc w:val="center"/>
              <w:rPr>
                <w:rFonts w:ascii="VIC" w:hAnsi="VIC"/>
                <w:sz w:val="18"/>
                <w:szCs w:val="18"/>
              </w:rPr>
            </w:pPr>
            <w:r w:rsidRPr="00427725">
              <w:rPr>
                <w:rFonts w:ascii="VIC" w:eastAsia="Verdana" w:hAnsi="VIC"/>
                <w:color w:val="000000"/>
                <w:sz w:val="18"/>
                <w:szCs w:val="18"/>
              </w:rPr>
              <w:t>17.0</w:t>
            </w:r>
          </w:p>
        </w:tc>
        <w:tc>
          <w:tcPr>
            <w:tcW w:w="1090" w:type="dxa"/>
            <w:shd w:val="clear" w:color="auto" w:fill="BFCED6"/>
          </w:tcPr>
          <w:p w14:paraId="4889659E" w14:textId="1F11E0C3" w:rsidR="00847E82" w:rsidRPr="00C15426"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5A0C3B29" w14:textId="0BE85B4E" w:rsidR="00847E82" w:rsidRPr="00C15426"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224668CA" w14:textId="6C03773B" w:rsidR="00847E82" w:rsidRPr="00C15426" w:rsidRDefault="00847E82" w:rsidP="00847E82">
            <w:pPr>
              <w:jc w:val="center"/>
              <w:rPr>
                <w:rFonts w:ascii="VIC" w:hAnsi="VIC"/>
                <w:sz w:val="18"/>
                <w:szCs w:val="18"/>
              </w:rPr>
            </w:pPr>
            <w:r w:rsidRPr="00427725">
              <w:rPr>
                <w:rFonts w:ascii="VIC" w:eastAsia="Verdana" w:hAnsi="VIC"/>
                <w:color w:val="000000"/>
                <w:sz w:val="18"/>
                <w:szCs w:val="18"/>
              </w:rPr>
              <w:t>95 %</w:t>
            </w:r>
          </w:p>
        </w:tc>
        <w:tc>
          <w:tcPr>
            <w:tcW w:w="1091" w:type="dxa"/>
            <w:shd w:val="clear" w:color="auto" w:fill="BFCED6"/>
          </w:tcPr>
          <w:p w14:paraId="022EDF82" w14:textId="5C01FF9A" w:rsidR="00847E82" w:rsidRPr="00C15426" w:rsidRDefault="00847E82" w:rsidP="00847E82">
            <w:pPr>
              <w:jc w:val="center"/>
              <w:rPr>
                <w:rFonts w:ascii="VIC" w:hAnsi="VIC"/>
                <w:sz w:val="18"/>
                <w:szCs w:val="18"/>
              </w:rPr>
            </w:pPr>
            <w:r w:rsidRPr="00427725">
              <w:rPr>
                <w:rFonts w:ascii="VIC" w:eastAsia="Verdana" w:hAnsi="VIC"/>
                <w:color w:val="000000"/>
                <w:sz w:val="18"/>
                <w:szCs w:val="18"/>
              </w:rPr>
              <w:t>14.4</w:t>
            </w:r>
          </w:p>
        </w:tc>
      </w:tr>
      <w:tr w:rsidR="00847E82" w:rsidRPr="00A6366B" w14:paraId="45155DCB" w14:textId="77777777" w:rsidTr="003330EE">
        <w:trPr>
          <w:trHeight w:val="284"/>
        </w:trPr>
        <w:tc>
          <w:tcPr>
            <w:tcW w:w="1570" w:type="dxa"/>
            <w:vMerge w:val="restart"/>
            <w:shd w:val="clear" w:color="auto" w:fill="BFCED6"/>
          </w:tcPr>
          <w:p w14:paraId="6F8F92E4" w14:textId="47FA557F" w:rsidR="00847E82" w:rsidRPr="00C15426" w:rsidRDefault="00847E82" w:rsidP="00847E82">
            <w:pPr>
              <w:rPr>
                <w:rFonts w:ascii="VIC" w:hAnsi="VIC"/>
                <w:sz w:val="18"/>
                <w:szCs w:val="18"/>
              </w:rPr>
            </w:pPr>
            <w:r w:rsidRPr="00427725">
              <w:rPr>
                <w:rFonts w:ascii="VIC" w:eastAsia="Verdana" w:hAnsi="VIC"/>
                <w:color w:val="000000"/>
                <w:sz w:val="18"/>
                <w:szCs w:val="18"/>
              </w:rPr>
              <w:t>Bendigo Health</w:t>
            </w:r>
          </w:p>
        </w:tc>
        <w:tc>
          <w:tcPr>
            <w:tcW w:w="2410" w:type="dxa"/>
            <w:shd w:val="clear" w:color="auto" w:fill="BFCED6"/>
          </w:tcPr>
          <w:p w14:paraId="720319D4" w14:textId="711BBB3F" w:rsidR="00847E82" w:rsidRPr="00C15426" w:rsidRDefault="00847E82" w:rsidP="00847E82">
            <w:pPr>
              <w:pStyle w:val="DHHStabletext"/>
              <w:spacing w:before="0" w:after="0"/>
              <w:rPr>
                <w:rFonts w:ascii="VIC" w:eastAsia="Verdana" w:hAnsi="VIC" w:cs="Verdana"/>
                <w:sz w:val="18"/>
                <w:szCs w:val="18"/>
              </w:rPr>
            </w:pPr>
            <w:r w:rsidRPr="00427725">
              <w:rPr>
                <w:rFonts w:ascii="VIC" w:eastAsia="Verdana" w:hAnsi="VIC"/>
                <w:color w:val="000000"/>
                <w:sz w:val="18"/>
                <w:szCs w:val="18"/>
              </w:rPr>
              <w:t>Loddon/Southern Mallee</w:t>
            </w:r>
          </w:p>
        </w:tc>
        <w:tc>
          <w:tcPr>
            <w:tcW w:w="2833" w:type="dxa"/>
            <w:shd w:val="clear" w:color="auto" w:fill="BFCED6"/>
          </w:tcPr>
          <w:p w14:paraId="7C02D485" w14:textId="13A9E5EA" w:rsidR="00847E82" w:rsidRPr="00C15426" w:rsidRDefault="00847E82" w:rsidP="00847E82">
            <w:pPr>
              <w:rPr>
                <w:rFonts w:ascii="VIC" w:hAnsi="VIC"/>
                <w:sz w:val="18"/>
                <w:szCs w:val="18"/>
              </w:rPr>
            </w:pPr>
            <w:r w:rsidRPr="00427725">
              <w:rPr>
                <w:rFonts w:ascii="VIC" w:eastAsia="Verdana" w:hAnsi="VIC"/>
                <w:color w:val="000000"/>
                <w:sz w:val="18"/>
                <w:szCs w:val="18"/>
              </w:rPr>
              <w:t>Bendigo PARC</w:t>
            </w:r>
          </w:p>
        </w:tc>
        <w:tc>
          <w:tcPr>
            <w:tcW w:w="1090" w:type="dxa"/>
            <w:shd w:val="clear" w:color="auto" w:fill="BFCED6"/>
          </w:tcPr>
          <w:p w14:paraId="139FF1EC" w14:textId="77E60F55" w:rsidR="00847E82" w:rsidRPr="00C15426" w:rsidRDefault="00847E82" w:rsidP="00847E82">
            <w:pPr>
              <w:jc w:val="center"/>
              <w:rPr>
                <w:rFonts w:ascii="VIC" w:hAnsi="VIC"/>
                <w:sz w:val="18"/>
                <w:szCs w:val="18"/>
              </w:rPr>
            </w:pPr>
            <w:r w:rsidRPr="00427725">
              <w:rPr>
                <w:rFonts w:ascii="VIC" w:eastAsia="Verdana" w:hAnsi="VIC"/>
                <w:color w:val="000000"/>
                <w:sz w:val="18"/>
                <w:szCs w:val="18"/>
              </w:rPr>
              <w:t>78 %</w:t>
            </w:r>
          </w:p>
        </w:tc>
        <w:tc>
          <w:tcPr>
            <w:tcW w:w="1090" w:type="dxa"/>
            <w:shd w:val="clear" w:color="auto" w:fill="BFCED6"/>
          </w:tcPr>
          <w:p w14:paraId="7A10AB18" w14:textId="4FE71B1A" w:rsidR="00847E82" w:rsidRPr="00C15426" w:rsidRDefault="00847E82" w:rsidP="00847E82">
            <w:pPr>
              <w:jc w:val="center"/>
              <w:rPr>
                <w:rFonts w:ascii="VIC" w:hAnsi="VIC"/>
                <w:sz w:val="18"/>
                <w:szCs w:val="18"/>
              </w:rPr>
            </w:pPr>
            <w:r w:rsidRPr="00427725">
              <w:rPr>
                <w:rFonts w:ascii="VIC" w:eastAsia="Verdana" w:hAnsi="VIC"/>
                <w:color w:val="000000"/>
                <w:sz w:val="18"/>
                <w:szCs w:val="18"/>
              </w:rPr>
              <w:t>13.9</w:t>
            </w:r>
          </w:p>
        </w:tc>
        <w:tc>
          <w:tcPr>
            <w:tcW w:w="1090" w:type="dxa"/>
            <w:shd w:val="clear" w:color="auto" w:fill="BFCED6"/>
          </w:tcPr>
          <w:p w14:paraId="6C80B90B" w14:textId="70078B96"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2147C89E" w14:textId="6C82DCD8" w:rsidR="00847E82" w:rsidRPr="00C15426" w:rsidRDefault="00847E82" w:rsidP="00847E82">
            <w:pPr>
              <w:jc w:val="center"/>
              <w:rPr>
                <w:rFonts w:ascii="VIC" w:hAnsi="VIC"/>
                <w:sz w:val="18"/>
                <w:szCs w:val="18"/>
              </w:rPr>
            </w:pPr>
            <w:r w:rsidRPr="00427725">
              <w:rPr>
                <w:rFonts w:ascii="VIC" w:eastAsia="Verdana" w:hAnsi="VIC"/>
                <w:color w:val="000000"/>
                <w:sz w:val="18"/>
                <w:szCs w:val="18"/>
              </w:rPr>
              <w:t>15.1</w:t>
            </w:r>
          </w:p>
        </w:tc>
        <w:tc>
          <w:tcPr>
            <w:tcW w:w="1090" w:type="dxa"/>
            <w:shd w:val="clear" w:color="auto" w:fill="BFCED6"/>
          </w:tcPr>
          <w:p w14:paraId="59E82558" w14:textId="735F4546" w:rsidR="00847E82" w:rsidRPr="00C15426" w:rsidRDefault="00847E82" w:rsidP="00847E82">
            <w:pPr>
              <w:jc w:val="center"/>
              <w:rPr>
                <w:rFonts w:ascii="VIC" w:hAnsi="VIC"/>
                <w:sz w:val="18"/>
                <w:szCs w:val="18"/>
              </w:rPr>
            </w:pPr>
            <w:r w:rsidRPr="00427725">
              <w:rPr>
                <w:rFonts w:ascii="VIC" w:eastAsia="Verdana" w:hAnsi="VIC"/>
                <w:color w:val="000000"/>
                <w:sz w:val="18"/>
                <w:szCs w:val="18"/>
              </w:rPr>
              <w:t>15 %</w:t>
            </w:r>
          </w:p>
        </w:tc>
        <w:tc>
          <w:tcPr>
            <w:tcW w:w="1090" w:type="dxa"/>
            <w:shd w:val="clear" w:color="auto" w:fill="BFCED6"/>
          </w:tcPr>
          <w:p w14:paraId="39ED99E7" w14:textId="28F1838B" w:rsidR="00847E82" w:rsidRPr="00C15426" w:rsidRDefault="00847E82" w:rsidP="00847E82">
            <w:pPr>
              <w:jc w:val="center"/>
              <w:rPr>
                <w:rFonts w:ascii="VIC" w:hAnsi="VIC"/>
                <w:sz w:val="18"/>
                <w:szCs w:val="18"/>
              </w:rPr>
            </w:pPr>
            <w:r w:rsidRPr="00427725">
              <w:rPr>
                <w:rFonts w:ascii="VIC" w:eastAsia="Verdana" w:hAnsi="VIC"/>
                <w:color w:val="000000"/>
                <w:sz w:val="18"/>
                <w:szCs w:val="18"/>
              </w:rPr>
              <w:t>4 %</w:t>
            </w:r>
          </w:p>
        </w:tc>
        <w:tc>
          <w:tcPr>
            <w:tcW w:w="1090" w:type="dxa"/>
            <w:shd w:val="clear" w:color="auto" w:fill="BFCED6"/>
          </w:tcPr>
          <w:p w14:paraId="6B361333" w14:textId="545041BD" w:rsidR="00847E82" w:rsidRPr="00C15426" w:rsidRDefault="00847E82" w:rsidP="00847E82">
            <w:pPr>
              <w:jc w:val="center"/>
              <w:rPr>
                <w:rFonts w:ascii="VIC" w:hAnsi="VIC"/>
                <w:sz w:val="18"/>
                <w:szCs w:val="18"/>
              </w:rPr>
            </w:pPr>
            <w:r w:rsidRPr="00427725">
              <w:rPr>
                <w:rFonts w:ascii="VIC" w:eastAsia="Verdana" w:hAnsi="VIC"/>
                <w:color w:val="000000"/>
                <w:sz w:val="18"/>
                <w:szCs w:val="18"/>
              </w:rPr>
              <w:t>80 %</w:t>
            </w:r>
          </w:p>
        </w:tc>
        <w:tc>
          <w:tcPr>
            <w:tcW w:w="1091" w:type="dxa"/>
            <w:shd w:val="clear" w:color="auto" w:fill="BFCED6"/>
          </w:tcPr>
          <w:p w14:paraId="148B7508" w14:textId="25F6CC20" w:rsidR="00847E82" w:rsidRPr="00C15426" w:rsidRDefault="00847E82" w:rsidP="00847E82">
            <w:pPr>
              <w:jc w:val="center"/>
              <w:rPr>
                <w:rFonts w:ascii="VIC" w:hAnsi="VIC"/>
                <w:sz w:val="18"/>
                <w:szCs w:val="18"/>
              </w:rPr>
            </w:pPr>
            <w:r w:rsidRPr="00427725">
              <w:rPr>
                <w:rFonts w:ascii="VIC" w:eastAsia="Verdana" w:hAnsi="VIC"/>
                <w:color w:val="000000"/>
                <w:sz w:val="18"/>
                <w:szCs w:val="18"/>
              </w:rPr>
              <w:t>15.1</w:t>
            </w:r>
          </w:p>
        </w:tc>
      </w:tr>
      <w:tr w:rsidR="00847E82" w:rsidRPr="00A6366B" w14:paraId="416D2B7C" w14:textId="77777777" w:rsidTr="004A2160">
        <w:trPr>
          <w:trHeight w:val="284"/>
        </w:trPr>
        <w:tc>
          <w:tcPr>
            <w:tcW w:w="1570" w:type="dxa"/>
            <w:vMerge/>
            <w:shd w:val="clear" w:color="auto" w:fill="BFCED6"/>
          </w:tcPr>
          <w:p w14:paraId="5FBBFCD3" w14:textId="77777777" w:rsidR="00847E82" w:rsidRPr="00C15426" w:rsidRDefault="00847E82" w:rsidP="00847E82">
            <w:pPr>
              <w:pStyle w:val="DHHStabletext"/>
              <w:spacing w:before="0" w:after="0"/>
              <w:rPr>
                <w:rFonts w:ascii="VIC" w:hAnsi="VIC"/>
                <w:sz w:val="18"/>
                <w:szCs w:val="18"/>
              </w:rPr>
            </w:pPr>
          </w:p>
        </w:tc>
        <w:tc>
          <w:tcPr>
            <w:tcW w:w="2410" w:type="dxa"/>
            <w:shd w:val="clear" w:color="auto" w:fill="BFCED6"/>
          </w:tcPr>
          <w:p w14:paraId="49DF20D0" w14:textId="77777777" w:rsidR="00847E82" w:rsidRPr="00C15426" w:rsidRDefault="00847E82" w:rsidP="00847E82">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FFAB690" w14:textId="417CBC8C" w:rsidR="00847E82" w:rsidRPr="00C15426" w:rsidRDefault="00847E82" w:rsidP="00847E82">
            <w:pPr>
              <w:rPr>
                <w:rFonts w:ascii="VIC" w:hAnsi="VIC"/>
                <w:sz w:val="18"/>
                <w:szCs w:val="18"/>
              </w:rPr>
            </w:pPr>
            <w:r w:rsidRPr="00427725">
              <w:rPr>
                <w:rFonts w:ascii="VIC" w:eastAsia="Verdana" w:hAnsi="VIC"/>
                <w:color w:val="000000"/>
                <w:sz w:val="18"/>
                <w:szCs w:val="18"/>
              </w:rPr>
              <w:t>Bendigo Youth PARC*</w:t>
            </w:r>
          </w:p>
        </w:tc>
        <w:tc>
          <w:tcPr>
            <w:tcW w:w="1090" w:type="dxa"/>
            <w:shd w:val="clear" w:color="auto" w:fill="BFCED6"/>
          </w:tcPr>
          <w:p w14:paraId="203A747A" w14:textId="695A2232" w:rsidR="00847E82" w:rsidRPr="00C15426" w:rsidRDefault="00847E82" w:rsidP="00847E82">
            <w:pPr>
              <w:jc w:val="center"/>
              <w:rPr>
                <w:rFonts w:ascii="VIC" w:hAnsi="VIC"/>
                <w:sz w:val="18"/>
                <w:szCs w:val="18"/>
              </w:rPr>
            </w:pPr>
            <w:r w:rsidRPr="00427725">
              <w:rPr>
                <w:rFonts w:ascii="VIC" w:eastAsia="Verdana" w:hAnsi="VIC"/>
                <w:color w:val="000000"/>
                <w:sz w:val="18"/>
                <w:szCs w:val="18"/>
              </w:rPr>
              <w:t>84 %</w:t>
            </w:r>
          </w:p>
        </w:tc>
        <w:tc>
          <w:tcPr>
            <w:tcW w:w="1090" w:type="dxa"/>
            <w:shd w:val="clear" w:color="auto" w:fill="BFCED6"/>
          </w:tcPr>
          <w:p w14:paraId="7D932EB4" w14:textId="41DEC21D" w:rsidR="00847E82" w:rsidRPr="00C15426" w:rsidRDefault="00847E82" w:rsidP="00847E82">
            <w:pPr>
              <w:jc w:val="center"/>
              <w:rPr>
                <w:rFonts w:ascii="VIC" w:hAnsi="VIC"/>
                <w:sz w:val="18"/>
                <w:szCs w:val="18"/>
              </w:rPr>
            </w:pPr>
            <w:r w:rsidRPr="00427725">
              <w:rPr>
                <w:rFonts w:ascii="VIC" w:eastAsia="Verdana" w:hAnsi="VIC"/>
                <w:color w:val="000000"/>
                <w:sz w:val="18"/>
                <w:szCs w:val="18"/>
              </w:rPr>
              <w:t>15.7</w:t>
            </w:r>
          </w:p>
        </w:tc>
        <w:tc>
          <w:tcPr>
            <w:tcW w:w="1090" w:type="dxa"/>
            <w:shd w:val="clear" w:color="auto" w:fill="BFCED6"/>
          </w:tcPr>
          <w:p w14:paraId="1273AD0C" w14:textId="19C9A63C"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7AC2705C" w14:textId="67FAFB26" w:rsidR="00847E82" w:rsidRPr="00C15426" w:rsidRDefault="00847E82" w:rsidP="00847E82">
            <w:pPr>
              <w:jc w:val="center"/>
              <w:rPr>
                <w:rFonts w:ascii="VIC" w:hAnsi="VIC"/>
                <w:sz w:val="18"/>
                <w:szCs w:val="18"/>
              </w:rPr>
            </w:pPr>
            <w:r w:rsidRPr="00427725">
              <w:rPr>
                <w:rFonts w:ascii="VIC" w:eastAsia="Verdana" w:hAnsi="VIC"/>
                <w:color w:val="000000"/>
                <w:sz w:val="18"/>
                <w:szCs w:val="18"/>
              </w:rPr>
              <w:t>21.1</w:t>
            </w:r>
          </w:p>
        </w:tc>
        <w:tc>
          <w:tcPr>
            <w:tcW w:w="1090" w:type="dxa"/>
            <w:shd w:val="clear" w:color="auto" w:fill="BFCED6"/>
          </w:tcPr>
          <w:p w14:paraId="105D72CF" w14:textId="2281D937" w:rsidR="00847E82" w:rsidRPr="00C15426" w:rsidRDefault="00847E82" w:rsidP="00847E82">
            <w:pPr>
              <w:jc w:val="center"/>
              <w:rPr>
                <w:rFonts w:ascii="VIC" w:hAnsi="VIC"/>
                <w:sz w:val="18"/>
                <w:szCs w:val="18"/>
              </w:rPr>
            </w:pPr>
            <w:r w:rsidRPr="00427725">
              <w:rPr>
                <w:rFonts w:ascii="VIC" w:eastAsia="Verdana" w:hAnsi="VIC"/>
                <w:color w:val="000000"/>
                <w:sz w:val="18"/>
                <w:szCs w:val="18"/>
              </w:rPr>
              <w:t>12 %</w:t>
            </w:r>
          </w:p>
        </w:tc>
        <w:tc>
          <w:tcPr>
            <w:tcW w:w="1090" w:type="dxa"/>
            <w:shd w:val="clear" w:color="auto" w:fill="BFCED6"/>
          </w:tcPr>
          <w:p w14:paraId="6C0A2C90" w14:textId="6A76E8D9" w:rsidR="00847E82" w:rsidRPr="00C15426" w:rsidRDefault="00847E82" w:rsidP="00847E82">
            <w:pPr>
              <w:jc w:val="center"/>
              <w:rPr>
                <w:rFonts w:ascii="VIC" w:hAnsi="VIC"/>
                <w:sz w:val="18"/>
                <w:szCs w:val="18"/>
              </w:rPr>
            </w:pPr>
            <w:r w:rsidRPr="00427725">
              <w:rPr>
                <w:rFonts w:ascii="VIC" w:eastAsia="Verdana" w:hAnsi="VIC"/>
                <w:color w:val="000000"/>
                <w:sz w:val="18"/>
                <w:szCs w:val="18"/>
              </w:rPr>
              <w:t>2 %</w:t>
            </w:r>
          </w:p>
        </w:tc>
        <w:tc>
          <w:tcPr>
            <w:tcW w:w="1090" w:type="dxa"/>
            <w:shd w:val="clear" w:color="auto" w:fill="BFCED6"/>
          </w:tcPr>
          <w:p w14:paraId="5D5C8772" w14:textId="6ECFACD0" w:rsidR="00847E82" w:rsidRPr="00C15426" w:rsidRDefault="00847E82" w:rsidP="00847E82">
            <w:pPr>
              <w:jc w:val="center"/>
              <w:rPr>
                <w:rFonts w:ascii="VIC" w:hAnsi="VIC"/>
                <w:sz w:val="18"/>
                <w:szCs w:val="18"/>
              </w:rPr>
            </w:pPr>
            <w:r w:rsidRPr="00427725">
              <w:rPr>
                <w:rFonts w:ascii="VIC" w:eastAsia="Verdana" w:hAnsi="VIC"/>
                <w:color w:val="000000"/>
                <w:sz w:val="18"/>
                <w:szCs w:val="18"/>
              </w:rPr>
              <w:t>93 %</w:t>
            </w:r>
          </w:p>
        </w:tc>
        <w:tc>
          <w:tcPr>
            <w:tcW w:w="1091" w:type="dxa"/>
            <w:shd w:val="clear" w:color="auto" w:fill="BFCED6"/>
          </w:tcPr>
          <w:p w14:paraId="41C5196C" w14:textId="30259B8E" w:rsidR="00847E82" w:rsidRPr="00C15426" w:rsidRDefault="00847E82" w:rsidP="00847E82">
            <w:pPr>
              <w:jc w:val="center"/>
              <w:rPr>
                <w:rFonts w:ascii="VIC" w:hAnsi="VIC"/>
                <w:sz w:val="18"/>
                <w:szCs w:val="18"/>
              </w:rPr>
            </w:pPr>
            <w:r w:rsidRPr="00427725">
              <w:rPr>
                <w:rFonts w:ascii="VIC" w:eastAsia="Verdana" w:hAnsi="VIC"/>
                <w:color w:val="000000"/>
                <w:sz w:val="18"/>
                <w:szCs w:val="18"/>
              </w:rPr>
              <w:t>17.2</w:t>
            </w:r>
          </w:p>
        </w:tc>
      </w:tr>
      <w:tr w:rsidR="00847E82" w:rsidRPr="00A6366B" w14:paraId="53B6F350" w14:textId="77777777" w:rsidTr="004A2160">
        <w:trPr>
          <w:trHeight w:val="284"/>
        </w:trPr>
        <w:tc>
          <w:tcPr>
            <w:tcW w:w="1570" w:type="dxa"/>
            <w:vMerge/>
            <w:shd w:val="clear" w:color="auto" w:fill="BFCED6"/>
          </w:tcPr>
          <w:p w14:paraId="142A196E" w14:textId="77777777" w:rsidR="00847E82" w:rsidRPr="00C15426" w:rsidRDefault="00847E82" w:rsidP="00847E82">
            <w:pPr>
              <w:pStyle w:val="DHHStabletext"/>
              <w:spacing w:before="0" w:after="0"/>
              <w:rPr>
                <w:rFonts w:ascii="VIC" w:hAnsi="VIC"/>
                <w:sz w:val="18"/>
                <w:szCs w:val="18"/>
              </w:rPr>
            </w:pPr>
          </w:p>
        </w:tc>
        <w:tc>
          <w:tcPr>
            <w:tcW w:w="2410" w:type="dxa"/>
            <w:shd w:val="clear" w:color="auto" w:fill="BFCED6"/>
          </w:tcPr>
          <w:p w14:paraId="2E1E3B39" w14:textId="77777777" w:rsidR="00847E82" w:rsidRPr="00C15426" w:rsidRDefault="00847E82" w:rsidP="00847E82">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58D2BE44" w14:textId="38A78D96" w:rsidR="00847E82" w:rsidRPr="00C15426" w:rsidRDefault="00847E82" w:rsidP="00847E82">
            <w:pPr>
              <w:rPr>
                <w:rFonts w:ascii="VIC" w:hAnsi="VIC"/>
                <w:sz w:val="18"/>
                <w:szCs w:val="18"/>
              </w:rPr>
            </w:pPr>
            <w:r w:rsidRPr="00427725">
              <w:rPr>
                <w:rFonts w:ascii="VIC" w:eastAsia="Verdana" w:hAnsi="VIC"/>
                <w:color w:val="000000"/>
                <w:sz w:val="18"/>
                <w:szCs w:val="18"/>
              </w:rPr>
              <w:t xml:space="preserve">Total </w:t>
            </w:r>
          </w:p>
        </w:tc>
        <w:tc>
          <w:tcPr>
            <w:tcW w:w="1090" w:type="dxa"/>
            <w:shd w:val="clear" w:color="auto" w:fill="BFCED6"/>
          </w:tcPr>
          <w:p w14:paraId="27DA1843" w14:textId="0EEF9161" w:rsidR="00847E82" w:rsidRPr="00C15426" w:rsidRDefault="00847E82" w:rsidP="00847E82">
            <w:pPr>
              <w:jc w:val="center"/>
              <w:rPr>
                <w:rFonts w:ascii="VIC" w:hAnsi="VIC"/>
                <w:sz w:val="18"/>
                <w:szCs w:val="18"/>
              </w:rPr>
            </w:pPr>
            <w:r w:rsidRPr="00427725">
              <w:rPr>
                <w:rFonts w:ascii="VIC" w:eastAsia="Verdana" w:hAnsi="VIC"/>
                <w:color w:val="000000"/>
                <w:sz w:val="18"/>
                <w:szCs w:val="18"/>
              </w:rPr>
              <w:t>81 %</w:t>
            </w:r>
          </w:p>
        </w:tc>
        <w:tc>
          <w:tcPr>
            <w:tcW w:w="1090" w:type="dxa"/>
            <w:shd w:val="clear" w:color="auto" w:fill="BFCED6"/>
          </w:tcPr>
          <w:p w14:paraId="74E188D8" w14:textId="17A90092" w:rsidR="00847E82" w:rsidRPr="00C15426" w:rsidRDefault="00847E82" w:rsidP="00847E82">
            <w:pPr>
              <w:jc w:val="center"/>
              <w:rPr>
                <w:rFonts w:ascii="VIC" w:hAnsi="VIC"/>
                <w:sz w:val="18"/>
                <w:szCs w:val="18"/>
              </w:rPr>
            </w:pPr>
            <w:r w:rsidRPr="00427725">
              <w:rPr>
                <w:rFonts w:ascii="VIC" w:eastAsia="Verdana" w:hAnsi="VIC"/>
                <w:color w:val="000000"/>
                <w:sz w:val="18"/>
                <w:szCs w:val="18"/>
              </w:rPr>
              <w:t>14.8</w:t>
            </w:r>
          </w:p>
        </w:tc>
        <w:tc>
          <w:tcPr>
            <w:tcW w:w="1090" w:type="dxa"/>
            <w:shd w:val="clear" w:color="auto" w:fill="BFCED6"/>
          </w:tcPr>
          <w:p w14:paraId="0B4BC3C1" w14:textId="49879BB5"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BFCED6"/>
          </w:tcPr>
          <w:p w14:paraId="74A16B32" w14:textId="726D5135" w:rsidR="00847E82" w:rsidRPr="00C15426" w:rsidRDefault="00847E82" w:rsidP="00847E82">
            <w:pPr>
              <w:jc w:val="center"/>
              <w:rPr>
                <w:rFonts w:ascii="VIC" w:hAnsi="VIC"/>
                <w:sz w:val="18"/>
                <w:szCs w:val="18"/>
              </w:rPr>
            </w:pPr>
            <w:r w:rsidRPr="00427725">
              <w:rPr>
                <w:rFonts w:ascii="VIC" w:eastAsia="Verdana" w:hAnsi="VIC"/>
                <w:color w:val="000000"/>
                <w:sz w:val="18"/>
                <w:szCs w:val="18"/>
              </w:rPr>
              <w:t>17.7</w:t>
            </w:r>
          </w:p>
        </w:tc>
        <w:tc>
          <w:tcPr>
            <w:tcW w:w="1090" w:type="dxa"/>
            <w:shd w:val="clear" w:color="auto" w:fill="BFCED6"/>
          </w:tcPr>
          <w:p w14:paraId="6F9A642F" w14:textId="66D15204" w:rsidR="00847E82" w:rsidRPr="00C15426"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BFCED6"/>
          </w:tcPr>
          <w:p w14:paraId="11024534" w14:textId="074455B9" w:rsidR="00847E82" w:rsidRPr="00C15426"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BFCED6"/>
          </w:tcPr>
          <w:p w14:paraId="1F25A58C" w14:textId="63994DC1" w:rsidR="00847E82" w:rsidRPr="00C15426" w:rsidRDefault="00847E82" w:rsidP="00847E82">
            <w:pPr>
              <w:jc w:val="center"/>
              <w:rPr>
                <w:rFonts w:ascii="VIC" w:hAnsi="VIC"/>
                <w:sz w:val="18"/>
                <w:szCs w:val="18"/>
              </w:rPr>
            </w:pPr>
            <w:r w:rsidRPr="00427725">
              <w:rPr>
                <w:rFonts w:ascii="VIC" w:eastAsia="Verdana" w:hAnsi="VIC"/>
                <w:color w:val="000000"/>
                <w:sz w:val="18"/>
                <w:szCs w:val="18"/>
              </w:rPr>
              <w:t>86 %</w:t>
            </w:r>
          </w:p>
        </w:tc>
        <w:tc>
          <w:tcPr>
            <w:tcW w:w="1091" w:type="dxa"/>
            <w:shd w:val="clear" w:color="auto" w:fill="BFCED6"/>
          </w:tcPr>
          <w:p w14:paraId="024CB48B" w14:textId="0B48E41F" w:rsidR="00847E82" w:rsidRPr="00C15426" w:rsidRDefault="00847E82" w:rsidP="00847E82">
            <w:pPr>
              <w:jc w:val="center"/>
              <w:rPr>
                <w:rFonts w:ascii="VIC" w:hAnsi="VIC"/>
                <w:sz w:val="18"/>
                <w:szCs w:val="18"/>
              </w:rPr>
            </w:pPr>
            <w:r w:rsidRPr="00427725">
              <w:rPr>
                <w:rFonts w:ascii="VIC" w:eastAsia="Verdana" w:hAnsi="VIC"/>
                <w:color w:val="000000"/>
                <w:sz w:val="18"/>
                <w:szCs w:val="18"/>
              </w:rPr>
              <w:t>16.2</w:t>
            </w:r>
          </w:p>
        </w:tc>
      </w:tr>
      <w:tr w:rsidR="00847E82" w:rsidRPr="00A6366B" w14:paraId="6E9FF9EE" w14:textId="77777777" w:rsidTr="003330EE">
        <w:trPr>
          <w:trHeight w:val="284"/>
        </w:trPr>
        <w:tc>
          <w:tcPr>
            <w:tcW w:w="1570" w:type="dxa"/>
            <w:shd w:val="clear" w:color="auto" w:fill="FFFFFF" w:themeFill="background1"/>
          </w:tcPr>
          <w:p w14:paraId="2CA13475" w14:textId="4B65C838"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Goulburn Valley Health</w:t>
            </w:r>
          </w:p>
        </w:tc>
        <w:tc>
          <w:tcPr>
            <w:tcW w:w="2410" w:type="dxa"/>
            <w:shd w:val="clear" w:color="auto" w:fill="FFFFFF" w:themeFill="background1"/>
          </w:tcPr>
          <w:p w14:paraId="3F6648AB" w14:textId="2BADA6ED"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Goulburn &amp; Southern</w:t>
            </w:r>
          </w:p>
        </w:tc>
        <w:tc>
          <w:tcPr>
            <w:tcW w:w="2833" w:type="dxa"/>
            <w:shd w:val="clear" w:color="auto" w:fill="FFFFFF" w:themeFill="background1"/>
          </w:tcPr>
          <w:p w14:paraId="51FE8BA1" w14:textId="7E0C3AAE" w:rsidR="00847E82" w:rsidRPr="00C15426" w:rsidRDefault="00847E82" w:rsidP="00847E82">
            <w:pPr>
              <w:rPr>
                <w:rFonts w:ascii="VIC" w:hAnsi="VIC"/>
                <w:sz w:val="18"/>
                <w:szCs w:val="18"/>
              </w:rPr>
            </w:pPr>
            <w:r w:rsidRPr="00427725">
              <w:rPr>
                <w:rFonts w:ascii="VIC" w:eastAsia="Verdana" w:hAnsi="VIC"/>
                <w:color w:val="000000"/>
                <w:sz w:val="18"/>
                <w:szCs w:val="18"/>
              </w:rPr>
              <w:t>Goulburn Valley MIF PARC</w:t>
            </w:r>
          </w:p>
        </w:tc>
        <w:tc>
          <w:tcPr>
            <w:tcW w:w="1090" w:type="dxa"/>
            <w:shd w:val="clear" w:color="auto" w:fill="FFFFFF" w:themeFill="background1"/>
          </w:tcPr>
          <w:p w14:paraId="2D3F9294" w14:textId="36342D48" w:rsidR="00847E82" w:rsidRPr="00C15426" w:rsidRDefault="00847E82" w:rsidP="00847E82">
            <w:pPr>
              <w:jc w:val="center"/>
              <w:rPr>
                <w:rFonts w:ascii="VIC" w:hAnsi="VIC"/>
                <w:sz w:val="18"/>
                <w:szCs w:val="18"/>
              </w:rPr>
            </w:pPr>
            <w:r w:rsidRPr="00427725">
              <w:rPr>
                <w:rFonts w:ascii="VIC" w:eastAsia="Verdana" w:hAnsi="VIC"/>
                <w:color w:val="000000"/>
                <w:sz w:val="18"/>
                <w:szCs w:val="18"/>
              </w:rPr>
              <w:t>119 %</w:t>
            </w:r>
          </w:p>
        </w:tc>
        <w:tc>
          <w:tcPr>
            <w:tcW w:w="1090" w:type="dxa"/>
            <w:shd w:val="clear" w:color="auto" w:fill="FFFFFF" w:themeFill="background1"/>
          </w:tcPr>
          <w:p w14:paraId="7AE7119A" w14:textId="0AB9F79B" w:rsidR="00847E82" w:rsidRPr="00C15426" w:rsidRDefault="00847E82" w:rsidP="00847E82">
            <w:pPr>
              <w:jc w:val="center"/>
              <w:rPr>
                <w:rFonts w:ascii="VIC" w:hAnsi="VIC"/>
                <w:sz w:val="18"/>
                <w:szCs w:val="18"/>
              </w:rPr>
            </w:pPr>
            <w:r w:rsidRPr="00427725">
              <w:rPr>
                <w:rFonts w:ascii="VIC" w:eastAsia="Verdana" w:hAnsi="VIC"/>
                <w:color w:val="000000"/>
                <w:sz w:val="18"/>
                <w:szCs w:val="18"/>
              </w:rPr>
              <w:t>16.5</w:t>
            </w:r>
          </w:p>
        </w:tc>
        <w:tc>
          <w:tcPr>
            <w:tcW w:w="1090" w:type="dxa"/>
            <w:shd w:val="clear" w:color="auto" w:fill="FFFFFF" w:themeFill="background1"/>
          </w:tcPr>
          <w:p w14:paraId="0D9B38FC" w14:textId="1B5C9D9F"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16E5CEBA" w14:textId="4B17ABF6" w:rsidR="00847E82" w:rsidRPr="00C15426" w:rsidRDefault="00847E82" w:rsidP="00847E82">
            <w:pPr>
              <w:jc w:val="center"/>
              <w:rPr>
                <w:rFonts w:ascii="VIC" w:hAnsi="VIC"/>
                <w:sz w:val="18"/>
                <w:szCs w:val="18"/>
              </w:rPr>
            </w:pPr>
            <w:r w:rsidRPr="00427725">
              <w:rPr>
                <w:rFonts w:ascii="VIC" w:eastAsia="Verdana" w:hAnsi="VIC"/>
                <w:color w:val="000000"/>
                <w:sz w:val="18"/>
                <w:szCs w:val="18"/>
              </w:rPr>
              <w:t>35.0</w:t>
            </w:r>
          </w:p>
        </w:tc>
        <w:tc>
          <w:tcPr>
            <w:tcW w:w="1090" w:type="dxa"/>
            <w:shd w:val="clear" w:color="auto" w:fill="FFFFFF" w:themeFill="background1"/>
          </w:tcPr>
          <w:p w14:paraId="09386B5F" w14:textId="662CD5FB" w:rsidR="00847E82" w:rsidRPr="00C15426"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FFFFFF" w:themeFill="background1"/>
          </w:tcPr>
          <w:p w14:paraId="547BDF05" w14:textId="6119E150" w:rsidR="00847E82" w:rsidRPr="00C15426" w:rsidRDefault="00847E82" w:rsidP="00847E82">
            <w:pPr>
              <w:jc w:val="center"/>
              <w:rPr>
                <w:rFonts w:ascii="VIC" w:hAnsi="VIC"/>
                <w:sz w:val="18"/>
                <w:szCs w:val="18"/>
              </w:rPr>
            </w:pPr>
            <w:r w:rsidRPr="00427725">
              <w:rPr>
                <w:rFonts w:ascii="VIC" w:eastAsia="Verdana" w:hAnsi="VIC"/>
                <w:color w:val="000000"/>
                <w:sz w:val="18"/>
                <w:szCs w:val="18"/>
              </w:rPr>
              <w:t>13 %</w:t>
            </w:r>
          </w:p>
        </w:tc>
        <w:tc>
          <w:tcPr>
            <w:tcW w:w="1090" w:type="dxa"/>
            <w:shd w:val="clear" w:color="auto" w:fill="FFFFFF" w:themeFill="background1"/>
          </w:tcPr>
          <w:p w14:paraId="2F27B5E8" w14:textId="38E59FD1" w:rsidR="00847E82" w:rsidRPr="00C15426" w:rsidRDefault="00847E82" w:rsidP="00847E82">
            <w:pPr>
              <w:jc w:val="center"/>
              <w:rPr>
                <w:rFonts w:ascii="VIC" w:hAnsi="VIC"/>
                <w:sz w:val="18"/>
                <w:szCs w:val="18"/>
              </w:rPr>
            </w:pPr>
            <w:r w:rsidRPr="00427725">
              <w:rPr>
                <w:rFonts w:ascii="VIC" w:eastAsia="Verdana" w:hAnsi="VIC"/>
                <w:color w:val="000000"/>
                <w:sz w:val="18"/>
                <w:szCs w:val="18"/>
              </w:rPr>
              <w:t>42 %</w:t>
            </w:r>
          </w:p>
        </w:tc>
        <w:tc>
          <w:tcPr>
            <w:tcW w:w="1091" w:type="dxa"/>
            <w:shd w:val="clear" w:color="auto" w:fill="FFFFFF" w:themeFill="background1"/>
          </w:tcPr>
          <w:p w14:paraId="217A5F1F" w14:textId="5C30E207" w:rsidR="00847E82" w:rsidRPr="00C15426" w:rsidRDefault="00847E82" w:rsidP="00847E82">
            <w:pPr>
              <w:jc w:val="center"/>
              <w:rPr>
                <w:rFonts w:ascii="VIC" w:hAnsi="VIC"/>
                <w:sz w:val="18"/>
                <w:szCs w:val="18"/>
              </w:rPr>
            </w:pPr>
            <w:r w:rsidRPr="00427725">
              <w:rPr>
                <w:rFonts w:ascii="VIC" w:eastAsia="Verdana" w:hAnsi="VIC"/>
                <w:color w:val="000000"/>
                <w:sz w:val="18"/>
                <w:szCs w:val="18"/>
              </w:rPr>
              <w:t>14.9</w:t>
            </w:r>
          </w:p>
        </w:tc>
      </w:tr>
      <w:tr w:rsidR="00847E82" w:rsidRPr="00A6366B" w14:paraId="2DB41091" w14:textId="77777777" w:rsidTr="003330EE">
        <w:trPr>
          <w:trHeight w:val="284"/>
        </w:trPr>
        <w:tc>
          <w:tcPr>
            <w:tcW w:w="1570" w:type="dxa"/>
            <w:shd w:val="clear" w:color="auto" w:fill="BFCED6"/>
          </w:tcPr>
          <w:p w14:paraId="11A34BBC" w14:textId="1600675B"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Latrobe Regional</w:t>
            </w:r>
          </w:p>
        </w:tc>
        <w:tc>
          <w:tcPr>
            <w:tcW w:w="2410" w:type="dxa"/>
            <w:shd w:val="clear" w:color="auto" w:fill="BFCED6"/>
          </w:tcPr>
          <w:p w14:paraId="409D2511" w14:textId="480913FC"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Gippsland</w:t>
            </w:r>
          </w:p>
        </w:tc>
        <w:tc>
          <w:tcPr>
            <w:tcW w:w="2833" w:type="dxa"/>
            <w:shd w:val="clear" w:color="auto" w:fill="BFCED6"/>
          </w:tcPr>
          <w:p w14:paraId="67A3D8BC" w14:textId="6EA5FF20" w:rsidR="00847E82" w:rsidRPr="00C15426" w:rsidRDefault="00847E82" w:rsidP="00847E82">
            <w:pPr>
              <w:rPr>
                <w:rFonts w:ascii="VIC" w:hAnsi="VIC"/>
                <w:sz w:val="18"/>
                <w:szCs w:val="18"/>
              </w:rPr>
            </w:pPr>
            <w:r w:rsidRPr="00427725">
              <w:rPr>
                <w:rFonts w:ascii="VIC" w:eastAsia="Verdana" w:hAnsi="VIC"/>
                <w:color w:val="000000"/>
                <w:sz w:val="18"/>
                <w:szCs w:val="18"/>
              </w:rPr>
              <w:t>PARCS - Prevention / Recovery Care Service</w:t>
            </w:r>
          </w:p>
        </w:tc>
        <w:tc>
          <w:tcPr>
            <w:tcW w:w="1090" w:type="dxa"/>
            <w:shd w:val="clear" w:color="auto" w:fill="BFCED6"/>
          </w:tcPr>
          <w:p w14:paraId="13BEA327" w14:textId="71396A8E" w:rsidR="00847E82" w:rsidRPr="00C15426" w:rsidRDefault="00847E82" w:rsidP="00847E82">
            <w:pPr>
              <w:jc w:val="center"/>
              <w:rPr>
                <w:rFonts w:ascii="VIC" w:hAnsi="VIC"/>
                <w:sz w:val="18"/>
                <w:szCs w:val="18"/>
              </w:rPr>
            </w:pPr>
            <w:r w:rsidRPr="00427725">
              <w:rPr>
                <w:rFonts w:ascii="VIC" w:eastAsia="Verdana" w:hAnsi="VIC"/>
                <w:color w:val="000000"/>
                <w:sz w:val="18"/>
                <w:szCs w:val="18"/>
              </w:rPr>
              <w:t>67 %</w:t>
            </w:r>
          </w:p>
        </w:tc>
        <w:tc>
          <w:tcPr>
            <w:tcW w:w="1090" w:type="dxa"/>
            <w:shd w:val="clear" w:color="auto" w:fill="BFCED6"/>
          </w:tcPr>
          <w:p w14:paraId="1385D681" w14:textId="42B9B436" w:rsidR="00847E82" w:rsidRPr="00C15426" w:rsidRDefault="00847E82" w:rsidP="00847E82">
            <w:pPr>
              <w:jc w:val="center"/>
              <w:rPr>
                <w:rFonts w:ascii="VIC" w:hAnsi="VIC"/>
                <w:sz w:val="18"/>
                <w:szCs w:val="18"/>
              </w:rPr>
            </w:pPr>
            <w:r w:rsidRPr="00427725">
              <w:rPr>
                <w:rFonts w:ascii="VIC" w:eastAsia="Verdana" w:hAnsi="VIC"/>
                <w:color w:val="000000"/>
                <w:sz w:val="18"/>
                <w:szCs w:val="18"/>
              </w:rPr>
              <w:t>17.3</w:t>
            </w:r>
          </w:p>
        </w:tc>
        <w:tc>
          <w:tcPr>
            <w:tcW w:w="1090" w:type="dxa"/>
            <w:shd w:val="clear" w:color="auto" w:fill="BFCED6"/>
          </w:tcPr>
          <w:p w14:paraId="1082C358" w14:textId="69434160" w:rsidR="00847E82" w:rsidRPr="00C15426"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BFCED6"/>
          </w:tcPr>
          <w:p w14:paraId="038CCE74" w14:textId="542FDDD6" w:rsidR="00847E82" w:rsidRPr="00C15426" w:rsidRDefault="00847E82" w:rsidP="00847E82">
            <w:pPr>
              <w:jc w:val="center"/>
              <w:rPr>
                <w:rFonts w:ascii="VIC" w:hAnsi="VIC"/>
                <w:sz w:val="18"/>
                <w:szCs w:val="18"/>
              </w:rPr>
            </w:pPr>
            <w:r w:rsidRPr="00427725">
              <w:rPr>
                <w:rFonts w:ascii="VIC" w:eastAsia="Verdana" w:hAnsi="VIC"/>
                <w:color w:val="000000"/>
                <w:sz w:val="18"/>
                <w:szCs w:val="18"/>
              </w:rPr>
              <w:t>20.2</w:t>
            </w:r>
          </w:p>
        </w:tc>
        <w:tc>
          <w:tcPr>
            <w:tcW w:w="1090" w:type="dxa"/>
            <w:shd w:val="clear" w:color="auto" w:fill="BFCED6"/>
          </w:tcPr>
          <w:p w14:paraId="4BD8F68E" w14:textId="4B5E2C0A" w:rsidR="00847E82" w:rsidRPr="00C15426"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BFCED6"/>
          </w:tcPr>
          <w:p w14:paraId="5D778B30" w14:textId="76CC588A" w:rsidR="00847E82" w:rsidRPr="00C15426" w:rsidRDefault="00847E82" w:rsidP="00847E82">
            <w:pPr>
              <w:jc w:val="center"/>
              <w:rPr>
                <w:rFonts w:ascii="VIC" w:hAnsi="VIC"/>
                <w:sz w:val="18"/>
                <w:szCs w:val="18"/>
              </w:rPr>
            </w:pPr>
            <w:r w:rsidRPr="00427725">
              <w:rPr>
                <w:rFonts w:ascii="VIC" w:eastAsia="Verdana" w:hAnsi="VIC"/>
                <w:color w:val="000000"/>
                <w:sz w:val="18"/>
                <w:szCs w:val="18"/>
              </w:rPr>
              <w:t>3 %</w:t>
            </w:r>
          </w:p>
        </w:tc>
        <w:tc>
          <w:tcPr>
            <w:tcW w:w="1090" w:type="dxa"/>
            <w:shd w:val="clear" w:color="auto" w:fill="BFCED6"/>
          </w:tcPr>
          <w:p w14:paraId="4E2395F7" w14:textId="186DAF54" w:rsidR="00847E82" w:rsidRPr="00C15426" w:rsidRDefault="00847E82" w:rsidP="00847E82">
            <w:pPr>
              <w:jc w:val="center"/>
              <w:rPr>
                <w:rFonts w:ascii="VIC" w:hAnsi="VIC"/>
                <w:sz w:val="18"/>
                <w:szCs w:val="18"/>
              </w:rPr>
            </w:pPr>
            <w:r w:rsidRPr="00427725">
              <w:rPr>
                <w:rFonts w:ascii="VIC" w:eastAsia="Verdana" w:hAnsi="VIC"/>
                <w:color w:val="000000"/>
                <w:sz w:val="18"/>
                <w:szCs w:val="18"/>
              </w:rPr>
              <w:t>84 %</w:t>
            </w:r>
          </w:p>
        </w:tc>
        <w:tc>
          <w:tcPr>
            <w:tcW w:w="1091" w:type="dxa"/>
            <w:shd w:val="clear" w:color="auto" w:fill="BFCED6"/>
          </w:tcPr>
          <w:p w14:paraId="463D034A" w14:textId="42EBF378" w:rsidR="00847E82" w:rsidRPr="00C15426" w:rsidRDefault="00847E82" w:rsidP="00847E82">
            <w:pPr>
              <w:jc w:val="center"/>
              <w:rPr>
                <w:rFonts w:ascii="VIC" w:hAnsi="VIC"/>
                <w:sz w:val="18"/>
                <w:szCs w:val="18"/>
              </w:rPr>
            </w:pPr>
            <w:r w:rsidRPr="00427725">
              <w:rPr>
                <w:rFonts w:ascii="VIC" w:eastAsia="Verdana" w:hAnsi="VIC"/>
                <w:color w:val="000000"/>
                <w:sz w:val="18"/>
                <w:szCs w:val="18"/>
              </w:rPr>
              <w:t>9.9</w:t>
            </w:r>
          </w:p>
        </w:tc>
      </w:tr>
      <w:tr w:rsidR="00847E82" w:rsidRPr="00A6366B" w14:paraId="0AF70108" w14:textId="77777777" w:rsidTr="003330EE">
        <w:trPr>
          <w:trHeight w:val="284"/>
        </w:trPr>
        <w:tc>
          <w:tcPr>
            <w:tcW w:w="1570" w:type="dxa"/>
            <w:shd w:val="clear" w:color="auto" w:fill="FFFFFF" w:themeFill="background1"/>
          </w:tcPr>
          <w:p w14:paraId="49C0F388" w14:textId="1532AD81"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Mildura Base Hospital</w:t>
            </w:r>
          </w:p>
        </w:tc>
        <w:tc>
          <w:tcPr>
            <w:tcW w:w="2410" w:type="dxa"/>
            <w:shd w:val="clear" w:color="auto" w:fill="FFFFFF" w:themeFill="background1"/>
          </w:tcPr>
          <w:p w14:paraId="0A4B87DE" w14:textId="5C0D2EA2"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Northern Mallee</w:t>
            </w:r>
          </w:p>
        </w:tc>
        <w:tc>
          <w:tcPr>
            <w:tcW w:w="2833" w:type="dxa"/>
            <w:shd w:val="clear" w:color="auto" w:fill="FFFFFF" w:themeFill="background1"/>
          </w:tcPr>
          <w:p w14:paraId="0EA812DD" w14:textId="4FFD7B97" w:rsidR="00847E82" w:rsidRPr="00C15426" w:rsidRDefault="00847E82" w:rsidP="00847E82">
            <w:pPr>
              <w:rPr>
                <w:rFonts w:ascii="VIC" w:hAnsi="VIC"/>
                <w:sz w:val="18"/>
                <w:szCs w:val="18"/>
              </w:rPr>
            </w:pPr>
            <w:r w:rsidRPr="00427725">
              <w:rPr>
                <w:rFonts w:ascii="VIC" w:eastAsia="Verdana" w:hAnsi="VIC"/>
                <w:color w:val="000000"/>
                <w:sz w:val="18"/>
                <w:szCs w:val="18"/>
              </w:rPr>
              <w:t>PARC</w:t>
            </w:r>
          </w:p>
        </w:tc>
        <w:tc>
          <w:tcPr>
            <w:tcW w:w="1090" w:type="dxa"/>
            <w:shd w:val="clear" w:color="auto" w:fill="FFFFFF" w:themeFill="background1"/>
          </w:tcPr>
          <w:p w14:paraId="60E85923" w14:textId="4A7B2C8B" w:rsidR="00847E82" w:rsidRPr="00C15426" w:rsidRDefault="00847E82" w:rsidP="00847E82">
            <w:pPr>
              <w:jc w:val="center"/>
              <w:rPr>
                <w:rFonts w:ascii="VIC" w:hAnsi="VIC"/>
                <w:sz w:val="18"/>
                <w:szCs w:val="18"/>
              </w:rPr>
            </w:pPr>
            <w:r w:rsidRPr="00427725">
              <w:rPr>
                <w:rFonts w:ascii="VIC" w:eastAsia="Verdana" w:hAnsi="VIC"/>
                <w:color w:val="000000"/>
                <w:sz w:val="18"/>
                <w:szCs w:val="18"/>
              </w:rPr>
              <w:t>69 %</w:t>
            </w:r>
          </w:p>
        </w:tc>
        <w:tc>
          <w:tcPr>
            <w:tcW w:w="1090" w:type="dxa"/>
            <w:shd w:val="clear" w:color="auto" w:fill="FFFFFF" w:themeFill="background1"/>
          </w:tcPr>
          <w:p w14:paraId="4CB07E0A" w14:textId="7268A9E2" w:rsidR="00847E82" w:rsidRPr="00C15426" w:rsidRDefault="00847E82" w:rsidP="00847E82">
            <w:pPr>
              <w:jc w:val="center"/>
              <w:rPr>
                <w:rFonts w:ascii="VIC" w:hAnsi="VIC"/>
                <w:sz w:val="18"/>
                <w:szCs w:val="18"/>
              </w:rPr>
            </w:pPr>
            <w:r w:rsidRPr="00427725">
              <w:rPr>
                <w:rFonts w:ascii="VIC" w:eastAsia="Verdana" w:hAnsi="VIC"/>
                <w:color w:val="000000"/>
                <w:sz w:val="18"/>
                <w:szCs w:val="18"/>
              </w:rPr>
              <w:t>28.7</w:t>
            </w:r>
          </w:p>
        </w:tc>
        <w:tc>
          <w:tcPr>
            <w:tcW w:w="1090" w:type="dxa"/>
            <w:shd w:val="clear" w:color="auto" w:fill="FFFFFF" w:themeFill="background1"/>
          </w:tcPr>
          <w:p w14:paraId="29E015CF" w14:textId="344A37B1"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14B16751" w14:textId="1E474D0E" w:rsidR="00847E82" w:rsidRPr="00C15426" w:rsidRDefault="00847E82" w:rsidP="00847E82">
            <w:pPr>
              <w:jc w:val="center"/>
              <w:rPr>
                <w:rFonts w:ascii="VIC" w:hAnsi="VIC"/>
                <w:sz w:val="18"/>
                <w:szCs w:val="18"/>
              </w:rPr>
            </w:pPr>
            <w:r w:rsidRPr="00427725">
              <w:rPr>
                <w:rFonts w:ascii="VIC" w:eastAsia="Verdana" w:hAnsi="VIC"/>
                <w:color w:val="000000"/>
                <w:sz w:val="18"/>
                <w:szCs w:val="18"/>
              </w:rPr>
              <w:t>36.5</w:t>
            </w:r>
          </w:p>
        </w:tc>
        <w:tc>
          <w:tcPr>
            <w:tcW w:w="1090" w:type="dxa"/>
            <w:shd w:val="clear" w:color="auto" w:fill="FFFFFF" w:themeFill="background1"/>
          </w:tcPr>
          <w:p w14:paraId="74D53BFB" w14:textId="3063DE11" w:rsidR="00847E82" w:rsidRPr="00C15426"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FFFFFF" w:themeFill="background1"/>
          </w:tcPr>
          <w:p w14:paraId="336AF6CF" w14:textId="024AECB3" w:rsidR="00847E82" w:rsidRPr="00C15426" w:rsidRDefault="00847E82" w:rsidP="00847E82">
            <w:pPr>
              <w:jc w:val="center"/>
              <w:rPr>
                <w:rFonts w:ascii="VIC" w:hAnsi="VIC"/>
                <w:sz w:val="18"/>
                <w:szCs w:val="18"/>
              </w:rPr>
            </w:pPr>
            <w:r w:rsidRPr="00427725">
              <w:rPr>
                <w:rFonts w:ascii="VIC" w:eastAsia="Verdana" w:hAnsi="VIC"/>
                <w:color w:val="000000"/>
                <w:sz w:val="18"/>
                <w:szCs w:val="18"/>
              </w:rPr>
              <w:t>18 %</w:t>
            </w:r>
          </w:p>
        </w:tc>
        <w:tc>
          <w:tcPr>
            <w:tcW w:w="1090" w:type="dxa"/>
            <w:shd w:val="clear" w:color="auto" w:fill="FFFFFF" w:themeFill="background1"/>
          </w:tcPr>
          <w:p w14:paraId="298B28F6" w14:textId="0F673D30" w:rsidR="00847E82" w:rsidRPr="00C15426" w:rsidRDefault="00847E82" w:rsidP="00847E82">
            <w:pPr>
              <w:jc w:val="center"/>
              <w:rPr>
                <w:rFonts w:ascii="VIC" w:hAnsi="VIC"/>
                <w:sz w:val="18"/>
                <w:szCs w:val="18"/>
              </w:rPr>
            </w:pPr>
            <w:r w:rsidRPr="00427725">
              <w:rPr>
                <w:rFonts w:ascii="VIC" w:eastAsia="Verdana" w:hAnsi="VIC"/>
                <w:color w:val="000000"/>
                <w:sz w:val="18"/>
                <w:szCs w:val="18"/>
              </w:rPr>
              <w:t>96 %</w:t>
            </w:r>
          </w:p>
        </w:tc>
        <w:tc>
          <w:tcPr>
            <w:tcW w:w="1091" w:type="dxa"/>
            <w:shd w:val="clear" w:color="auto" w:fill="FFFFFF" w:themeFill="background1"/>
          </w:tcPr>
          <w:p w14:paraId="5AAF1CF6" w14:textId="06A309B9" w:rsidR="00847E82" w:rsidRPr="00C15426" w:rsidRDefault="00847E82" w:rsidP="00847E82">
            <w:pPr>
              <w:jc w:val="center"/>
              <w:rPr>
                <w:rFonts w:ascii="VIC" w:hAnsi="VIC"/>
                <w:sz w:val="18"/>
                <w:szCs w:val="18"/>
              </w:rPr>
            </w:pPr>
            <w:r w:rsidRPr="00427725">
              <w:rPr>
                <w:rFonts w:ascii="VIC" w:eastAsia="Verdana" w:hAnsi="VIC"/>
                <w:color w:val="000000"/>
                <w:sz w:val="18"/>
                <w:szCs w:val="18"/>
              </w:rPr>
              <w:t>14.1</w:t>
            </w:r>
          </w:p>
        </w:tc>
      </w:tr>
      <w:tr w:rsidR="00847E82" w:rsidRPr="00A6366B" w14:paraId="5F487F0A" w14:textId="77777777" w:rsidTr="003330EE">
        <w:trPr>
          <w:trHeight w:val="284"/>
        </w:trPr>
        <w:tc>
          <w:tcPr>
            <w:tcW w:w="1570" w:type="dxa"/>
            <w:shd w:val="clear" w:color="auto" w:fill="BFCED6"/>
          </w:tcPr>
          <w:p w14:paraId="40EF4674" w14:textId="44C18A05"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Albury Wodonga Health</w:t>
            </w:r>
          </w:p>
        </w:tc>
        <w:tc>
          <w:tcPr>
            <w:tcW w:w="2410" w:type="dxa"/>
            <w:shd w:val="clear" w:color="auto" w:fill="BFCED6"/>
          </w:tcPr>
          <w:p w14:paraId="366EB2F9" w14:textId="49A0E252"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North East &amp; Border</w:t>
            </w:r>
          </w:p>
        </w:tc>
        <w:tc>
          <w:tcPr>
            <w:tcW w:w="2833" w:type="dxa"/>
            <w:shd w:val="clear" w:color="auto" w:fill="BFCED6"/>
          </w:tcPr>
          <w:p w14:paraId="4FD4C456" w14:textId="65B7B7B9" w:rsidR="00847E82" w:rsidRPr="00C15426" w:rsidRDefault="00847E82" w:rsidP="00847E82">
            <w:pPr>
              <w:rPr>
                <w:rFonts w:ascii="VIC" w:hAnsi="VIC"/>
                <w:sz w:val="18"/>
                <w:szCs w:val="18"/>
              </w:rPr>
            </w:pPr>
            <w:r w:rsidRPr="00427725">
              <w:rPr>
                <w:rFonts w:ascii="VIC" w:eastAsia="Verdana" w:hAnsi="VIC"/>
                <w:color w:val="000000"/>
                <w:sz w:val="18"/>
                <w:szCs w:val="18"/>
              </w:rPr>
              <w:t>Jarrah Retreat PARC</w:t>
            </w:r>
          </w:p>
        </w:tc>
        <w:tc>
          <w:tcPr>
            <w:tcW w:w="1090" w:type="dxa"/>
            <w:shd w:val="clear" w:color="auto" w:fill="BFCED6"/>
          </w:tcPr>
          <w:p w14:paraId="307CF4D4" w14:textId="54102353" w:rsidR="00847E82" w:rsidRPr="00C15426" w:rsidRDefault="00847E82" w:rsidP="00847E82">
            <w:pPr>
              <w:jc w:val="center"/>
              <w:rPr>
                <w:rFonts w:ascii="VIC" w:hAnsi="VIC"/>
                <w:sz w:val="18"/>
                <w:szCs w:val="18"/>
              </w:rPr>
            </w:pPr>
            <w:r w:rsidRPr="00427725">
              <w:rPr>
                <w:rFonts w:ascii="VIC" w:eastAsia="Verdana" w:hAnsi="VIC"/>
                <w:color w:val="000000"/>
                <w:sz w:val="18"/>
                <w:szCs w:val="18"/>
              </w:rPr>
              <w:t>56 %</w:t>
            </w:r>
          </w:p>
        </w:tc>
        <w:tc>
          <w:tcPr>
            <w:tcW w:w="1090" w:type="dxa"/>
            <w:shd w:val="clear" w:color="auto" w:fill="BFCED6"/>
          </w:tcPr>
          <w:p w14:paraId="44C93DD6" w14:textId="0A280F4E" w:rsidR="00847E82" w:rsidRPr="00C15426" w:rsidRDefault="00847E82" w:rsidP="00847E82">
            <w:pPr>
              <w:jc w:val="center"/>
              <w:rPr>
                <w:rFonts w:ascii="VIC" w:hAnsi="VIC"/>
                <w:sz w:val="18"/>
                <w:szCs w:val="18"/>
              </w:rPr>
            </w:pPr>
            <w:r w:rsidRPr="00427725">
              <w:rPr>
                <w:rFonts w:ascii="VIC" w:eastAsia="Verdana" w:hAnsi="VIC"/>
                <w:color w:val="000000"/>
                <w:sz w:val="18"/>
                <w:szCs w:val="18"/>
              </w:rPr>
              <w:t>17.2</w:t>
            </w:r>
          </w:p>
        </w:tc>
        <w:tc>
          <w:tcPr>
            <w:tcW w:w="1090" w:type="dxa"/>
            <w:shd w:val="clear" w:color="auto" w:fill="BFCED6"/>
          </w:tcPr>
          <w:p w14:paraId="775605E4" w14:textId="3DDFE93F" w:rsidR="00847E82" w:rsidRPr="00C15426"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3A2D0326" w14:textId="5203DB6B" w:rsidR="00847E82" w:rsidRPr="00C15426" w:rsidRDefault="00847E82" w:rsidP="00847E82">
            <w:pPr>
              <w:jc w:val="center"/>
              <w:rPr>
                <w:rFonts w:ascii="VIC" w:hAnsi="VIC"/>
                <w:sz w:val="18"/>
                <w:szCs w:val="18"/>
              </w:rPr>
            </w:pPr>
            <w:r w:rsidRPr="00427725">
              <w:rPr>
                <w:rFonts w:ascii="VIC" w:eastAsia="Verdana" w:hAnsi="VIC"/>
                <w:color w:val="000000"/>
                <w:sz w:val="18"/>
                <w:szCs w:val="18"/>
              </w:rPr>
              <w:t>17.2</w:t>
            </w:r>
          </w:p>
        </w:tc>
        <w:tc>
          <w:tcPr>
            <w:tcW w:w="1090" w:type="dxa"/>
            <w:shd w:val="clear" w:color="auto" w:fill="BFCED6"/>
          </w:tcPr>
          <w:p w14:paraId="6BDEA471" w14:textId="79058749" w:rsidR="00847E82" w:rsidRPr="00C15426" w:rsidRDefault="00847E82" w:rsidP="00847E82">
            <w:pPr>
              <w:jc w:val="center"/>
              <w:rPr>
                <w:rFonts w:ascii="VIC" w:hAnsi="VIC"/>
                <w:sz w:val="18"/>
                <w:szCs w:val="18"/>
              </w:rPr>
            </w:pPr>
            <w:r w:rsidRPr="00427725">
              <w:rPr>
                <w:rFonts w:ascii="VIC" w:eastAsia="Verdana" w:hAnsi="VIC"/>
                <w:color w:val="000000"/>
                <w:sz w:val="18"/>
                <w:szCs w:val="18"/>
              </w:rPr>
              <w:t>11 %</w:t>
            </w:r>
          </w:p>
        </w:tc>
        <w:tc>
          <w:tcPr>
            <w:tcW w:w="1090" w:type="dxa"/>
            <w:shd w:val="clear" w:color="auto" w:fill="BFCED6"/>
          </w:tcPr>
          <w:p w14:paraId="57576282" w14:textId="6423FF8B" w:rsidR="00847E82" w:rsidRPr="00C15426" w:rsidRDefault="00847E82" w:rsidP="00847E82">
            <w:pPr>
              <w:jc w:val="center"/>
              <w:rPr>
                <w:rFonts w:ascii="VIC" w:hAnsi="VIC"/>
                <w:sz w:val="18"/>
                <w:szCs w:val="18"/>
              </w:rPr>
            </w:pPr>
            <w:r w:rsidRPr="00427725">
              <w:rPr>
                <w:rFonts w:ascii="VIC" w:eastAsia="Verdana" w:hAnsi="VIC"/>
                <w:color w:val="000000"/>
                <w:sz w:val="18"/>
                <w:szCs w:val="18"/>
              </w:rPr>
              <w:t>6 %</w:t>
            </w:r>
          </w:p>
        </w:tc>
        <w:tc>
          <w:tcPr>
            <w:tcW w:w="1090" w:type="dxa"/>
            <w:shd w:val="clear" w:color="auto" w:fill="BFCED6"/>
          </w:tcPr>
          <w:p w14:paraId="4E6AFEF3" w14:textId="540F536F" w:rsidR="00847E82" w:rsidRPr="00C15426" w:rsidRDefault="00847E82" w:rsidP="00847E82">
            <w:pPr>
              <w:jc w:val="center"/>
              <w:rPr>
                <w:rFonts w:ascii="VIC" w:hAnsi="VIC"/>
                <w:sz w:val="18"/>
                <w:szCs w:val="18"/>
              </w:rPr>
            </w:pPr>
            <w:r w:rsidRPr="00427725">
              <w:rPr>
                <w:rFonts w:ascii="VIC" w:eastAsia="Verdana" w:hAnsi="VIC"/>
                <w:color w:val="000000"/>
                <w:sz w:val="18"/>
                <w:szCs w:val="18"/>
              </w:rPr>
              <w:t>71 %</w:t>
            </w:r>
          </w:p>
        </w:tc>
        <w:tc>
          <w:tcPr>
            <w:tcW w:w="1091" w:type="dxa"/>
            <w:shd w:val="clear" w:color="auto" w:fill="BFCED6"/>
          </w:tcPr>
          <w:p w14:paraId="79C3956D" w14:textId="6B009E4A" w:rsidR="00847E82" w:rsidRPr="00C15426" w:rsidRDefault="00847E82" w:rsidP="00847E82">
            <w:pPr>
              <w:jc w:val="center"/>
              <w:rPr>
                <w:rFonts w:ascii="VIC" w:hAnsi="VIC"/>
                <w:sz w:val="18"/>
                <w:szCs w:val="18"/>
              </w:rPr>
            </w:pPr>
            <w:r w:rsidRPr="00427725">
              <w:rPr>
                <w:rFonts w:ascii="VIC" w:eastAsia="Verdana" w:hAnsi="VIC"/>
                <w:color w:val="000000"/>
                <w:sz w:val="18"/>
                <w:szCs w:val="18"/>
              </w:rPr>
              <w:t>12.8</w:t>
            </w:r>
          </w:p>
        </w:tc>
      </w:tr>
      <w:tr w:rsidR="00847E82" w:rsidRPr="00A6366B" w14:paraId="40B48340" w14:textId="77777777" w:rsidTr="003330EE">
        <w:trPr>
          <w:trHeight w:val="284"/>
        </w:trPr>
        <w:tc>
          <w:tcPr>
            <w:tcW w:w="1570" w:type="dxa"/>
            <w:shd w:val="clear" w:color="auto" w:fill="FFFFFF" w:themeFill="background1"/>
          </w:tcPr>
          <w:p w14:paraId="7B3E99FE" w14:textId="603FC808" w:rsidR="00847E82" w:rsidRPr="00C15426" w:rsidRDefault="00847E82" w:rsidP="00847E82">
            <w:pPr>
              <w:pStyle w:val="DHHStabletext"/>
              <w:spacing w:before="0" w:after="0"/>
              <w:rPr>
                <w:rFonts w:ascii="VIC" w:hAnsi="VIC"/>
                <w:sz w:val="18"/>
                <w:szCs w:val="18"/>
              </w:rPr>
            </w:pPr>
            <w:r w:rsidRPr="00427725">
              <w:rPr>
                <w:rFonts w:ascii="VIC" w:eastAsia="Verdana" w:hAnsi="VIC"/>
                <w:color w:val="000000"/>
                <w:sz w:val="18"/>
                <w:szCs w:val="18"/>
              </w:rPr>
              <w:t>South West Health</w:t>
            </w:r>
          </w:p>
        </w:tc>
        <w:tc>
          <w:tcPr>
            <w:tcW w:w="2410" w:type="dxa"/>
            <w:shd w:val="clear" w:color="auto" w:fill="FFFFFF" w:themeFill="background1"/>
          </w:tcPr>
          <w:p w14:paraId="2BA68CAD" w14:textId="672F24E4" w:rsidR="00847E82" w:rsidRPr="00C15426" w:rsidRDefault="00847E82" w:rsidP="00847E82">
            <w:pPr>
              <w:pStyle w:val="DHHStabletext"/>
              <w:spacing w:before="0" w:after="0"/>
              <w:rPr>
                <w:rFonts w:ascii="VIC" w:eastAsia="Verdana" w:hAnsi="VIC"/>
                <w:color w:val="000000"/>
                <w:sz w:val="18"/>
                <w:szCs w:val="18"/>
              </w:rPr>
            </w:pPr>
            <w:r w:rsidRPr="00427725">
              <w:rPr>
                <w:rFonts w:ascii="VIC" w:eastAsia="Verdana" w:hAnsi="VIC"/>
                <w:color w:val="000000"/>
                <w:sz w:val="18"/>
                <w:szCs w:val="18"/>
              </w:rPr>
              <w:t>South West Health Care</w:t>
            </w:r>
          </w:p>
        </w:tc>
        <w:tc>
          <w:tcPr>
            <w:tcW w:w="2833" w:type="dxa"/>
            <w:shd w:val="clear" w:color="auto" w:fill="FFFFFF" w:themeFill="background1"/>
          </w:tcPr>
          <w:p w14:paraId="2F6F95CD" w14:textId="26A324AE" w:rsidR="00847E82" w:rsidRPr="00C15426" w:rsidRDefault="00847E82" w:rsidP="00847E82">
            <w:pPr>
              <w:rPr>
                <w:rFonts w:ascii="VIC" w:hAnsi="VIC"/>
                <w:sz w:val="18"/>
                <w:szCs w:val="18"/>
              </w:rPr>
            </w:pPr>
            <w:r w:rsidRPr="00427725">
              <w:rPr>
                <w:rFonts w:ascii="VIC" w:eastAsia="Verdana" w:hAnsi="VIC"/>
                <w:color w:val="000000"/>
                <w:sz w:val="18"/>
                <w:szCs w:val="18"/>
              </w:rPr>
              <w:t>PARC Inpat</w:t>
            </w:r>
          </w:p>
        </w:tc>
        <w:tc>
          <w:tcPr>
            <w:tcW w:w="1090" w:type="dxa"/>
            <w:shd w:val="clear" w:color="auto" w:fill="FFFFFF" w:themeFill="background1"/>
          </w:tcPr>
          <w:p w14:paraId="66D2A1DA" w14:textId="5BC2E0C1" w:rsidR="00847E82" w:rsidRPr="00C15426" w:rsidRDefault="00847E82" w:rsidP="00847E82">
            <w:pPr>
              <w:jc w:val="center"/>
              <w:rPr>
                <w:rFonts w:ascii="VIC" w:hAnsi="VIC"/>
                <w:sz w:val="18"/>
                <w:szCs w:val="18"/>
              </w:rPr>
            </w:pPr>
            <w:r w:rsidRPr="00427725">
              <w:rPr>
                <w:rFonts w:ascii="VIC" w:eastAsia="Verdana" w:hAnsi="VIC"/>
                <w:color w:val="000000"/>
                <w:sz w:val="18"/>
                <w:szCs w:val="18"/>
              </w:rPr>
              <w:t>68 %</w:t>
            </w:r>
          </w:p>
        </w:tc>
        <w:tc>
          <w:tcPr>
            <w:tcW w:w="1090" w:type="dxa"/>
            <w:shd w:val="clear" w:color="auto" w:fill="FFFFFF" w:themeFill="background1"/>
          </w:tcPr>
          <w:p w14:paraId="399813DE" w14:textId="5E353922" w:rsidR="00847E82" w:rsidRPr="00C15426" w:rsidRDefault="00847E82" w:rsidP="00847E82">
            <w:pPr>
              <w:jc w:val="center"/>
              <w:rPr>
                <w:rFonts w:ascii="VIC" w:hAnsi="VIC"/>
                <w:sz w:val="18"/>
                <w:szCs w:val="18"/>
              </w:rPr>
            </w:pPr>
            <w:r w:rsidRPr="00427725">
              <w:rPr>
                <w:rFonts w:ascii="VIC" w:eastAsia="Verdana" w:hAnsi="VIC"/>
                <w:color w:val="000000"/>
                <w:sz w:val="18"/>
                <w:szCs w:val="18"/>
              </w:rPr>
              <w:t>22.7</w:t>
            </w:r>
          </w:p>
        </w:tc>
        <w:tc>
          <w:tcPr>
            <w:tcW w:w="1090" w:type="dxa"/>
            <w:shd w:val="clear" w:color="auto" w:fill="FFFFFF" w:themeFill="background1"/>
          </w:tcPr>
          <w:p w14:paraId="1A3F062A" w14:textId="3ADDB235" w:rsidR="00847E82" w:rsidRPr="00C15426" w:rsidRDefault="00847E82" w:rsidP="00847E82">
            <w:pPr>
              <w:jc w:val="center"/>
              <w:rPr>
                <w:rFonts w:ascii="VIC" w:hAnsi="VIC"/>
                <w:sz w:val="18"/>
                <w:szCs w:val="18"/>
              </w:rPr>
            </w:pPr>
            <w:r w:rsidRPr="00427725">
              <w:rPr>
                <w:rFonts w:ascii="VIC" w:eastAsia="Verdana" w:hAnsi="VIC"/>
                <w:color w:val="000000"/>
                <w:sz w:val="18"/>
                <w:szCs w:val="18"/>
              </w:rPr>
              <w:t>0 %</w:t>
            </w:r>
          </w:p>
        </w:tc>
        <w:tc>
          <w:tcPr>
            <w:tcW w:w="1090" w:type="dxa"/>
            <w:shd w:val="clear" w:color="auto" w:fill="FFFFFF" w:themeFill="background1"/>
          </w:tcPr>
          <w:p w14:paraId="7EDC3CEA" w14:textId="660A6176" w:rsidR="00847E82" w:rsidRPr="00C15426" w:rsidRDefault="00847E82" w:rsidP="00847E82">
            <w:pPr>
              <w:jc w:val="center"/>
              <w:rPr>
                <w:rFonts w:ascii="VIC" w:hAnsi="VIC"/>
                <w:sz w:val="18"/>
                <w:szCs w:val="18"/>
              </w:rPr>
            </w:pPr>
            <w:r w:rsidRPr="00427725">
              <w:rPr>
                <w:rFonts w:ascii="VIC" w:eastAsia="Verdana" w:hAnsi="VIC"/>
                <w:color w:val="000000"/>
                <w:sz w:val="18"/>
                <w:szCs w:val="18"/>
              </w:rPr>
              <w:t>24.6</w:t>
            </w:r>
          </w:p>
        </w:tc>
        <w:tc>
          <w:tcPr>
            <w:tcW w:w="1090" w:type="dxa"/>
            <w:shd w:val="clear" w:color="auto" w:fill="FFFFFF" w:themeFill="background1"/>
          </w:tcPr>
          <w:p w14:paraId="6219DE08" w14:textId="3749CD46" w:rsidR="00847E82" w:rsidRPr="00C15426" w:rsidRDefault="00847E82" w:rsidP="00847E82">
            <w:pPr>
              <w:jc w:val="center"/>
              <w:rPr>
                <w:rFonts w:ascii="VIC" w:hAnsi="VIC"/>
                <w:sz w:val="18"/>
                <w:szCs w:val="18"/>
              </w:rPr>
            </w:pPr>
            <w:r w:rsidRPr="00427725">
              <w:rPr>
                <w:rFonts w:ascii="VIC" w:eastAsia="Verdana" w:hAnsi="VIC"/>
                <w:color w:val="000000"/>
                <w:sz w:val="18"/>
                <w:szCs w:val="18"/>
              </w:rPr>
              <w:t>14 %</w:t>
            </w:r>
          </w:p>
        </w:tc>
        <w:tc>
          <w:tcPr>
            <w:tcW w:w="1090" w:type="dxa"/>
            <w:shd w:val="clear" w:color="auto" w:fill="FFFFFF" w:themeFill="background1"/>
          </w:tcPr>
          <w:p w14:paraId="1567D105" w14:textId="2554D55E" w:rsidR="00847E82" w:rsidRPr="00C15426" w:rsidRDefault="00847E82" w:rsidP="00847E82">
            <w:pPr>
              <w:jc w:val="center"/>
              <w:rPr>
                <w:rFonts w:ascii="VIC" w:hAnsi="VIC"/>
                <w:sz w:val="18"/>
                <w:szCs w:val="18"/>
              </w:rPr>
            </w:pPr>
            <w:r w:rsidRPr="00427725">
              <w:rPr>
                <w:rFonts w:ascii="VIC" w:eastAsia="Verdana" w:hAnsi="VIC"/>
                <w:color w:val="000000"/>
                <w:sz w:val="18"/>
                <w:szCs w:val="18"/>
              </w:rPr>
              <w:t>9 %</w:t>
            </w:r>
          </w:p>
        </w:tc>
        <w:tc>
          <w:tcPr>
            <w:tcW w:w="1090" w:type="dxa"/>
            <w:shd w:val="clear" w:color="auto" w:fill="FFFFFF" w:themeFill="background1"/>
          </w:tcPr>
          <w:p w14:paraId="4ACA66D0" w14:textId="428A2FF2" w:rsidR="00847E82" w:rsidRPr="00C15426" w:rsidRDefault="00847E82" w:rsidP="00847E82">
            <w:pPr>
              <w:jc w:val="center"/>
              <w:rPr>
                <w:rFonts w:ascii="VIC" w:hAnsi="VIC"/>
                <w:sz w:val="18"/>
                <w:szCs w:val="18"/>
              </w:rPr>
            </w:pPr>
            <w:r w:rsidRPr="00427725">
              <w:rPr>
                <w:rFonts w:ascii="VIC" w:eastAsia="Verdana" w:hAnsi="VIC"/>
                <w:color w:val="000000"/>
                <w:sz w:val="18"/>
                <w:szCs w:val="18"/>
              </w:rPr>
              <w:t>87 %</w:t>
            </w:r>
          </w:p>
        </w:tc>
        <w:tc>
          <w:tcPr>
            <w:tcW w:w="1091" w:type="dxa"/>
            <w:shd w:val="clear" w:color="auto" w:fill="FFFFFF" w:themeFill="background1"/>
          </w:tcPr>
          <w:p w14:paraId="51D703AA" w14:textId="4A5E249D" w:rsidR="00847E82" w:rsidRPr="00C15426" w:rsidRDefault="00847E82" w:rsidP="00847E82">
            <w:pPr>
              <w:jc w:val="center"/>
              <w:rPr>
                <w:rFonts w:ascii="VIC" w:hAnsi="VIC"/>
                <w:sz w:val="18"/>
                <w:szCs w:val="18"/>
              </w:rPr>
            </w:pPr>
            <w:r w:rsidRPr="00427725">
              <w:rPr>
                <w:rFonts w:ascii="VIC" w:eastAsia="Verdana" w:hAnsi="VIC"/>
                <w:color w:val="000000"/>
                <w:sz w:val="18"/>
                <w:szCs w:val="18"/>
              </w:rPr>
              <w:t>10.4</w:t>
            </w:r>
          </w:p>
        </w:tc>
      </w:tr>
      <w:tr w:rsidR="00847E82" w:rsidRPr="00847E82" w14:paraId="467EC856" w14:textId="77777777" w:rsidTr="003330EE">
        <w:trPr>
          <w:trHeight w:val="284"/>
        </w:trPr>
        <w:tc>
          <w:tcPr>
            <w:tcW w:w="1570" w:type="dxa"/>
            <w:shd w:val="clear" w:color="auto" w:fill="B1C9E8"/>
          </w:tcPr>
          <w:p w14:paraId="293A85E5" w14:textId="20374F20"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TOTAL RURAL</w:t>
            </w:r>
          </w:p>
        </w:tc>
        <w:tc>
          <w:tcPr>
            <w:tcW w:w="2410" w:type="dxa"/>
            <w:shd w:val="clear" w:color="auto" w:fill="B1C9E8"/>
          </w:tcPr>
          <w:p w14:paraId="452F755D" w14:textId="1BAF797D" w:rsidR="00847E82" w:rsidRPr="00847E82" w:rsidRDefault="00847E82" w:rsidP="00847E82">
            <w:pPr>
              <w:pStyle w:val="DHHStabletext"/>
              <w:spacing w:before="0" w:after="0"/>
              <w:rPr>
                <w:rFonts w:ascii="VIC" w:eastAsia="Verdana" w:hAnsi="VIC" w:cs="Verdana"/>
                <w:color w:val="000000" w:themeColor="text1"/>
                <w:sz w:val="18"/>
                <w:szCs w:val="18"/>
              </w:rPr>
            </w:pPr>
            <w:r w:rsidRPr="00847E82">
              <w:rPr>
                <w:rFonts w:ascii="VIC" w:eastAsia="Verdana" w:hAnsi="VIC"/>
                <w:color w:val="000000" w:themeColor="text1"/>
                <w:sz w:val="18"/>
                <w:szCs w:val="18"/>
              </w:rPr>
              <w:t xml:space="preserve"> </w:t>
            </w:r>
          </w:p>
        </w:tc>
        <w:tc>
          <w:tcPr>
            <w:tcW w:w="2833" w:type="dxa"/>
            <w:shd w:val="clear" w:color="auto" w:fill="B1C9E8"/>
          </w:tcPr>
          <w:p w14:paraId="48B64797" w14:textId="33C60212" w:rsidR="00847E82" w:rsidRPr="00847E82" w:rsidRDefault="00847E82" w:rsidP="00847E82">
            <w:pPr>
              <w:rPr>
                <w:rFonts w:ascii="VIC" w:hAnsi="VIC"/>
                <w:color w:val="000000" w:themeColor="text1"/>
                <w:sz w:val="18"/>
                <w:szCs w:val="18"/>
              </w:rPr>
            </w:pPr>
            <w:r w:rsidRPr="00847E82">
              <w:rPr>
                <w:rFonts w:ascii="VIC" w:eastAsia="Verdana" w:hAnsi="VIC"/>
                <w:color w:val="000000" w:themeColor="text1"/>
                <w:sz w:val="18"/>
                <w:szCs w:val="18"/>
              </w:rPr>
              <w:t xml:space="preserve"> </w:t>
            </w:r>
          </w:p>
        </w:tc>
        <w:tc>
          <w:tcPr>
            <w:tcW w:w="1090" w:type="dxa"/>
            <w:shd w:val="clear" w:color="auto" w:fill="B1C9E8"/>
          </w:tcPr>
          <w:p w14:paraId="13E54313" w14:textId="4E4A4EB2"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77 %</w:t>
            </w:r>
          </w:p>
        </w:tc>
        <w:tc>
          <w:tcPr>
            <w:tcW w:w="1090" w:type="dxa"/>
            <w:shd w:val="clear" w:color="auto" w:fill="B1C9E8"/>
          </w:tcPr>
          <w:p w14:paraId="5D4AF3DC" w14:textId="13B9DA8F"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17.6</w:t>
            </w:r>
          </w:p>
        </w:tc>
        <w:tc>
          <w:tcPr>
            <w:tcW w:w="1090" w:type="dxa"/>
            <w:shd w:val="clear" w:color="auto" w:fill="B1C9E8"/>
          </w:tcPr>
          <w:p w14:paraId="1F7A3576" w14:textId="5C0255E5"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3 %</w:t>
            </w:r>
          </w:p>
        </w:tc>
        <w:tc>
          <w:tcPr>
            <w:tcW w:w="1090" w:type="dxa"/>
            <w:shd w:val="clear" w:color="auto" w:fill="B1C9E8"/>
          </w:tcPr>
          <w:p w14:paraId="2E61B0FB" w14:textId="60A62A00"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22.7</w:t>
            </w:r>
          </w:p>
        </w:tc>
        <w:tc>
          <w:tcPr>
            <w:tcW w:w="1090" w:type="dxa"/>
            <w:shd w:val="clear" w:color="auto" w:fill="B1C9E8"/>
          </w:tcPr>
          <w:p w14:paraId="74CF611A" w14:textId="61A62CD9"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12 %</w:t>
            </w:r>
          </w:p>
        </w:tc>
        <w:tc>
          <w:tcPr>
            <w:tcW w:w="1090" w:type="dxa"/>
            <w:shd w:val="clear" w:color="auto" w:fill="B1C9E8"/>
          </w:tcPr>
          <w:p w14:paraId="52CD0D11" w14:textId="3F135B6C"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7 %</w:t>
            </w:r>
          </w:p>
        </w:tc>
        <w:tc>
          <w:tcPr>
            <w:tcW w:w="1090" w:type="dxa"/>
            <w:shd w:val="clear" w:color="auto" w:fill="B1C9E8"/>
          </w:tcPr>
          <w:p w14:paraId="1F7B314D" w14:textId="64A708DC"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80 %</w:t>
            </w:r>
          </w:p>
        </w:tc>
        <w:tc>
          <w:tcPr>
            <w:tcW w:w="1091" w:type="dxa"/>
            <w:shd w:val="clear" w:color="auto" w:fill="B1C9E8"/>
          </w:tcPr>
          <w:p w14:paraId="541F0E92" w14:textId="770BDCD3" w:rsidR="00847E82" w:rsidRPr="00847E82" w:rsidRDefault="00847E82" w:rsidP="00847E82">
            <w:pPr>
              <w:jc w:val="center"/>
              <w:rPr>
                <w:rFonts w:ascii="VIC" w:hAnsi="VIC"/>
                <w:color w:val="000000" w:themeColor="text1"/>
                <w:sz w:val="18"/>
                <w:szCs w:val="18"/>
              </w:rPr>
            </w:pPr>
            <w:r w:rsidRPr="00847E82">
              <w:rPr>
                <w:rFonts w:ascii="VIC" w:eastAsia="Verdana" w:hAnsi="VIC"/>
                <w:color w:val="000000" w:themeColor="text1"/>
                <w:sz w:val="18"/>
                <w:szCs w:val="18"/>
              </w:rPr>
              <w:t>14.0</w:t>
            </w:r>
          </w:p>
        </w:tc>
      </w:tr>
      <w:tr w:rsidR="00847E82" w:rsidRPr="008D13A2" w14:paraId="06C0BFFE" w14:textId="77777777" w:rsidTr="003330EE">
        <w:trPr>
          <w:trHeight w:val="284"/>
        </w:trPr>
        <w:tc>
          <w:tcPr>
            <w:tcW w:w="1570" w:type="dxa"/>
            <w:shd w:val="clear" w:color="auto" w:fill="244C5A"/>
          </w:tcPr>
          <w:p w14:paraId="08D86828" w14:textId="7664F2F5"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TOTAL STATEWIDE</w:t>
            </w:r>
          </w:p>
        </w:tc>
        <w:tc>
          <w:tcPr>
            <w:tcW w:w="2410" w:type="dxa"/>
            <w:shd w:val="clear" w:color="auto" w:fill="244C5A"/>
          </w:tcPr>
          <w:p w14:paraId="712082FF" w14:textId="651AF884" w:rsidR="00847E82" w:rsidRPr="008D13A2" w:rsidRDefault="00847E82" w:rsidP="00847E82">
            <w:pPr>
              <w:pStyle w:val="DHHStabletext"/>
              <w:spacing w:before="0" w:after="0"/>
              <w:rPr>
                <w:rFonts w:ascii="VIC" w:eastAsia="Verdana" w:hAnsi="VIC" w:cs="Verdana"/>
                <w:color w:val="FFFFFF" w:themeColor="background1"/>
                <w:sz w:val="18"/>
                <w:szCs w:val="18"/>
              </w:rPr>
            </w:pPr>
            <w:r w:rsidRPr="00427725">
              <w:rPr>
                <w:rFonts w:ascii="VIC" w:eastAsia="Verdana" w:hAnsi="VIC"/>
                <w:color w:val="FFFFFF"/>
                <w:sz w:val="18"/>
                <w:szCs w:val="18"/>
              </w:rPr>
              <w:t xml:space="preserve"> </w:t>
            </w:r>
          </w:p>
        </w:tc>
        <w:tc>
          <w:tcPr>
            <w:tcW w:w="2833" w:type="dxa"/>
            <w:shd w:val="clear" w:color="auto" w:fill="244C5A"/>
          </w:tcPr>
          <w:p w14:paraId="074E60E2" w14:textId="24F36719" w:rsidR="00847E82" w:rsidRPr="00C15426" w:rsidRDefault="00847E82" w:rsidP="00847E82">
            <w:pPr>
              <w:rPr>
                <w:rFonts w:ascii="VIC" w:hAnsi="VIC"/>
                <w:color w:val="FFFFFF" w:themeColor="background1"/>
                <w:sz w:val="18"/>
                <w:szCs w:val="18"/>
              </w:rPr>
            </w:pPr>
            <w:r w:rsidRPr="00427725">
              <w:rPr>
                <w:rFonts w:ascii="VIC" w:eastAsia="Verdana" w:hAnsi="VIC"/>
                <w:color w:val="FFFFFF"/>
                <w:sz w:val="18"/>
                <w:szCs w:val="18"/>
              </w:rPr>
              <w:t xml:space="preserve"> </w:t>
            </w:r>
          </w:p>
        </w:tc>
        <w:tc>
          <w:tcPr>
            <w:tcW w:w="1090" w:type="dxa"/>
            <w:shd w:val="clear" w:color="auto" w:fill="244C5A"/>
          </w:tcPr>
          <w:p w14:paraId="64E77579" w14:textId="28C6DDA2"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80 %</w:t>
            </w:r>
          </w:p>
        </w:tc>
        <w:tc>
          <w:tcPr>
            <w:tcW w:w="1090" w:type="dxa"/>
            <w:shd w:val="clear" w:color="auto" w:fill="244C5A"/>
          </w:tcPr>
          <w:p w14:paraId="1E9285B7" w14:textId="7031687D"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19.8</w:t>
            </w:r>
          </w:p>
        </w:tc>
        <w:tc>
          <w:tcPr>
            <w:tcW w:w="1090" w:type="dxa"/>
            <w:shd w:val="clear" w:color="auto" w:fill="244C5A"/>
          </w:tcPr>
          <w:p w14:paraId="76208063" w14:textId="32827F0B"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4 %</w:t>
            </w:r>
          </w:p>
        </w:tc>
        <w:tc>
          <w:tcPr>
            <w:tcW w:w="1090" w:type="dxa"/>
            <w:shd w:val="clear" w:color="auto" w:fill="244C5A"/>
          </w:tcPr>
          <w:p w14:paraId="57EA5E09" w14:textId="535097BF"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23.9</w:t>
            </w:r>
          </w:p>
        </w:tc>
        <w:tc>
          <w:tcPr>
            <w:tcW w:w="1090" w:type="dxa"/>
            <w:shd w:val="clear" w:color="auto" w:fill="244C5A"/>
          </w:tcPr>
          <w:p w14:paraId="552653B6" w14:textId="55DA508E"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10 %</w:t>
            </w:r>
          </w:p>
        </w:tc>
        <w:tc>
          <w:tcPr>
            <w:tcW w:w="1090" w:type="dxa"/>
            <w:shd w:val="clear" w:color="auto" w:fill="244C5A"/>
          </w:tcPr>
          <w:p w14:paraId="3A666228" w14:textId="33512D15"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10 %</w:t>
            </w:r>
          </w:p>
        </w:tc>
        <w:tc>
          <w:tcPr>
            <w:tcW w:w="1090" w:type="dxa"/>
            <w:shd w:val="clear" w:color="auto" w:fill="244C5A"/>
          </w:tcPr>
          <w:p w14:paraId="04D067BC" w14:textId="4C3B3BC5"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89 %</w:t>
            </w:r>
          </w:p>
        </w:tc>
        <w:tc>
          <w:tcPr>
            <w:tcW w:w="1091" w:type="dxa"/>
            <w:shd w:val="clear" w:color="auto" w:fill="244C5A"/>
          </w:tcPr>
          <w:p w14:paraId="4A284A8C" w14:textId="1770D6CD" w:rsidR="00847E82" w:rsidRPr="00C15426" w:rsidRDefault="00847E82" w:rsidP="00847E82">
            <w:pPr>
              <w:jc w:val="center"/>
              <w:rPr>
                <w:rFonts w:ascii="VIC" w:hAnsi="VIC"/>
                <w:color w:val="FFFFFF" w:themeColor="background1"/>
                <w:sz w:val="18"/>
                <w:szCs w:val="18"/>
              </w:rPr>
            </w:pPr>
            <w:r w:rsidRPr="00427725">
              <w:rPr>
                <w:rFonts w:ascii="VIC" w:eastAsia="Verdana" w:hAnsi="VIC"/>
                <w:color w:val="FFFFFF"/>
                <w:sz w:val="18"/>
                <w:szCs w:val="18"/>
              </w:rPr>
              <w:t>13.8</w:t>
            </w:r>
          </w:p>
        </w:tc>
      </w:tr>
    </w:tbl>
    <w:p w14:paraId="4475A85B" w14:textId="77777777" w:rsidR="00C00109" w:rsidRDefault="00C00109" w:rsidP="00E36C2D">
      <w:pPr>
        <w:pStyle w:val="Heading1"/>
        <w:rPr>
          <w:sz w:val="22"/>
          <w:szCs w:val="22"/>
        </w:rPr>
      </w:pPr>
    </w:p>
    <w:p w14:paraId="0D65DB41" w14:textId="77777777" w:rsidR="00C15426" w:rsidRDefault="00C15426">
      <w:pPr>
        <w:widowControl/>
        <w:rPr>
          <w:rFonts w:ascii="VIC Medium" w:eastAsia="MS Gothic" w:hAnsi="VIC Medium" w:cs="Arial"/>
          <w:bCs/>
          <w:color w:val="2E5E6D"/>
          <w:kern w:val="32"/>
          <w:lang w:val="en-AU"/>
        </w:rPr>
      </w:pPr>
      <w:r>
        <w:br w:type="page"/>
      </w:r>
    </w:p>
    <w:p w14:paraId="162C6D25" w14:textId="401F5753" w:rsidR="00CF11E1" w:rsidRDefault="005A5E67" w:rsidP="00E36C2D">
      <w:pPr>
        <w:pStyle w:val="Heading1"/>
        <w:rPr>
          <w:sz w:val="22"/>
          <w:szCs w:val="22"/>
        </w:rPr>
      </w:pPr>
      <w:bookmarkStart w:id="14" w:name="_Toc37867226"/>
      <w:r>
        <w:rPr>
          <w:sz w:val="22"/>
          <w:szCs w:val="22"/>
        </w:rPr>
        <w:lastRenderedPageBreak/>
        <w:t>Indicator descriptions and notes</w:t>
      </w:r>
      <w:bookmarkEnd w:id="14"/>
    </w:p>
    <w:p w14:paraId="109FF7A2" w14:textId="1477E6E6" w:rsidR="00C00109" w:rsidRDefault="00C00109" w:rsidP="00C00109">
      <w:pPr>
        <w:pStyle w:val="VAHIbody"/>
        <w:spacing w:line="240" w:lineRule="auto"/>
        <w:rPr>
          <w:rFonts w:eastAsia="Calibri"/>
          <w:color w:val="696969"/>
          <w:sz w:val="18"/>
          <w:szCs w:val="18"/>
          <w:lang w:val="en-US"/>
        </w:rPr>
      </w:pPr>
      <w:bookmarkStart w:id="15"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5"/>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C29FF" w:rsidRPr="0069621D" w14:paraId="1B57C156" w14:textId="77777777" w:rsidTr="000B0CCC">
        <w:trPr>
          <w:cantSplit/>
        </w:trPr>
        <w:tc>
          <w:tcPr>
            <w:tcW w:w="1702" w:type="dxa"/>
            <w:shd w:val="clear" w:color="auto" w:fill="auto"/>
          </w:tcPr>
          <w:p w14:paraId="2927A24D" w14:textId="02780760" w:rsidR="003C29FF" w:rsidRPr="00C15426" w:rsidRDefault="003C29FF" w:rsidP="003C29FF">
            <w:pPr>
              <w:pStyle w:val="VAHItabletext"/>
              <w:rPr>
                <w:color w:val="696969"/>
                <w:szCs w:val="18"/>
              </w:rPr>
            </w:pPr>
            <w:r w:rsidRPr="00C15426">
              <w:rPr>
                <w:color w:val="696969"/>
              </w:rPr>
              <w:t>Residential (CCU)</w:t>
            </w:r>
          </w:p>
        </w:tc>
        <w:tc>
          <w:tcPr>
            <w:tcW w:w="1842" w:type="dxa"/>
          </w:tcPr>
          <w:p w14:paraId="708A1C17" w14:textId="413EA645" w:rsidR="003C29FF" w:rsidRPr="00C15426" w:rsidRDefault="003C29FF" w:rsidP="003C29FF">
            <w:pPr>
              <w:pStyle w:val="VAHItabletext"/>
              <w:rPr>
                <w:rFonts w:eastAsia="Verdana" w:cs="Verdana"/>
                <w:color w:val="696969"/>
                <w:szCs w:val="18"/>
              </w:rPr>
            </w:pPr>
            <w:r w:rsidRPr="00C15426">
              <w:rPr>
                <w:color w:val="696969"/>
              </w:rPr>
              <w:t>Beds per 10,000 population</w:t>
            </w:r>
          </w:p>
        </w:tc>
        <w:tc>
          <w:tcPr>
            <w:tcW w:w="5103" w:type="dxa"/>
          </w:tcPr>
          <w:p w14:paraId="7D64A06D" w14:textId="3A014A5E" w:rsidR="003C29FF" w:rsidRPr="00C15426" w:rsidRDefault="003C29FF" w:rsidP="003C29FF">
            <w:pPr>
              <w:pStyle w:val="VAHItabletext"/>
              <w:rPr>
                <w:rFonts w:eastAsia="Verdana" w:cs="Verdana"/>
                <w:color w:val="696969"/>
                <w:szCs w:val="18"/>
              </w:rPr>
            </w:pPr>
            <w:r w:rsidRPr="00C15426">
              <w:rPr>
                <w:color w:val="696969"/>
              </w:rPr>
              <w:t>Number of funded residential community care unit (CCU) beds per 10,000 population aged 18 to 64 years in the area mental health service.</w:t>
            </w:r>
          </w:p>
        </w:tc>
        <w:tc>
          <w:tcPr>
            <w:tcW w:w="1559" w:type="dxa"/>
          </w:tcPr>
          <w:p w14:paraId="186B8264" w14:textId="77777777" w:rsidR="003C29FF" w:rsidRPr="00C15426" w:rsidRDefault="003C29FF" w:rsidP="003C29FF">
            <w:pPr>
              <w:pStyle w:val="VAHItabletext"/>
              <w:rPr>
                <w:color w:val="696969"/>
                <w:szCs w:val="18"/>
              </w:rPr>
            </w:pPr>
          </w:p>
        </w:tc>
        <w:tc>
          <w:tcPr>
            <w:tcW w:w="4820" w:type="dxa"/>
          </w:tcPr>
          <w:p w14:paraId="6F75F57D" w14:textId="248891B6" w:rsidR="003C29FF" w:rsidRPr="00C15426" w:rsidRDefault="003C29FF" w:rsidP="003C29FF">
            <w:pPr>
              <w:pStyle w:val="VAHItabletext"/>
              <w:rPr>
                <w:rFonts w:eastAsia="Verdana" w:cs="Verdana"/>
                <w:color w:val="696969"/>
                <w:szCs w:val="18"/>
              </w:rPr>
            </w:pPr>
            <w:r w:rsidRPr="00C15426">
              <w:rPr>
                <w:color w:val="696969"/>
              </w:rPr>
              <w:t>Population estimates are based on Victoria in Future 2016.</w:t>
            </w:r>
          </w:p>
        </w:tc>
      </w:tr>
      <w:tr w:rsidR="003C29FF" w:rsidRPr="0069621D" w14:paraId="16D49F57" w14:textId="77777777" w:rsidTr="000B0CCC">
        <w:trPr>
          <w:cantSplit/>
        </w:trPr>
        <w:tc>
          <w:tcPr>
            <w:tcW w:w="1702" w:type="dxa"/>
            <w:shd w:val="clear" w:color="auto" w:fill="auto"/>
          </w:tcPr>
          <w:p w14:paraId="10A0BCB6" w14:textId="77777777" w:rsidR="003C29FF" w:rsidRPr="00C15426" w:rsidRDefault="003C29FF" w:rsidP="003C29FF">
            <w:pPr>
              <w:pStyle w:val="VAHItabletext"/>
              <w:rPr>
                <w:color w:val="696969"/>
                <w:szCs w:val="18"/>
              </w:rPr>
            </w:pPr>
          </w:p>
        </w:tc>
        <w:tc>
          <w:tcPr>
            <w:tcW w:w="1842" w:type="dxa"/>
          </w:tcPr>
          <w:p w14:paraId="01745C00" w14:textId="19C05D11" w:rsidR="003C29FF" w:rsidRPr="00C15426" w:rsidRDefault="003C29FF" w:rsidP="003C29FF">
            <w:pPr>
              <w:pStyle w:val="VAHItabletext"/>
              <w:rPr>
                <w:rFonts w:eastAsia="Verdana" w:cs="Verdana"/>
                <w:color w:val="696969"/>
                <w:szCs w:val="18"/>
              </w:rPr>
            </w:pPr>
            <w:r w:rsidRPr="00C15426">
              <w:rPr>
                <w:color w:val="696969"/>
              </w:rPr>
              <w:t>Bed occupancy (incl leave)</w:t>
            </w:r>
          </w:p>
        </w:tc>
        <w:tc>
          <w:tcPr>
            <w:tcW w:w="5103" w:type="dxa"/>
          </w:tcPr>
          <w:p w14:paraId="67FA2338" w14:textId="51B90BFA" w:rsidR="003C29FF" w:rsidRPr="00C15426" w:rsidRDefault="003C29FF" w:rsidP="003C29FF">
            <w:pPr>
              <w:pStyle w:val="VAHItabletext"/>
              <w:rPr>
                <w:rFonts w:eastAsia="Verdana" w:cs="Verdana"/>
                <w:color w:val="696969"/>
                <w:szCs w:val="18"/>
              </w:rPr>
            </w:pPr>
            <w:r w:rsidRPr="00C15426">
              <w:rPr>
                <w:color w:val="696969"/>
              </w:rPr>
              <w:t>Rate of occupied bed hours (including leave) per funded bed hours within residential community care units (CCU).</w:t>
            </w:r>
          </w:p>
        </w:tc>
        <w:tc>
          <w:tcPr>
            <w:tcW w:w="1559" w:type="dxa"/>
          </w:tcPr>
          <w:p w14:paraId="02261688" w14:textId="77777777" w:rsidR="003C29FF" w:rsidRPr="00C15426" w:rsidRDefault="003C29FF" w:rsidP="003C29FF">
            <w:pPr>
              <w:pStyle w:val="VAHItabletext"/>
              <w:rPr>
                <w:color w:val="696969"/>
                <w:szCs w:val="18"/>
              </w:rPr>
            </w:pPr>
          </w:p>
        </w:tc>
        <w:tc>
          <w:tcPr>
            <w:tcW w:w="4820" w:type="dxa"/>
          </w:tcPr>
          <w:p w14:paraId="0A3B0FAA" w14:textId="430D68D6" w:rsidR="003C29FF" w:rsidRPr="00C15426" w:rsidRDefault="003C29FF" w:rsidP="003C29FF">
            <w:pPr>
              <w:pStyle w:val="VAHItabletext"/>
              <w:rPr>
                <w:rFonts w:eastAsia="Verdana" w:cs="Verdana"/>
                <w:color w:val="696969"/>
                <w:szCs w:val="18"/>
              </w:rPr>
            </w:pPr>
          </w:p>
        </w:tc>
      </w:tr>
      <w:tr w:rsidR="003C29FF" w:rsidRPr="0069621D" w14:paraId="42567377" w14:textId="77777777" w:rsidTr="000B0CCC">
        <w:trPr>
          <w:cantSplit/>
        </w:trPr>
        <w:tc>
          <w:tcPr>
            <w:tcW w:w="1702" w:type="dxa"/>
            <w:shd w:val="clear" w:color="auto" w:fill="auto"/>
          </w:tcPr>
          <w:p w14:paraId="75F18803" w14:textId="77777777" w:rsidR="003C29FF" w:rsidRPr="00C15426" w:rsidRDefault="003C29FF" w:rsidP="003C29FF">
            <w:pPr>
              <w:pStyle w:val="VAHItabletext"/>
              <w:rPr>
                <w:color w:val="696969"/>
                <w:szCs w:val="18"/>
              </w:rPr>
            </w:pPr>
          </w:p>
        </w:tc>
        <w:tc>
          <w:tcPr>
            <w:tcW w:w="1842" w:type="dxa"/>
          </w:tcPr>
          <w:p w14:paraId="4DFBCD9E" w14:textId="4799D8D4" w:rsidR="003C29FF" w:rsidRPr="00C15426" w:rsidRDefault="003C29FF" w:rsidP="003C29FF">
            <w:pPr>
              <w:pStyle w:val="VAHItabletext"/>
              <w:rPr>
                <w:rFonts w:eastAsia="Verdana" w:cs="Verdana"/>
                <w:color w:val="696969"/>
                <w:szCs w:val="18"/>
              </w:rPr>
            </w:pPr>
            <w:r w:rsidRPr="00C15426">
              <w:rPr>
                <w:color w:val="696969"/>
              </w:rPr>
              <w:t>Leave days per occupied bed days</w:t>
            </w:r>
          </w:p>
        </w:tc>
        <w:tc>
          <w:tcPr>
            <w:tcW w:w="5103" w:type="dxa"/>
          </w:tcPr>
          <w:p w14:paraId="500C05A2" w14:textId="0DFCE287" w:rsidR="003C29FF" w:rsidRPr="00C15426" w:rsidRDefault="003C29FF" w:rsidP="003C29FF">
            <w:pPr>
              <w:pStyle w:val="VAHItabletext"/>
              <w:rPr>
                <w:rFonts w:eastAsia="Verdana" w:cs="Verdana"/>
                <w:color w:val="696969"/>
                <w:szCs w:val="18"/>
              </w:rPr>
            </w:pPr>
            <w:r w:rsidRPr="00C15426">
              <w:rPr>
                <w:color w:val="696969"/>
              </w:rPr>
              <w:t>Rate of leave days per occupied bed days within a residential unit.</w:t>
            </w:r>
          </w:p>
        </w:tc>
        <w:tc>
          <w:tcPr>
            <w:tcW w:w="1559" w:type="dxa"/>
          </w:tcPr>
          <w:p w14:paraId="7840EC84" w14:textId="398B0AEB" w:rsidR="003C29FF" w:rsidRPr="00C15426" w:rsidRDefault="003C29FF" w:rsidP="003C29FF">
            <w:pPr>
              <w:pStyle w:val="VAHItabletext"/>
              <w:rPr>
                <w:rFonts w:eastAsia="Verdana" w:cs="Verdana"/>
                <w:color w:val="696969"/>
                <w:szCs w:val="18"/>
              </w:rPr>
            </w:pPr>
          </w:p>
        </w:tc>
        <w:tc>
          <w:tcPr>
            <w:tcW w:w="4820" w:type="dxa"/>
          </w:tcPr>
          <w:p w14:paraId="6DBE8DE5" w14:textId="6650AACC" w:rsidR="003C29FF" w:rsidRPr="00C15426" w:rsidRDefault="003C29FF" w:rsidP="003C29FF">
            <w:pPr>
              <w:pStyle w:val="VAHItabletext"/>
              <w:rPr>
                <w:rFonts w:eastAsia="Verdana" w:cs="Verdana"/>
                <w:color w:val="696969"/>
                <w:szCs w:val="18"/>
              </w:rPr>
            </w:pPr>
            <w:r w:rsidRPr="00C15426">
              <w:rPr>
                <w:color w:val="696969"/>
              </w:rPr>
              <w:t>Measure can provide context around whether high levels of leave could be managed in a less restrictive environment.</w:t>
            </w:r>
          </w:p>
        </w:tc>
      </w:tr>
      <w:tr w:rsidR="003C29FF" w:rsidRPr="0069621D" w14:paraId="02CA2FC1" w14:textId="77777777" w:rsidTr="000B0CCC">
        <w:trPr>
          <w:cantSplit/>
        </w:trPr>
        <w:tc>
          <w:tcPr>
            <w:tcW w:w="1702" w:type="dxa"/>
            <w:shd w:val="clear" w:color="auto" w:fill="auto"/>
          </w:tcPr>
          <w:p w14:paraId="09987E04" w14:textId="77777777" w:rsidR="003C29FF" w:rsidRPr="00C15426" w:rsidRDefault="003C29FF" w:rsidP="003C29FF">
            <w:pPr>
              <w:pStyle w:val="VAHItabletext"/>
              <w:rPr>
                <w:color w:val="696969"/>
                <w:szCs w:val="18"/>
              </w:rPr>
            </w:pPr>
          </w:p>
        </w:tc>
        <w:tc>
          <w:tcPr>
            <w:tcW w:w="1842" w:type="dxa"/>
          </w:tcPr>
          <w:p w14:paraId="3A271481" w14:textId="2A7EB217" w:rsidR="003C29FF" w:rsidRPr="00C15426" w:rsidRDefault="003C29FF" w:rsidP="003C29FF">
            <w:pPr>
              <w:pStyle w:val="VAHItabletext"/>
              <w:rPr>
                <w:rFonts w:eastAsia="Verdana" w:cs="Verdana"/>
                <w:color w:val="696969"/>
                <w:szCs w:val="18"/>
              </w:rPr>
            </w:pPr>
            <w:r w:rsidRPr="00C15426">
              <w:rPr>
                <w:color w:val="696969"/>
              </w:rPr>
              <w:t>Average duration of treatment to date (days)</w:t>
            </w:r>
          </w:p>
        </w:tc>
        <w:tc>
          <w:tcPr>
            <w:tcW w:w="5103" w:type="dxa"/>
          </w:tcPr>
          <w:p w14:paraId="084A636C" w14:textId="0D03F22E" w:rsidR="003C29FF" w:rsidRPr="00C15426" w:rsidRDefault="003C29FF" w:rsidP="003C29FF">
            <w:pPr>
              <w:pStyle w:val="VAHItabletext"/>
              <w:rPr>
                <w:rFonts w:eastAsia="Verdana" w:cs="Verdana"/>
                <w:color w:val="696969"/>
                <w:szCs w:val="18"/>
              </w:rPr>
            </w:pPr>
            <w:r w:rsidRPr="00C15426">
              <w:rPr>
                <w:color w:val="696969"/>
              </w:rPr>
              <w:t>Average duration of care to date (days) within a residential unit, including leave.</w:t>
            </w:r>
          </w:p>
        </w:tc>
        <w:tc>
          <w:tcPr>
            <w:tcW w:w="1559" w:type="dxa"/>
          </w:tcPr>
          <w:p w14:paraId="28D4CF72" w14:textId="297AC286" w:rsidR="003C29FF" w:rsidRPr="00C15426" w:rsidRDefault="003C29FF" w:rsidP="003C29FF">
            <w:pPr>
              <w:pStyle w:val="VAHItabletext"/>
              <w:rPr>
                <w:rFonts w:eastAsia="Verdana" w:cs="Verdana"/>
                <w:color w:val="696969"/>
                <w:szCs w:val="18"/>
              </w:rPr>
            </w:pPr>
          </w:p>
        </w:tc>
        <w:tc>
          <w:tcPr>
            <w:tcW w:w="4820" w:type="dxa"/>
          </w:tcPr>
          <w:p w14:paraId="07271E83" w14:textId="0A85119A" w:rsidR="003C29FF" w:rsidRPr="00C15426" w:rsidRDefault="003C29FF" w:rsidP="003C29FF">
            <w:pPr>
              <w:pStyle w:val="VAHItabletext"/>
              <w:rPr>
                <w:rFonts w:eastAsia="Verdana" w:cs="Verdana"/>
                <w:color w:val="696969"/>
                <w:szCs w:val="18"/>
              </w:rPr>
            </w:pPr>
            <w:r w:rsidRPr="00C15426">
              <w:rPr>
                <w:color w:val="696969"/>
              </w:rPr>
              <w:t>This measure reports the actual length of care for services and is not dependant on separations or admission events.</w:t>
            </w:r>
          </w:p>
        </w:tc>
      </w:tr>
      <w:tr w:rsidR="003C29FF" w:rsidRPr="0069621D" w14:paraId="592AF5BC" w14:textId="77777777" w:rsidTr="000B0CCC">
        <w:trPr>
          <w:cantSplit/>
        </w:trPr>
        <w:tc>
          <w:tcPr>
            <w:tcW w:w="1702" w:type="dxa"/>
            <w:shd w:val="clear" w:color="auto" w:fill="auto"/>
          </w:tcPr>
          <w:p w14:paraId="2196C061" w14:textId="77777777" w:rsidR="003C29FF" w:rsidRPr="00C15426" w:rsidRDefault="003C29FF" w:rsidP="003C29FF">
            <w:pPr>
              <w:pStyle w:val="VAHItabletext"/>
              <w:rPr>
                <w:color w:val="696969"/>
                <w:szCs w:val="18"/>
              </w:rPr>
            </w:pPr>
          </w:p>
        </w:tc>
        <w:tc>
          <w:tcPr>
            <w:tcW w:w="1842" w:type="dxa"/>
          </w:tcPr>
          <w:p w14:paraId="2F5F04BC" w14:textId="78260874" w:rsidR="003C29FF" w:rsidRPr="00C15426" w:rsidRDefault="003C29FF" w:rsidP="003C29FF">
            <w:pPr>
              <w:pStyle w:val="VAHItabletext"/>
              <w:rPr>
                <w:rFonts w:eastAsia="Verdana" w:cs="Verdana"/>
                <w:color w:val="696969"/>
                <w:szCs w:val="18"/>
              </w:rPr>
            </w:pPr>
            <w:r w:rsidRPr="00C15426">
              <w:rPr>
                <w:color w:val="696969"/>
              </w:rPr>
              <w:t>Consumers concurrently on a CTO</w:t>
            </w:r>
          </w:p>
        </w:tc>
        <w:tc>
          <w:tcPr>
            <w:tcW w:w="5103" w:type="dxa"/>
          </w:tcPr>
          <w:p w14:paraId="6B457351" w14:textId="55BF4E64" w:rsidR="003C29FF" w:rsidRPr="00C15426" w:rsidRDefault="003C29FF" w:rsidP="003C29FF">
            <w:pPr>
              <w:pStyle w:val="VAHItabletext"/>
              <w:rPr>
                <w:rFonts w:eastAsia="Verdana" w:cs="Verdana"/>
                <w:color w:val="696969"/>
                <w:szCs w:val="18"/>
              </w:rPr>
            </w:pPr>
            <w:r w:rsidRPr="00C15426">
              <w:rPr>
                <w:color w:val="696969"/>
              </w:rPr>
              <w:t>Percentage of open residential episodes where the consumer was concurrently on a Community Treatment Order (CTO).</w:t>
            </w:r>
          </w:p>
        </w:tc>
        <w:tc>
          <w:tcPr>
            <w:tcW w:w="1559" w:type="dxa"/>
          </w:tcPr>
          <w:p w14:paraId="6265CE27" w14:textId="14D4A2B9" w:rsidR="003C29FF" w:rsidRPr="00C15426" w:rsidRDefault="003C29FF" w:rsidP="003C29FF">
            <w:pPr>
              <w:pStyle w:val="VAHItabletext"/>
              <w:rPr>
                <w:rFonts w:eastAsia="Verdana" w:cs="Verdana"/>
                <w:color w:val="696969"/>
                <w:szCs w:val="18"/>
              </w:rPr>
            </w:pPr>
          </w:p>
        </w:tc>
        <w:tc>
          <w:tcPr>
            <w:tcW w:w="4820" w:type="dxa"/>
          </w:tcPr>
          <w:p w14:paraId="58AF53B4" w14:textId="5B4D764C" w:rsidR="003C29FF" w:rsidRPr="00C15426" w:rsidRDefault="003C29FF" w:rsidP="003C29FF">
            <w:pPr>
              <w:tabs>
                <w:tab w:val="left" w:pos="1320"/>
              </w:tabs>
              <w:rPr>
                <w:rFonts w:ascii="VIC" w:hAnsi="VIC"/>
                <w:color w:val="696969"/>
                <w:sz w:val="18"/>
                <w:szCs w:val="18"/>
                <w:lang w:val="en-AU"/>
              </w:rPr>
            </w:pPr>
            <w:r w:rsidRPr="00C15426">
              <w:rPr>
                <w:rFonts w:ascii="VIC" w:hAnsi="VIC"/>
                <w:color w:val="696969"/>
                <w:sz w:val="18"/>
                <w:szCs w:val="18"/>
              </w:rPr>
              <w:t>Measure counts distinct episodes and not distinct consumers (a consumer may have more than 1 episode open during the reference period).</w:t>
            </w:r>
          </w:p>
        </w:tc>
      </w:tr>
      <w:tr w:rsidR="003C29FF" w:rsidRPr="0069621D" w14:paraId="781F5EBD" w14:textId="77777777" w:rsidTr="000B0CCC">
        <w:trPr>
          <w:cantSplit/>
        </w:trPr>
        <w:tc>
          <w:tcPr>
            <w:tcW w:w="1702" w:type="dxa"/>
            <w:shd w:val="clear" w:color="auto" w:fill="auto"/>
          </w:tcPr>
          <w:p w14:paraId="602202DD" w14:textId="77777777" w:rsidR="003C29FF" w:rsidRPr="00C15426" w:rsidRDefault="003C29FF" w:rsidP="003C29FF">
            <w:pPr>
              <w:pStyle w:val="VAHItabletext"/>
              <w:rPr>
                <w:color w:val="696969"/>
                <w:szCs w:val="18"/>
              </w:rPr>
            </w:pPr>
          </w:p>
        </w:tc>
        <w:tc>
          <w:tcPr>
            <w:tcW w:w="1842" w:type="dxa"/>
          </w:tcPr>
          <w:p w14:paraId="13D4C2C3" w14:textId="758B00B7" w:rsidR="003C29FF" w:rsidRPr="00C15426" w:rsidRDefault="003C29FF" w:rsidP="003C29FF">
            <w:pPr>
              <w:pStyle w:val="VAHItabletext"/>
              <w:rPr>
                <w:rFonts w:eastAsia="Verdana" w:cs="Verdana"/>
                <w:color w:val="696969"/>
                <w:szCs w:val="18"/>
              </w:rPr>
            </w:pPr>
            <w:r w:rsidRPr="00C15426">
              <w:rPr>
                <w:color w:val="696969"/>
              </w:rPr>
              <w:t>HoNOS compliance</w:t>
            </w:r>
          </w:p>
        </w:tc>
        <w:tc>
          <w:tcPr>
            <w:tcW w:w="5103" w:type="dxa"/>
          </w:tcPr>
          <w:p w14:paraId="64406A96" w14:textId="5F524627" w:rsidR="003C29FF" w:rsidRPr="00C15426" w:rsidRDefault="003C29FF" w:rsidP="003C29FF">
            <w:pPr>
              <w:pStyle w:val="VAHItabletext"/>
              <w:rPr>
                <w:rFonts w:eastAsia="Verdana" w:cs="Verdana"/>
                <w:color w:val="696969"/>
                <w:szCs w:val="18"/>
              </w:rPr>
            </w:pPr>
            <w:r w:rsidRPr="00C15426">
              <w:rPr>
                <w:color w:val="696969"/>
              </w:rPr>
              <w:t>Percentage of required collection events in a residential unit where a HoNOS outcome measurement scale (HNSADL/HoNOS65) was completed, excluding invalid HoNOS scores (more than two times rated as '9').</w:t>
            </w:r>
          </w:p>
        </w:tc>
        <w:tc>
          <w:tcPr>
            <w:tcW w:w="1559" w:type="dxa"/>
          </w:tcPr>
          <w:p w14:paraId="1645DBBB" w14:textId="0A5C126E" w:rsidR="003C29FF" w:rsidRPr="00C15426" w:rsidRDefault="003C29FF" w:rsidP="003C29FF">
            <w:pPr>
              <w:pStyle w:val="VAHItabletext"/>
              <w:rPr>
                <w:rFonts w:eastAsia="Verdana" w:cs="Verdana"/>
                <w:color w:val="696969"/>
                <w:szCs w:val="18"/>
              </w:rPr>
            </w:pPr>
            <w:r w:rsidRPr="00C15426">
              <w:rPr>
                <w:color w:val="696969"/>
              </w:rPr>
              <w:t>85.0 %</w:t>
            </w:r>
          </w:p>
        </w:tc>
        <w:tc>
          <w:tcPr>
            <w:tcW w:w="4820" w:type="dxa"/>
          </w:tcPr>
          <w:p w14:paraId="110B433E" w14:textId="55F7B052" w:rsidR="003C29FF" w:rsidRPr="00C15426" w:rsidRDefault="003C29FF" w:rsidP="003C29FF">
            <w:pPr>
              <w:pStyle w:val="VAHItabletext"/>
              <w:rPr>
                <w:rFonts w:eastAsia="Verdana" w:cs="Verdana"/>
                <w:color w:val="696969"/>
                <w:szCs w:val="18"/>
              </w:rPr>
            </w:pPr>
            <w:r w:rsidRPr="00C15426">
              <w:rPr>
                <w:color w:val="696969"/>
              </w:rPr>
              <w:t>Results during 2011, 2012, 2016 and 2017 were affected by industrial activity and should be interpreted with caution.</w:t>
            </w:r>
          </w:p>
        </w:tc>
      </w:tr>
      <w:tr w:rsidR="003C29FF" w:rsidRPr="0069621D" w14:paraId="057BE954" w14:textId="77777777" w:rsidTr="000B0CCC">
        <w:trPr>
          <w:cantSplit/>
        </w:trPr>
        <w:tc>
          <w:tcPr>
            <w:tcW w:w="1702" w:type="dxa"/>
            <w:shd w:val="clear" w:color="auto" w:fill="auto"/>
          </w:tcPr>
          <w:p w14:paraId="668261DC" w14:textId="77777777" w:rsidR="003C29FF" w:rsidRPr="00C15426" w:rsidRDefault="003C29FF" w:rsidP="003C29FF">
            <w:pPr>
              <w:pStyle w:val="VAHItabletext"/>
              <w:rPr>
                <w:color w:val="696969"/>
                <w:szCs w:val="18"/>
              </w:rPr>
            </w:pPr>
          </w:p>
        </w:tc>
        <w:tc>
          <w:tcPr>
            <w:tcW w:w="1842" w:type="dxa"/>
          </w:tcPr>
          <w:p w14:paraId="32F10FA9" w14:textId="5C128B73" w:rsidR="003C29FF" w:rsidRPr="00C15426" w:rsidRDefault="003C29FF" w:rsidP="003C29FF">
            <w:pPr>
              <w:pStyle w:val="VAHItabletext"/>
              <w:rPr>
                <w:rFonts w:eastAsia="Verdana" w:cs="Verdana"/>
                <w:color w:val="696969"/>
                <w:szCs w:val="18"/>
              </w:rPr>
            </w:pPr>
            <w:r w:rsidRPr="00C15426">
              <w:rPr>
                <w:color w:val="696969"/>
              </w:rPr>
              <w:t>Average HoNOS at episode start</w:t>
            </w:r>
          </w:p>
        </w:tc>
        <w:tc>
          <w:tcPr>
            <w:tcW w:w="5103" w:type="dxa"/>
          </w:tcPr>
          <w:p w14:paraId="64F29EF5" w14:textId="1FD39B3D" w:rsidR="003C29FF" w:rsidRPr="00C15426" w:rsidRDefault="003C29FF" w:rsidP="003C29FF">
            <w:pPr>
              <w:pStyle w:val="VAHItabletext"/>
              <w:rPr>
                <w:rFonts w:eastAsia="Verdana" w:cs="Verdana"/>
                <w:color w:val="696969"/>
                <w:szCs w:val="18"/>
              </w:rPr>
            </w:pPr>
            <w:r w:rsidRPr="00C15426">
              <w:rPr>
                <w:color w:val="696969"/>
              </w:rPr>
              <w:t>Average HoNOS total score (HNSADL/HoNOS65) collected on residential episode start, excluding invalid HoNOS scores (more than two times rated as '9').</w:t>
            </w:r>
          </w:p>
        </w:tc>
        <w:tc>
          <w:tcPr>
            <w:tcW w:w="1559" w:type="dxa"/>
          </w:tcPr>
          <w:p w14:paraId="4AC911AB" w14:textId="0A8CE63C" w:rsidR="003C29FF" w:rsidRPr="00C15426" w:rsidRDefault="003C29FF" w:rsidP="003C29FF">
            <w:pPr>
              <w:pStyle w:val="VAHItabletext"/>
              <w:rPr>
                <w:rFonts w:eastAsia="Verdana" w:cs="Verdana"/>
                <w:color w:val="696969"/>
                <w:szCs w:val="18"/>
              </w:rPr>
            </w:pPr>
          </w:p>
        </w:tc>
        <w:tc>
          <w:tcPr>
            <w:tcW w:w="4820" w:type="dxa"/>
          </w:tcPr>
          <w:p w14:paraId="1EB79FD8" w14:textId="10C21124" w:rsidR="003C29FF" w:rsidRPr="00C15426" w:rsidRDefault="003C29FF" w:rsidP="003C29FF">
            <w:pPr>
              <w:pStyle w:val="VAHItabletext"/>
              <w:rPr>
                <w:rFonts w:eastAsia="Verdana" w:cs="Verdana"/>
                <w:color w:val="696969"/>
                <w:szCs w:val="18"/>
              </w:rPr>
            </w:pPr>
            <w:r w:rsidRPr="00C15426">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3C29FF" w:rsidRPr="0069621D" w14:paraId="1501EE19" w14:textId="77777777" w:rsidTr="000B0CCC">
        <w:trPr>
          <w:cantSplit/>
        </w:trPr>
        <w:tc>
          <w:tcPr>
            <w:tcW w:w="1702" w:type="dxa"/>
            <w:shd w:val="clear" w:color="auto" w:fill="auto"/>
          </w:tcPr>
          <w:p w14:paraId="7DB2F668" w14:textId="00185358" w:rsidR="003C29FF" w:rsidRPr="00C15426" w:rsidRDefault="003C29FF" w:rsidP="003C29FF">
            <w:pPr>
              <w:pStyle w:val="VAHItabletext"/>
              <w:rPr>
                <w:color w:val="696969"/>
                <w:szCs w:val="18"/>
              </w:rPr>
            </w:pPr>
          </w:p>
        </w:tc>
        <w:tc>
          <w:tcPr>
            <w:tcW w:w="1842" w:type="dxa"/>
          </w:tcPr>
          <w:p w14:paraId="55A3EB24" w14:textId="41CB1B40" w:rsidR="003C29FF" w:rsidRPr="00C15426" w:rsidRDefault="003C29FF" w:rsidP="003C29FF">
            <w:pPr>
              <w:pStyle w:val="VAHItabletext"/>
              <w:rPr>
                <w:rFonts w:eastAsia="Verdana" w:cs="Verdana"/>
                <w:color w:val="696969"/>
                <w:szCs w:val="18"/>
              </w:rPr>
            </w:pPr>
            <w:r w:rsidRPr="00C15426">
              <w:rPr>
                <w:color w:val="696969"/>
              </w:rPr>
              <w:t>BASIS32 offered</w:t>
            </w:r>
          </w:p>
        </w:tc>
        <w:tc>
          <w:tcPr>
            <w:tcW w:w="5103" w:type="dxa"/>
          </w:tcPr>
          <w:p w14:paraId="0C80AB8F" w14:textId="06872DFD" w:rsidR="003C29FF" w:rsidRPr="00C15426" w:rsidRDefault="003C29FF" w:rsidP="003C29FF">
            <w:pPr>
              <w:pStyle w:val="VAHItabletext"/>
              <w:rPr>
                <w:rFonts w:eastAsia="Verdana" w:cs="Verdana"/>
                <w:color w:val="696969"/>
                <w:szCs w:val="18"/>
              </w:rPr>
            </w:pPr>
            <w:r w:rsidRPr="00C15426">
              <w:rPr>
                <w:color w:val="696969"/>
              </w:rPr>
              <w:t>Percentage of collection occasions in a residential setting where clinicians offered a relevant consumer self-assessment measurement scale (BASIS-32).</w:t>
            </w:r>
          </w:p>
        </w:tc>
        <w:tc>
          <w:tcPr>
            <w:tcW w:w="1559" w:type="dxa"/>
          </w:tcPr>
          <w:p w14:paraId="3F423A82" w14:textId="0AFC005B" w:rsidR="003C29FF" w:rsidRPr="00C15426" w:rsidRDefault="003C29FF" w:rsidP="003C29FF">
            <w:pPr>
              <w:pStyle w:val="VAHItabletext"/>
              <w:rPr>
                <w:rFonts w:eastAsia="Verdana" w:cs="Verdana"/>
                <w:color w:val="696969"/>
                <w:szCs w:val="18"/>
              </w:rPr>
            </w:pPr>
          </w:p>
        </w:tc>
        <w:tc>
          <w:tcPr>
            <w:tcW w:w="4820" w:type="dxa"/>
          </w:tcPr>
          <w:p w14:paraId="6ACB517C" w14:textId="08021B11" w:rsidR="003C29FF" w:rsidRPr="00C15426" w:rsidRDefault="003C29FF" w:rsidP="003C29FF">
            <w:pPr>
              <w:pStyle w:val="VAHItabletext"/>
              <w:rPr>
                <w:rFonts w:eastAsia="Verdana" w:cs="Verdana"/>
                <w:color w:val="696969"/>
                <w:szCs w:val="18"/>
              </w:rPr>
            </w:pPr>
            <w:r w:rsidRPr="00C15426">
              <w:rPr>
                <w:color w:val="696969"/>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3C29FF" w:rsidRPr="0069621D" w14:paraId="4217DCC2" w14:textId="77777777" w:rsidTr="000B0CCC">
        <w:trPr>
          <w:cantSplit/>
        </w:trPr>
        <w:tc>
          <w:tcPr>
            <w:tcW w:w="1702" w:type="dxa"/>
            <w:shd w:val="clear" w:color="auto" w:fill="auto"/>
          </w:tcPr>
          <w:p w14:paraId="0617E5DD" w14:textId="77777777" w:rsidR="003C29FF" w:rsidRPr="00C15426" w:rsidRDefault="003C29FF" w:rsidP="003C29FF">
            <w:pPr>
              <w:pStyle w:val="VAHItabletext"/>
              <w:rPr>
                <w:color w:val="696969"/>
                <w:szCs w:val="18"/>
              </w:rPr>
            </w:pPr>
          </w:p>
        </w:tc>
        <w:tc>
          <w:tcPr>
            <w:tcW w:w="1842" w:type="dxa"/>
          </w:tcPr>
          <w:p w14:paraId="5DDA0C46" w14:textId="2F9A3A1A" w:rsidR="003C29FF" w:rsidRPr="00C15426" w:rsidRDefault="003C29FF" w:rsidP="003C29FF">
            <w:pPr>
              <w:pStyle w:val="VAHItabletext"/>
              <w:rPr>
                <w:rFonts w:eastAsia="Verdana" w:cs="Verdana"/>
                <w:color w:val="696969"/>
                <w:szCs w:val="18"/>
              </w:rPr>
            </w:pPr>
            <w:r w:rsidRPr="00C15426">
              <w:rPr>
                <w:color w:val="696969"/>
              </w:rPr>
              <w:t>BASIS32 completed</w:t>
            </w:r>
          </w:p>
        </w:tc>
        <w:tc>
          <w:tcPr>
            <w:tcW w:w="5103" w:type="dxa"/>
          </w:tcPr>
          <w:p w14:paraId="1115D417" w14:textId="6D0C6ABC" w:rsidR="003C29FF" w:rsidRPr="00C15426" w:rsidRDefault="003C29FF" w:rsidP="003C29FF">
            <w:pPr>
              <w:pStyle w:val="VAHItabletext"/>
              <w:rPr>
                <w:rFonts w:eastAsia="Verdana" w:cs="Verdana"/>
                <w:color w:val="696969"/>
                <w:szCs w:val="18"/>
              </w:rPr>
            </w:pPr>
            <w:r w:rsidRPr="00C15426">
              <w:rPr>
                <w:color w:val="696969"/>
              </w:rPr>
              <w:t>Percentage of collection occasions in a residential setting where consumers completed a relevant consumer self-assessment measurement scale (BASIS-32).</w:t>
            </w:r>
          </w:p>
        </w:tc>
        <w:tc>
          <w:tcPr>
            <w:tcW w:w="1559" w:type="dxa"/>
          </w:tcPr>
          <w:p w14:paraId="0D763719" w14:textId="1067A97B" w:rsidR="003C29FF" w:rsidRPr="00C15426" w:rsidRDefault="003C29FF" w:rsidP="003C29FF">
            <w:pPr>
              <w:pStyle w:val="VAHItabletext"/>
              <w:rPr>
                <w:rFonts w:eastAsia="Verdana" w:cs="Verdana"/>
                <w:color w:val="696969"/>
                <w:szCs w:val="18"/>
              </w:rPr>
            </w:pPr>
          </w:p>
        </w:tc>
        <w:tc>
          <w:tcPr>
            <w:tcW w:w="4820" w:type="dxa"/>
          </w:tcPr>
          <w:p w14:paraId="0B2C6B2A" w14:textId="182358B4" w:rsidR="003C29FF" w:rsidRPr="00C15426" w:rsidRDefault="003C29FF" w:rsidP="003C29FF">
            <w:pPr>
              <w:pStyle w:val="VAHItabletext"/>
              <w:rPr>
                <w:rFonts w:eastAsia="Verdana" w:cs="Verdana"/>
                <w:color w:val="696969"/>
                <w:szCs w:val="18"/>
              </w:rPr>
            </w:pPr>
            <w:r w:rsidRPr="00C15426">
              <w:rPr>
                <w:color w:val="696969"/>
              </w:rPr>
              <w:t>Measure can be an indicator of service engagement with families and carers. Results during 2011, 2012, 2016 and 2017 were affected by industrial activity and should be interpreted with caution.</w:t>
            </w:r>
          </w:p>
        </w:tc>
      </w:tr>
      <w:tr w:rsidR="003C29FF" w:rsidRPr="0069621D" w14:paraId="46EEAD99" w14:textId="77777777" w:rsidTr="000B0CCC">
        <w:trPr>
          <w:cantSplit/>
        </w:trPr>
        <w:tc>
          <w:tcPr>
            <w:tcW w:w="1702" w:type="dxa"/>
            <w:shd w:val="clear" w:color="auto" w:fill="auto"/>
          </w:tcPr>
          <w:p w14:paraId="287CE8A7" w14:textId="1F0EA6AB" w:rsidR="003C29FF" w:rsidRPr="00C15426" w:rsidRDefault="003C29FF" w:rsidP="003C29FF">
            <w:pPr>
              <w:pStyle w:val="VAHItabletext"/>
              <w:rPr>
                <w:color w:val="696969"/>
                <w:szCs w:val="18"/>
              </w:rPr>
            </w:pPr>
            <w:r w:rsidRPr="00C15426">
              <w:rPr>
                <w:color w:val="696969"/>
              </w:rPr>
              <w:t>PARC</w:t>
            </w:r>
          </w:p>
        </w:tc>
        <w:tc>
          <w:tcPr>
            <w:tcW w:w="1842" w:type="dxa"/>
          </w:tcPr>
          <w:p w14:paraId="5AF610E7" w14:textId="3647D28E" w:rsidR="003C29FF" w:rsidRPr="00C15426" w:rsidRDefault="003C29FF" w:rsidP="003C29FF">
            <w:pPr>
              <w:pStyle w:val="VAHItabletext"/>
              <w:rPr>
                <w:rFonts w:eastAsia="Verdana" w:cs="Verdana"/>
                <w:color w:val="696969"/>
                <w:szCs w:val="18"/>
              </w:rPr>
            </w:pPr>
            <w:r w:rsidRPr="00C15426">
              <w:rPr>
                <w:color w:val="696969"/>
              </w:rPr>
              <w:t>Bed occupancy (incl leave)</w:t>
            </w:r>
          </w:p>
        </w:tc>
        <w:tc>
          <w:tcPr>
            <w:tcW w:w="5103" w:type="dxa"/>
          </w:tcPr>
          <w:p w14:paraId="2CF35DA3" w14:textId="59726ACB" w:rsidR="003C29FF" w:rsidRPr="00C15426" w:rsidRDefault="003C29FF" w:rsidP="003C29FF">
            <w:pPr>
              <w:pStyle w:val="VAHItabletext"/>
              <w:rPr>
                <w:rFonts w:eastAsia="Verdana" w:cs="Verdana"/>
                <w:color w:val="696969"/>
                <w:szCs w:val="18"/>
              </w:rPr>
            </w:pPr>
            <w:r w:rsidRPr="00C15426">
              <w:rPr>
                <w:color w:val="696969"/>
              </w:rPr>
              <w:t>Rate of occupied bed hours (including leave) per funded bed hours within prevention and recovery care (PARC) units.</w:t>
            </w:r>
          </w:p>
        </w:tc>
        <w:tc>
          <w:tcPr>
            <w:tcW w:w="1559" w:type="dxa"/>
          </w:tcPr>
          <w:p w14:paraId="0F5C0963" w14:textId="755E7A75" w:rsidR="003C29FF" w:rsidRPr="00C15426" w:rsidRDefault="003C29FF" w:rsidP="003C29FF">
            <w:pPr>
              <w:pStyle w:val="VAHItabletext"/>
              <w:rPr>
                <w:rFonts w:eastAsia="Verdana" w:cs="Verdana"/>
                <w:color w:val="696969"/>
                <w:szCs w:val="18"/>
              </w:rPr>
            </w:pPr>
          </w:p>
        </w:tc>
        <w:tc>
          <w:tcPr>
            <w:tcW w:w="4820" w:type="dxa"/>
          </w:tcPr>
          <w:p w14:paraId="58E0E644" w14:textId="1577E45C" w:rsidR="003C29FF" w:rsidRPr="00C15426" w:rsidRDefault="003C29FF" w:rsidP="003C29FF">
            <w:pPr>
              <w:pStyle w:val="VAHItabletext"/>
              <w:rPr>
                <w:rFonts w:eastAsia="Verdana" w:cs="Verdana"/>
                <w:color w:val="696969"/>
                <w:szCs w:val="18"/>
              </w:rPr>
            </w:pPr>
          </w:p>
        </w:tc>
      </w:tr>
      <w:tr w:rsidR="003C29FF" w:rsidRPr="0069621D" w14:paraId="130EC93A" w14:textId="77777777" w:rsidTr="000B0CCC">
        <w:trPr>
          <w:cantSplit/>
        </w:trPr>
        <w:tc>
          <w:tcPr>
            <w:tcW w:w="1702" w:type="dxa"/>
            <w:shd w:val="clear" w:color="auto" w:fill="auto"/>
          </w:tcPr>
          <w:p w14:paraId="4D8699D4" w14:textId="51D35649" w:rsidR="003C29FF" w:rsidRPr="00C15426" w:rsidRDefault="003C29FF" w:rsidP="003C29FF">
            <w:pPr>
              <w:pStyle w:val="VAHItabletext"/>
              <w:rPr>
                <w:rFonts w:eastAsia="Verdana" w:cs="Verdana"/>
                <w:color w:val="696969"/>
                <w:szCs w:val="18"/>
              </w:rPr>
            </w:pPr>
          </w:p>
        </w:tc>
        <w:tc>
          <w:tcPr>
            <w:tcW w:w="1842" w:type="dxa"/>
          </w:tcPr>
          <w:p w14:paraId="3FC82C4A" w14:textId="5FC2D5A9" w:rsidR="003C29FF" w:rsidRPr="00C15426" w:rsidRDefault="003C29FF" w:rsidP="003C29FF">
            <w:pPr>
              <w:pStyle w:val="VAHItabletext"/>
              <w:rPr>
                <w:rFonts w:eastAsia="Verdana" w:cs="Verdana"/>
                <w:color w:val="696969"/>
                <w:szCs w:val="18"/>
              </w:rPr>
            </w:pPr>
            <w:r w:rsidRPr="00C15426">
              <w:rPr>
                <w:color w:val="696969"/>
              </w:rPr>
              <w:t>Average length of stay (days)</w:t>
            </w:r>
          </w:p>
        </w:tc>
        <w:tc>
          <w:tcPr>
            <w:tcW w:w="5103" w:type="dxa"/>
          </w:tcPr>
          <w:p w14:paraId="7D57D74A" w14:textId="176EA7DB" w:rsidR="003C29FF" w:rsidRPr="00C15426" w:rsidRDefault="003C29FF" w:rsidP="003C29FF">
            <w:pPr>
              <w:pStyle w:val="VAHItabletext"/>
              <w:rPr>
                <w:rFonts w:eastAsia="Verdana" w:cs="Verdana"/>
                <w:color w:val="696969"/>
                <w:szCs w:val="18"/>
              </w:rPr>
            </w:pPr>
            <w:r w:rsidRPr="00C15426">
              <w:rPr>
                <w:color w:val="696969"/>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3C29FF" w:rsidRPr="00C15426" w:rsidRDefault="003C29FF" w:rsidP="003C29FF">
            <w:pPr>
              <w:pStyle w:val="VAHItabletext"/>
              <w:rPr>
                <w:color w:val="696969"/>
                <w:szCs w:val="18"/>
              </w:rPr>
            </w:pPr>
          </w:p>
        </w:tc>
        <w:tc>
          <w:tcPr>
            <w:tcW w:w="4820" w:type="dxa"/>
          </w:tcPr>
          <w:p w14:paraId="31FEB266" w14:textId="005182CB" w:rsidR="003C29FF" w:rsidRPr="00C15426" w:rsidRDefault="003C29FF" w:rsidP="003C29FF">
            <w:pPr>
              <w:pStyle w:val="VAHItabletext"/>
              <w:rPr>
                <w:rFonts w:eastAsia="Verdana" w:cs="Verdana"/>
                <w:color w:val="696969"/>
                <w:szCs w:val="18"/>
              </w:rPr>
            </w:pPr>
          </w:p>
        </w:tc>
      </w:tr>
      <w:tr w:rsidR="003C29FF" w:rsidRPr="0069621D" w14:paraId="5D05BCEE" w14:textId="77777777" w:rsidTr="000B0CCC">
        <w:trPr>
          <w:cantSplit/>
        </w:trPr>
        <w:tc>
          <w:tcPr>
            <w:tcW w:w="1702" w:type="dxa"/>
            <w:shd w:val="clear" w:color="auto" w:fill="auto"/>
          </w:tcPr>
          <w:p w14:paraId="394A6533" w14:textId="52135181" w:rsidR="003C29FF" w:rsidRPr="00C15426" w:rsidRDefault="003C29FF" w:rsidP="003C29FF">
            <w:pPr>
              <w:pStyle w:val="VAHItabletext"/>
              <w:rPr>
                <w:color w:val="696969"/>
                <w:szCs w:val="18"/>
              </w:rPr>
            </w:pPr>
          </w:p>
        </w:tc>
        <w:tc>
          <w:tcPr>
            <w:tcW w:w="1842" w:type="dxa"/>
          </w:tcPr>
          <w:p w14:paraId="76193907" w14:textId="6EBDA134" w:rsidR="003C29FF" w:rsidRPr="00C15426" w:rsidRDefault="003C29FF" w:rsidP="003C29FF">
            <w:pPr>
              <w:pStyle w:val="VAHItabletext"/>
              <w:rPr>
                <w:rFonts w:eastAsia="Verdana" w:cs="Verdana"/>
                <w:color w:val="696969"/>
                <w:szCs w:val="18"/>
              </w:rPr>
            </w:pPr>
            <w:r w:rsidRPr="00C15426">
              <w:rPr>
                <w:color w:val="696969"/>
              </w:rPr>
              <w:t>Leave days per occupied bed days</w:t>
            </w:r>
          </w:p>
        </w:tc>
        <w:tc>
          <w:tcPr>
            <w:tcW w:w="5103" w:type="dxa"/>
          </w:tcPr>
          <w:p w14:paraId="40ADCA23" w14:textId="17448C21" w:rsidR="003C29FF" w:rsidRPr="00C15426" w:rsidRDefault="003C29FF" w:rsidP="003C29FF">
            <w:pPr>
              <w:pStyle w:val="VAHItabletext"/>
              <w:rPr>
                <w:rFonts w:eastAsia="Verdana" w:cs="Verdana"/>
                <w:color w:val="696969"/>
                <w:szCs w:val="18"/>
              </w:rPr>
            </w:pPr>
            <w:r w:rsidRPr="00C15426">
              <w:rPr>
                <w:color w:val="696969"/>
              </w:rPr>
              <w:t>Rate of leave days per occupied bed days within a prevention and recovery care (PARC) unit.</w:t>
            </w:r>
          </w:p>
        </w:tc>
        <w:tc>
          <w:tcPr>
            <w:tcW w:w="1559" w:type="dxa"/>
          </w:tcPr>
          <w:p w14:paraId="66307FA6" w14:textId="77777777" w:rsidR="003C29FF" w:rsidRPr="00C15426" w:rsidRDefault="003C29FF" w:rsidP="003C29FF">
            <w:pPr>
              <w:pStyle w:val="VAHItabletext"/>
              <w:rPr>
                <w:color w:val="696969"/>
                <w:szCs w:val="18"/>
              </w:rPr>
            </w:pPr>
          </w:p>
        </w:tc>
        <w:tc>
          <w:tcPr>
            <w:tcW w:w="4820" w:type="dxa"/>
          </w:tcPr>
          <w:p w14:paraId="6D9DE276" w14:textId="654FEB96" w:rsidR="003C29FF" w:rsidRPr="00C15426" w:rsidRDefault="003C29FF" w:rsidP="003C29FF">
            <w:pPr>
              <w:pStyle w:val="VAHItabletext"/>
              <w:rPr>
                <w:rFonts w:eastAsia="Verdana" w:cs="Verdana"/>
                <w:color w:val="696969"/>
                <w:szCs w:val="18"/>
              </w:rPr>
            </w:pPr>
            <w:r w:rsidRPr="00C15426">
              <w:rPr>
                <w:color w:val="696969"/>
              </w:rPr>
              <w:t>Measure can provide context around whether high levels of leave could be managed in a less restrictive environment.</w:t>
            </w:r>
          </w:p>
        </w:tc>
      </w:tr>
      <w:tr w:rsidR="003C29FF" w:rsidRPr="0069621D" w14:paraId="2860F4E4" w14:textId="77777777" w:rsidTr="000B0CCC">
        <w:trPr>
          <w:cantSplit/>
        </w:trPr>
        <w:tc>
          <w:tcPr>
            <w:tcW w:w="1702" w:type="dxa"/>
            <w:shd w:val="clear" w:color="auto" w:fill="auto"/>
          </w:tcPr>
          <w:p w14:paraId="402DDE3D" w14:textId="77777777" w:rsidR="003C29FF" w:rsidRPr="00C15426" w:rsidRDefault="003C29FF" w:rsidP="003C29FF">
            <w:pPr>
              <w:pStyle w:val="VAHItabletext"/>
              <w:rPr>
                <w:color w:val="696969"/>
                <w:szCs w:val="18"/>
              </w:rPr>
            </w:pPr>
          </w:p>
        </w:tc>
        <w:tc>
          <w:tcPr>
            <w:tcW w:w="1842" w:type="dxa"/>
          </w:tcPr>
          <w:p w14:paraId="3AB39397" w14:textId="1B34A10C" w:rsidR="003C29FF" w:rsidRPr="00C15426" w:rsidRDefault="003C29FF" w:rsidP="003C29FF">
            <w:pPr>
              <w:pStyle w:val="VAHItabletext"/>
              <w:rPr>
                <w:rFonts w:eastAsia="Verdana" w:cs="Verdana"/>
                <w:color w:val="696969"/>
                <w:szCs w:val="18"/>
              </w:rPr>
            </w:pPr>
            <w:r w:rsidRPr="00C15426">
              <w:rPr>
                <w:color w:val="696969"/>
              </w:rPr>
              <w:t>Average duration of treatment to date (days)</w:t>
            </w:r>
          </w:p>
        </w:tc>
        <w:tc>
          <w:tcPr>
            <w:tcW w:w="5103" w:type="dxa"/>
          </w:tcPr>
          <w:p w14:paraId="1631E1FF" w14:textId="6EA25695" w:rsidR="003C29FF" w:rsidRPr="00C15426" w:rsidRDefault="003C29FF" w:rsidP="003C29FF">
            <w:pPr>
              <w:pStyle w:val="VAHItabletext"/>
              <w:rPr>
                <w:rFonts w:eastAsia="Verdana" w:cs="Verdana"/>
                <w:color w:val="696969"/>
                <w:szCs w:val="18"/>
              </w:rPr>
            </w:pPr>
            <w:r w:rsidRPr="00C15426">
              <w:rPr>
                <w:color w:val="696969"/>
              </w:rPr>
              <w:t>Average duration of care to date (days) within a prevention and recovery care (PARC) unit, including leave.</w:t>
            </w:r>
          </w:p>
        </w:tc>
        <w:tc>
          <w:tcPr>
            <w:tcW w:w="1559" w:type="dxa"/>
          </w:tcPr>
          <w:p w14:paraId="12B7BAD2" w14:textId="64E079E7" w:rsidR="003C29FF" w:rsidRPr="00C15426" w:rsidRDefault="003C29FF" w:rsidP="003C29FF">
            <w:pPr>
              <w:pStyle w:val="VAHItabletext"/>
              <w:rPr>
                <w:color w:val="696969"/>
                <w:szCs w:val="18"/>
              </w:rPr>
            </w:pPr>
          </w:p>
        </w:tc>
        <w:tc>
          <w:tcPr>
            <w:tcW w:w="4820" w:type="dxa"/>
          </w:tcPr>
          <w:p w14:paraId="2D86D332" w14:textId="3EF33A21" w:rsidR="003C29FF" w:rsidRPr="00C15426" w:rsidRDefault="003C29FF" w:rsidP="003C29FF">
            <w:pPr>
              <w:pStyle w:val="VAHItabletext"/>
              <w:rPr>
                <w:rFonts w:eastAsia="Verdana" w:cs="Verdana"/>
                <w:color w:val="696969"/>
                <w:szCs w:val="18"/>
              </w:rPr>
            </w:pPr>
            <w:r w:rsidRPr="00C15426">
              <w:rPr>
                <w:color w:val="696969"/>
              </w:rPr>
              <w:t>This measure reports the actual length of care for services and is not dependant on separations or admission events.</w:t>
            </w:r>
          </w:p>
        </w:tc>
      </w:tr>
      <w:tr w:rsidR="003C29FF" w:rsidRPr="0069621D" w14:paraId="4C106A7E" w14:textId="77777777" w:rsidTr="000B0CCC">
        <w:trPr>
          <w:cantSplit/>
        </w:trPr>
        <w:tc>
          <w:tcPr>
            <w:tcW w:w="1702" w:type="dxa"/>
            <w:shd w:val="clear" w:color="auto" w:fill="auto"/>
          </w:tcPr>
          <w:p w14:paraId="2A9F8C7F" w14:textId="77777777" w:rsidR="003C29FF" w:rsidRPr="00C15426" w:rsidRDefault="003C29FF" w:rsidP="003C29FF">
            <w:pPr>
              <w:pStyle w:val="VAHItabletext"/>
              <w:rPr>
                <w:color w:val="696969"/>
                <w:szCs w:val="18"/>
              </w:rPr>
            </w:pPr>
          </w:p>
        </w:tc>
        <w:tc>
          <w:tcPr>
            <w:tcW w:w="1842" w:type="dxa"/>
          </w:tcPr>
          <w:p w14:paraId="45DDAA6B" w14:textId="56260700" w:rsidR="003C29FF" w:rsidRPr="00C15426" w:rsidRDefault="003C29FF" w:rsidP="003C29FF">
            <w:pPr>
              <w:pStyle w:val="VAHItabletext"/>
              <w:rPr>
                <w:rFonts w:eastAsia="Verdana" w:cs="Verdana"/>
                <w:color w:val="696969"/>
                <w:szCs w:val="18"/>
              </w:rPr>
            </w:pPr>
            <w:r w:rsidRPr="00C15426">
              <w:rPr>
                <w:color w:val="696969"/>
              </w:rPr>
              <w:t>Separations followed by an acute admission</w:t>
            </w:r>
          </w:p>
        </w:tc>
        <w:tc>
          <w:tcPr>
            <w:tcW w:w="5103" w:type="dxa"/>
          </w:tcPr>
          <w:p w14:paraId="63DFB33F" w14:textId="4AC8F319" w:rsidR="003C29FF" w:rsidRPr="00C15426" w:rsidRDefault="003C29FF" w:rsidP="003C29FF">
            <w:pPr>
              <w:pStyle w:val="VAHItabletext"/>
              <w:rPr>
                <w:rFonts w:eastAsia="Verdana" w:cs="Verdana"/>
                <w:color w:val="696969"/>
                <w:szCs w:val="18"/>
              </w:rPr>
            </w:pPr>
            <w:r w:rsidRPr="00C15426">
              <w:rPr>
                <w:color w:val="696969"/>
              </w:rPr>
              <w:t>Percentage of separations from a prevention and recovery care (PARC) unit where the consumer was subsequently admitted to an acute inpatient unit within 7 days of separation.</w:t>
            </w:r>
          </w:p>
        </w:tc>
        <w:tc>
          <w:tcPr>
            <w:tcW w:w="1559" w:type="dxa"/>
          </w:tcPr>
          <w:p w14:paraId="17EC52B4" w14:textId="77777777" w:rsidR="003C29FF" w:rsidRPr="00C15426" w:rsidRDefault="003C29FF" w:rsidP="003C29FF">
            <w:pPr>
              <w:pStyle w:val="VAHItabletext"/>
              <w:rPr>
                <w:color w:val="696969"/>
                <w:szCs w:val="18"/>
              </w:rPr>
            </w:pPr>
          </w:p>
        </w:tc>
        <w:tc>
          <w:tcPr>
            <w:tcW w:w="4820" w:type="dxa"/>
          </w:tcPr>
          <w:p w14:paraId="602D7C8F" w14:textId="1A22F49B" w:rsidR="003C29FF" w:rsidRPr="00C15426" w:rsidRDefault="003C29FF" w:rsidP="003C29FF">
            <w:pPr>
              <w:pStyle w:val="VAHItabletext"/>
              <w:rPr>
                <w:rFonts w:eastAsia="Verdana" w:cs="Verdana"/>
                <w:color w:val="696969"/>
                <w:szCs w:val="18"/>
              </w:rPr>
            </w:pPr>
          </w:p>
        </w:tc>
      </w:tr>
      <w:tr w:rsidR="003C29FF" w:rsidRPr="0069621D" w14:paraId="0B00DCC7" w14:textId="77777777" w:rsidTr="000B0CCC">
        <w:trPr>
          <w:cantSplit/>
        </w:trPr>
        <w:tc>
          <w:tcPr>
            <w:tcW w:w="1702" w:type="dxa"/>
            <w:shd w:val="clear" w:color="auto" w:fill="auto"/>
          </w:tcPr>
          <w:p w14:paraId="2CD236DF" w14:textId="77777777" w:rsidR="003C29FF" w:rsidRPr="00C15426" w:rsidRDefault="003C29FF" w:rsidP="003C29FF">
            <w:pPr>
              <w:pStyle w:val="VAHItabletext"/>
              <w:rPr>
                <w:color w:val="696969"/>
                <w:szCs w:val="18"/>
              </w:rPr>
            </w:pPr>
          </w:p>
        </w:tc>
        <w:tc>
          <w:tcPr>
            <w:tcW w:w="1842" w:type="dxa"/>
          </w:tcPr>
          <w:p w14:paraId="178FCD59" w14:textId="2B85C2FF" w:rsidR="003C29FF" w:rsidRPr="00C15426" w:rsidRDefault="003C29FF" w:rsidP="003C29FF">
            <w:pPr>
              <w:pStyle w:val="VAHItabletext"/>
              <w:rPr>
                <w:rFonts w:eastAsia="Verdana" w:cs="Verdana"/>
                <w:color w:val="696969"/>
                <w:szCs w:val="18"/>
              </w:rPr>
            </w:pPr>
            <w:r w:rsidRPr="00C15426">
              <w:rPr>
                <w:color w:val="696969"/>
              </w:rPr>
              <w:t>Consumers concurrently on a CTO</w:t>
            </w:r>
          </w:p>
        </w:tc>
        <w:tc>
          <w:tcPr>
            <w:tcW w:w="5103" w:type="dxa"/>
          </w:tcPr>
          <w:p w14:paraId="02C59BFD" w14:textId="37CD4437" w:rsidR="003C29FF" w:rsidRPr="00C15426" w:rsidRDefault="003C29FF" w:rsidP="003C29FF">
            <w:pPr>
              <w:pStyle w:val="VAHItabletext"/>
              <w:rPr>
                <w:rFonts w:eastAsia="Verdana" w:cs="Verdana"/>
                <w:color w:val="696969"/>
                <w:szCs w:val="18"/>
              </w:rPr>
            </w:pPr>
            <w:r w:rsidRPr="00C15426">
              <w:rPr>
                <w:color w:val="696969"/>
              </w:rPr>
              <w:t>Percentage of open prevention and recovery care (PARC) episodes where the consumer was concurrently on a Community Treatment Order (CTO).</w:t>
            </w:r>
          </w:p>
        </w:tc>
        <w:tc>
          <w:tcPr>
            <w:tcW w:w="1559" w:type="dxa"/>
          </w:tcPr>
          <w:p w14:paraId="71FDE56A" w14:textId="6F98A143" w:rsidR="003C29FF" w:rsidRPr="00C15426" w:rsidRDefault="003C29FF" w:rsidP="003C29FF">
            <w:pPr>
              <w:pStyle w:val="VAHItabletext"/>
              <w:rPr>
                <w:color w:val="696969"/>
                <w:szCs w:val="18"/>
              </w:rPr>
            </w:pPr>
          </w:p>
        </w:tc>
        <w:tc>
          <w:tcPr>
            <w:tcW w:w="4820" w:type="dxa"/>
          </w:tcPr>
          <w:p w14:paraId="34570FAB" w14:textId="2725D0ED" w:rsidR="003C29FF" w:rsidRPr="00C15426" w:rsidRDefault="003C29FF" w:rsidP="003C29FF">
            <w:pPr>
              <w:pStyle w:val="VAHItabletext"/>
              <w:rPr>
                <w:rFonts w:eastAsia="Verdana" w:cs="Verdana"/>
                <w:color w:val="696969"/>
                <w:szCs w:val="18"/>
              </w:rPr>
            </w:pPr>
            <w:r w:rsidRPr="00C15426">
              <w:rPr>
                <w:color w:val="696969"/>
              </w:rPr>
              <w:t>Measure counts distinct episodes and not distinct consumers (a consumer may have more than 1 episode open during the reference period).</w:t>
            </w:r>
          </w:p>
        </w:tc>
      </w:tr>
      <w:tr w:rsidR="003C29FF" w:rsidRPr="0069621D" w14:paraId="49BDEAE8" w14:textId="77777777" w:rsidTr="000B0CCC">
        <w:trPr>
          <w:cantSplit/>
        </w:trPr>
        <w:tc>
          <w:tcPr>
            <w:tcW w:w="1702" w:type="dxa"/>
            <w:shd w:val="clear" w:color="auto" w:fill="auto"/>
          </w:tcPr>
          <w:p w14:paraId="3B2286F9" w14:textId="77777777" w:rsidR="003C29FF" w:rsidRPr="00C15426" w:rsidRDefault="003C29FF" w:rsidP="003C29FF">
            <w:pPr>
              <w:pStyle w:val="VAHItabletext"/>
              <w:rPr>
                <w:color w:val="696969"/>
                <w:szCs w:val="18"/>
              </w:rPr>
            </w:pPr>
          </w:p>
        </w:tc>
        <w:tc>
          <w:tcPr>
            <w:tcW w:w="1842" w:type="dxa"/>
          </w:tcPr>
          <w:p w14:paraId="36A0DFA4" w14:textId="7C1C780B" w:rsidR="003C29FF" w:rsidRPr="00C15426" w:rsidRDefault="003C29FF" w:rsidP="003C29FF">
            <w:pPr>
              <w:pStyle w:val="VAHItabletext"/>
              <w:rPr>
                <w:rFonts w:eastAsia="Verdana" w:cs="Verdana"/>
                <w:color w:val="696969"/>
                <w:szCs w:val="18"/>
              </w:rPr>
            </w:pPr>
            <w:r w:rsidRPr="00C15426">
              <w:rPr>
                <w:color w:val="696969"/>
              </w:rPr>
              <w:t>HoNOS compliance</w:t>
            </w:r>
          </w:p>
        </w:tc>
        <w:tc>
          <w:tcPr>
            <w:tcW w:w="5103" w:type="dxa"/>
          </w:tcPr>
          <w:p w14:paraId="54B0609B" w14:textId="1AFCFC47" w:rsidR="003C29FF" w:rsidRPr="00C15426" w:rsidRDefault="003C29FF" w:rsidP="003C29FF">
            <w:pPr>
              <w:pStyle w:val="VAHItabletext"/>
              <w:rPr>
                <w:rFonts w:eastAsia="Verdana" w:cs="Verdana"/>
                <w:color w:val="696969"/>
                <w:szCs w:val="18"/>
              </w:rPr>
            </w:pPr>
            <w:r w:rsidRPr="00C15426">
              <w:rPr>
                <w:color w:val="696969"/>
              </w:rPr>
              <w:t>Percentage of required collection events in a prevention and recovery care (PARC) unit where a HoNOS outcome measurement scale (HNSADL) was completed, excluding invalid HoNOS scores (more than two times rated as '9').</w:t>
            </w:r>
          </w:p>
        </w:tc>
        <w:tc>
          <w:tcPr>
            <w:tcW w:w="1559" w:type="dxa"/>
          </w:tcPr>
          <w:p w14:paraId="0D7705D6" w14:textId="7666E9DC" w:rsidR="003C29FF" w:rsidRPr="00C15426" w:rsidRDefault="003C29FF" w:rsidP="003C29FF">
            <w:pPr>
              <w:pStyle w:val="VAHItabletext"/>
              <w:rPr>
                <w:rFonts w:eastAsia="Verdana" w:cs="Verdana"/>
                <w:color w:val="696969"/>
                <w:szCs w:val="18"/>
              </w:rPr>
            </w:pPr>
            <w:r w:rsidRPr="00C15426">
              <w:rPr>
                <w:color w:val="696969"/>
              </w:rPr>
              <w:t>85.0 %</w:t>
            </w:r>
          </w:p>
        </w:tc>
        <w:tc>
          <w:tcPr>
            <w:tcW w:w="4820" w:type="dxa"/>
          </w:tcPr>
          <w:p w14:paraId="2A2788F5" w14:textId="14165595" w:rsidR="003C29FF" w:rsidRPr="00C15426" w:rsidRDefault="003C29FF" w:rsidP="003C29FF">
            <w:pPr>
              <w:pStyle w:val="VAHItabletext"/>
              <w:rPr>
                <w:rFonts w:eastAsia="Verdana" w:cs="Verdana"/>
                <w:color w:val="696969"/>
                <w:szCs w:val="18"/>
              </w:rPr>
            </w:pPr>
            <w:r w:rsidRPr="00C15426">
              <w:rPr>
                <w:color w:val="696969"/>
              </w:rPr>
              <w:t>Results during 2011, 2012, 2016 and 2017 were affected by industrial activity and should be interpreted with caution.</w:t>
            </w:r>
          </w:p>
        </w:tc>
      </w:tr>
      <w:tr w:rsidR="003C29FF" w:rsidRPr="0069621D" w14:paraId="34B4389C" w14:textId="77777777" w:rsidTr="000B0CCC">
        <w:trPr>
          <w:cantSplit/>
        </w:trPr>
        <w:tc>
          <w:tcPr>
            <w:tcW w:w="1702" w:type="dxa"/>
            <w:shd w:val="clear" w:color="auto" w:fill="auto"/>
          </w:tcPr>
          <w:p w14:paraId="15E9A033" w14:textId="77777777" w:rsidR="003C29FF" w:rsidRPr="00C15426" w:rsidRDefault="003C29FF" w:rsidP="003C29FF">
            <w:pPr>
              <w:pStyle w:val="VAHItabletext"/>
              <w:rPr>
                <w:color w:val="696969"/>
                <w:szCs w:val="18"/>
              </w:rPr>
            </w:pPr>
          </w:p>
        </w:tc>
        <w:tc>
          <w:tcPr>
            <w:tcW w:w="1842" w:type="dxa"/>
          </w:tcPr>
          <w:p w14:paraId="3EB376CE" w14:textId="56BB7948" w:rsidR="003C29FF" w:rsidRPr="00C15426" w:rsidRDefault="003C29FF" w:rsidP="003C29FF">
            <w:pPr>
              <w:pStyle w:val="VAHItabletext"/>
              <w:rPr>
                <w:rFonts w:eastAsia="Verdana" w:cs="Verdana"/>
                <w:color w:val="696969"/>
                <w:szCs w:val="18"/>
              </w:rPr>
            </w:pPr>
            <w:r w:rsidRPr="00C15426">
              <w:rPr>
                <w:color w:val="696969"/>
              </w:rPr>
              <w:t>Average HoNOS at episode start</w:t>
            </w:r>
          </w:p>
        </w:tc>
        <w:tc>
          <w:tcPr>
            <w:tcW w:w="5103" w:type="dxa"/>
          </w:tcPr>
          <w:p w14:paraId="05E1921C" w14:textId="3FC40650" w:rsidR="003C29FF" w:rsidRPr="00C15426" w:rsidRDefault="003C29FF" w:rsidP="003C29FF">
            <w:pPr>
              <w:pStyle w:val="VAHItabletext"/>
              <w:rPr>
                <w:rFonts w:eastAsia="Verdana" w:cs="Verdana"/>
                <w:color w:val="696969"/>
                <w:szCs w:val="18"/>
              </w:rPr>
            </w:pPr>
            <w:r w:rsidRPr="00C15426">
              <w:rPr>
                <w:color w:val="696969"/>
              </w:rPr>
              <w:t>Average HoNOS total score (HNSADL) collected on prevention and recovery care (PARC) episode start, excluding invalid scores (more than two times rated as '9').</w:t>
            </w:r>
          </w:p>
        </w:tc>
        <w:tc>
          <w:tcPr>
            <w:tcW w:w="1559" w:type="dxa"/>
          </w:tcPr>
          <w:p w14:paraId="39AEE469" w14:textId="77777777" w:rsidR="003C29FF" w:rsidRPr="00C15426" w:rsidRDefault="003C29FF" w:rsidP="003C29FF">
            <w:pPr>
              <w:pStyle w:val="VAHItabletext"/>
              <w:rPr>
                <w:color w:val="696969"/>
                <w:szCs w:val="18"/>
              </w:rPr>
            </w:pPr>
          </w:p>
        </w:tc>
        <w:tc>
          <w:tcPr>
            <w:tcW w:w="4820" w:type="dxa"/>
          </w:tcPr>
          <w:p w14:paraId="057D5861" w14:textId="689A4935" w:rsidR="003C29FF" w:rsidRPr="00C15426" w:rsidRDefault="003C29FF" w:rsidP="003C29FF">
            <w:pPr>
              <w:pStyle w:val="VAHItabletext"/>
              <w:rPr>
                <w:rFonts w:eastAsia="Verdana" w:cs="Verdana"/>
                <w:color w:val="696969"/>
                <w:szCs w:val="18"/>
              </w:rPr>
            </w:pPr>
            <w:r w:rsidRPr="00C15426">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3C29FF" w:rsidRPr="0069621D" w14:paraId="12C4D44E" w14:textId="77777777" w:rsidTr="000B0CCC">
        <w:trPr>
          <w:cantSplit/>
        </w:trPr>
        <w:tc>
          <w:tcPr>
            <w:tcW w:w="1702" w:type="dxa"/>
            <w:shd w:val="clear" w:color="auto" w:fill="auto"/>
          </w:tcPr>
          <w:p w14:paraId="00EC9B6E" w14:textId="01F752F2" w:rsidR="003C29FF" w:rsidRPr="00C15426" w:rsidRDefault="003C29FF" w:rsidP="003C29FF">
            <w:pPr>
              <w:pStyle w:val="VAHItabletext"/>
              <w:rPr>
                <w:color w:val="696969"/>
                <w:szCs w:val="18"/>
              </w:rPr>
            </w:pPr>
            <w:r w:rsidRPr="00C15426">
              <w:rPr>
                <w:color w:val="696969"/>
              </w:rPr>
              <w:t>Extended Care</w:t>
            </w:r>
          </w:p>
        </w:tc>
        <w:tc>
          <w:tcPr>
            <w:tcW w:w="1842" w:type="dxa"/>
          </w:tcPr>
          <w:p w14:paraId="10138DE0" w14:textId="0F7FDF92" w:rsidR="003C29FF" w:rsidRPr="00C15426" w:rsidRDefault="003C29FF" w:rsidP="003C29FF">
            <w:pPr>
              <w:pStyle w:val="VAHItabletext"/>
              <w:rPr>
                <w:rFonts w:eastAsia="Verdana" w:cs="Verdana"/>
                <w:color w:val="696969"/>
                <w:szCs w:val="18"/>
              </w:rPr>
            </w:pPr>
            <w:r w:rsidRPr="00C15426">
              <w:rPr>
                <w:color w:val="696969"/>
              </w:rPr>
              <w:t>Bed occupancy (incl leave)</w:t>
            </w:r>
          </w:p>
        </w:tc>
        <w:tc>
          <w:tcPr>
            <w:tcW w:w="5103" w:type="dxa"/>
          </w:tcPr>
          <w:p w14:paraId="593685B8" w14:textId="0AC86EA4" w:rsidR="003C29FF" w:rsidRPr="00C15426" w:rsidRDefault="003C29FF" w:rsidP="003C29FF">
            <w:pPr>
              <w:pStyle w:val="VAHItabletext"/>
              <w:rPr>
                <w:rFonts w:eastAsia="Verdana" w:cs="Verdana"/>
                <w:color w:val="696969"/>
                <w:szCs w:val="18"/>
              </w:rPr>
            </w:pPr>
            <w:r w:rsidRPr="00C15426">
              <w:rPr>
                <w:color w:val="696969"/>
              </w:rPr>
              <w:t>Rate of occupied bed hours (including leave) per funded bed hours within secure extended care units (SECU).</w:t>
            </w:r>
          </w:p>
        </w:tc>
        <w:tc>
          <w:tcPr>
            <w:tcW w:w="1559" w:type="dxa"/>
          </w:tcPr>
          <w:p w14:paraId="1BB4C3CB" w14:textId="77777777" w:rsidR="003C29FF" w:rsidRPr="00C15426" w:rsidRDefault="003C29FF" w:rsidP="003C29FF">
            <w:pPr>
              <w:pStyle w:val="VAHItabletext"/>
              <w:rPr>
                <w:color w:val="696969"/>
                <w:szCs w:val="18"/>
              </w:rPr>
            </w:pPr>
          </w:p>
        </w:tc>
        <w:tc>
          <w:tcPr>
            <w:tcW w:w="4820" w:type="dxa"/>
          </w:tcPr>
          <w:p w14:paraId="00C7F9BF" w14:textId="464934E3" w:rsidR="003C29FF" w:rsidRPr="00C15426" w:rsidRDefault="003C29FF" w:rsidP="003C29FF">
            <w:pPr>
              <w:pStyle w:val="VAHItabletext"/>
              <w:rPr>
                <w:rFonts w:eastAsia="Verdana" w:cs="Verdana"/>
                <w:color w:val="696969"/>
                <w:szCs w:val="18"/>
              </w:rPr>
            </w:pPr>
          </w:p>
        </w:tc>
      </w:tr>
      <w:tr w:rsidR="003C29FF" w:rsidRPr="0069621D" w14:paraId="7E04582B" w14:textId="77777777" w:rsidTr="000B0CCC">
        <w:trPr>
          <w:cantSplit/>
        </w:trPr>
        <w:tc>
          <w:tcPr>
            <w:tcW w:w="1702" w:type="dxa"/>
            <w:shd w:val="clear" w:color="auto" w:fill="auto"/>
          </w:tcPr>
          <w:p w14:paraId="2F1E8BAD" w14:textId="77777777" w:rsidR="003C29FF" w:rsidRPr="00C15426" w:rsidRDefault="003C29FF" w:rsidP="003C29FF">
            <w:pPr>
              <w:pStyle w:val="VAHItabletext"/>
              <w:rPr>
                <w:color w:val="696969"/>
              </w:rPr>
            </w:pPr>
          </w:p>
        </w:tc>
        <w:tc>
          <w:tcPr>
            <w:tcW w:w="1842" w:type="dxa"/>
          </w:tcPr>
          <w:p w14:paraId="41E13401" w14:textId="72DBC2C9" w:rsidR="003C29FF" w:rsidRPr="00C15426" w:rsidRDefault="003C29FF" w:rsidP="003C29FF">
            <w:pPr>
              <w:pStyle w:val="VAHItabletext"/>
              <w:rPr>
                <w:color w:val="696969"/>
              </w:rPr>
            </w:pPr>
            <w:r w:rsidRPr="00C15426">
              <w:rPr>
                <w:color w:val="696969"/>
              </w:rPr>
              <w:t>Leave days per occupied bed days</w:t>
            </w:r>
          </w:p>
        </w:tc>
        <w:tc>
          <w:tcPr>
            <w:tcW w:w="5103" w:type="dxa"/>
          </w:tcPr>
          <w:p w14:paraId="7794E121" w14:textId="73CC8E5B" w:rsidR="003C29FF" w:rsidRPr="00C15426" w:rsidRDefault="003C29FF" w:rsidP="003C29FF">
            <w:pPr>
              <w:pStyle w:val="VAHItabletext"/>
              <w:rPr>
                <w:color w:val="696969"/>
              </w:rPr>
            </w:pPr>
            <w:r w:rsidRPr="00C15426">
              <w:rPr>
                <w:color w:val="696969"/>
              </w:rPr>
              <w:t>Rate of leave days per occupied bed days within a secure extended care unit (SECU).</w:t>
            </w:r>
          </w:p>
        </w:tc>
        <w:tc>
          <w:tcPr>
            <w:tcW w:w="1559" w:type="dxa"/>
          </w:tcPr>
          <w:p w14:paraId="258D95DE" w14:textId="77777777" w:rsidR="003C29FF" w:rsidRPr="00C15426" w:rsidRDefault="003C29FF" w:rsidP="003C29FF">
            <w:pPr>
              <w:pStyle w:val="VAHItabletext"/>
              <w:rPr>
                <w:color w:val="696969"/>
                <w:szCs w:val="18"/>
              </w:rPr>
            </w:pPr>
          </w:p>
        </w:tc>
        <w:tc>
          <w:tcPr>
            <w:tcW w:w="4820" w:type="dxa"/>
          </w:tcPr>
          <w:p w14:paraId="43BB2843" w14:textId="097E2449" w:rsidR="003C29FF" w:rsidRPr="00C15426" w:rsidRDefault="003C29FF" w:rsidP="003C29FF">
            <w:pPr>
              <w:pStyle w:val="VAHItabletext"/>
              <w:rPr>
                <w:rFonts w:eastAsia="Verdana" w:cs="Verdana"/>
                <w:color w:val="696969"/>
                <w:szCs w:val="18"/>
              </w:rPr>
            </w:pPr>
            <w:r w:rsidRPr="00C15426">
              <w:rPr>
                <w:color w:val="696969"/>
              </w:rPr>
              <w:t>Measure can provide context around whether high levels of leave could be managed in a less restrictive environment.</w:t>
            </w:r>
          </w:p>
        </w:tc>
      </w:tr>
      <w:tr w:rsidR="003C29FF" w:rsidRPr="0069621D" w14:paraId="22378C6F" w14:textId="77777777" w:rsidTr="000B0CCC">
        <w:trPr>
          <w:cantSplit/>
        </w:trPr>
        <w:tc>
          <w:tcPr>
            <w:tcW w:w="1702" w:type="dxa"/>
            <w:shd w:val="clear" w:color="auto" w:fill="auto"/>
          </w:tcPr>
          <w:p w14:paraId="160966DF" w14:textId="77777777" w:rsidR="003C29FF" w:rsidRPr="00C15426" w:rsidRDefault="003C29FF" w:rsidP="003C29FF">
            <w:pPr>
              <w:pStyle w:val="VAHItabletext"/>
              <w:rPr>
                <w:color w:val="696969"/>
              </w:rPr>
            </w:pPr>
          </w:p>
        </w:tc>
        <w:tc>
          <w:tcPr>
            <w:tcW w:w="1842" w:type="dxa"/>
          </w:tcPr>
          <w:p w14:paraId="01BC27B2" w14:textId="4742B54C" w:rsidR="003C29FF" w:rsidRPr="00C15426" w:rsidRDefault="003C29FF" w:rsidP="003C29FF">
            <w:pPr>
              <w:pStyle w:val="VAHItabletext"/>
              <w:rPr>
                <w:color w:val="696969"/>
              </w:rPr>
            </w:pPr>
            <w:r w:rsidRPr="00C15426">
              <w:rPr>
                <w:color w:val="696969"/>
              </w:rPr>
              <w:t>Average duration of treatment to date (days)</w:t>
            </w:r>
          </w:p>
        </w:tc>
        <w:tc>
          <w:tcPr>
            <w:tcW w:w="5103" w:type="dxa"/>
          </w:tcPr>
          <w:p w14:paraId="2A4B915C" w14:textId="653207F6" w:rsidR="003C29FF" w:rsidRPr="00C15426" w:rsidRDefault="003C29FF" w:rsidP="003C29FF">
            <w:pPr>
              <w:pStyle w:val="VAHItabletext"/>
              <w:rPr>
                <w:color w:val="696969"/>
              </w:rPr>
            </w:pPr>
            <w:r w:rsidRPr="00C15426">
              <w:rPr>
                <w:color w:val="696969"/>
              </w:rPr>
              <w:t>Average duration of care to date (days) within a secure extended care unit (SECU), including leave.</w:t>
            </w:r>
          </w:p>
        </w:tc>
        <w:tc>
          <w:tcPr>
            <w:tcW w:w="1559" w:type="dxa"/>
          </w:tcPr>
          <w:p w14:paraId="30144B05" w14:textId="77777777" w:rsidR="003C29FF" w:rsidRPr="00C15426" w:rsidRDefault="003C29FF" w:rsidP="003C29FF">
            <w:pPr>
              <w:pStyle w:val="VAHItabletext"/>
              <w:rPr>
                <w:color w:val="696969"/>
                <w:szCs w:val="18"/>
              </w:rPr>
            </w:pPr>
          </w:p>
        </w:tc>
        <w:tc>
          <w:tcPr>
            <w:tcW w:w="4820" w:type="dxa"/>
          </w:tcPr>
          <w:p w14:paraId="158ECC12" w14:textId="4B686306" w:rsidR="003C29FF" w:rsidRPr="00C15426" w:rsidRDefault="003C29FF" w:rsidP="003C29FF">
            <w:pPr>
              <w:pStyle w:val="VAHItabletext"/>
              <w:rPr>
                <w:rFonts w:eastAsia="Verdana" w:cs="Verdana"/>
                <w:color w:val="696969"/>
                <w:szCs w:val="18"/>
              </w:rPr>
            </w:pPr>
            <w:r w:rsidRPr="00C15426">
              <w:rPr>
                <w:color w:val="696969"/>
              </w:rPr>
              <w:t>This measure reports the actual length of care for services and is not dependant on separations or admission events.</w:t>
            </w:r>
          </w:p>
        </w:tc>
      </w:tr>
      <w:tr w:rsidR="003C29FF" w:rsidRPr="0069621D" w14:paraId="1002545F" w14:textId="77777777" w:rsidTr="000B0CCC">
        <w:trPr>
          <w:cantSplit/>
        </w:trPr>
        <w:tc>
          <w:tcPr>
            <w:tcW w:w="1702" w:type="dxa"/>
            <w:shd w:val="clear" w:color="auto" w:fill="auto"/>
          </w:tcPr>
          <w:p w14:paraId="2D3A671C" w14:textId="77777777" w:rsidR="003C29FF" w:rsidRPr="00C15426" w:rsidRDefault="003C29FF" w:rsidP="003C29FF">
            <w:pPr>
              <w:pStyle w:val="VAHItabletext"/>
              <w:rPr>
                <w:color w:val="696969"/>
              </w:rPr>
            </w:pPr>
          </w:p>
        </w:tc>
        <w:tc>
          <w:tcPr>
            <w:tcW w:w="1842" w:type="dxa"/>
          </w:tcPr>
          <w:p w14:paraId="34927058" w14:textId="7EABC447" w:rsidR="003C29FF" w:rsidRPr="00C15426" w:rsidRDefault="003C29FF" w:rsidP="003C29FF">
            <w:pPr>
              <w:pStyle w:val="VAHItabletext"/>
              <w:rPr>
                <w:color w:val="696969"/>
              </w:rPr>
            </w:pPr>
            <w:r w:rsidRPr="00C15426">
              <w:rPr>
                <w:color w:val="696969"/>
              </w:rPr>
              <w:t>Seclusions per 1,000 bed days</w:t>
            </w:r>
          </w:p>
        </w:tc>
        <w:tc>
          <w:tcPr>
            <w:tcW w:w="5103" w:type="dxa"/>
          </w:tcPr>
          <w:p w14:paraId="70ECB6C5" w14:textId="1E95D59A" w:rsidR="003C29FF" w:rsidRPr="00C15426" w:rsidRDefault="003C29FF" w:rsidP="003C29FF">
            <w:pPr>
              <w:pStyle w:val="VAHItabletext"/>
              <w:rPr>
                <w:color w:val="696969"/>
              </w:rPr>
            </w:pPr>
            <w:r w:rsidRPr="00C15426">
              <w:rPr>
                <w:color w:val="696969"/>
              </w:rPr>
              <w:t>Rate of ended seclusion episodes per 1,000 occupied bed days within secure extended care units (SECU), excluding leave and same day stays.</w:t>
            </w:r>
          </w:p>
        </w:tc>
        <w:tc>
          <w:tcPr>
            <w:tcW w:w="1559" w:type="dxa"/>
          </w:tcPr>
          <w:p w14:paraId="442CA11C" w14:textId="75302785" w:rsidR="003C29FF" w:rsidRPr="00C15426" w:rsidRDefault="003C29FF" w:rsidP="003C29FF">
            <w:pPr>
              <w:pStyle w:val="VAHItabletext"/>
              <w:rPr>
                <w:color w:val="696969"/>
                <w:szCs w:val="18"/>
              </w:rPr>
            </w:pPr>
            <w:r w:rsidRPr="00C15426">
              <w:rPr>
                <w:color w:val="696969"/>
              </w:rPr>
              <w:t>15.0</w:t>
            </w:r>
          </w:p>
        </w:tc>
        <w:tc>
          <w:tcPr>
            <w:tcW w:w="4820" w:type="dxa"/>
          </w:tcPr>
          <w:p w14:paraId="7F2D82DD" w14:textId="53690A75" w:rsidR="003C29FF" w:rsidRPr="00C15426" w:rsidRDefault="003C29FF" w:rsidP="003C29FF">
            <w:pPr>
              <w:pStyle w:val="VAHItabletext"/>
              <w:rPr>
                <w:rFonts w:eastAsia="Verdana" w:cs="Verdana"/>
                <w:color w:val="696969"/>
                <w:szCs w:val="18"/>
              </w:rPr>
            </w:pPr>
            <w:r w:rsidRPr="00C15426">
              <w:rPr>
                <w:color w:val="696969"/>
              </w:rPr>
              <w:t>Calculation of bed days involves converting minutes into days.</w:t>
            </w:r>
          </w:p>
        </w:tc>
      </w:tr>
      <w:tr w:rsidR="003C29FF" w:rsidRPr="0069621D" w14:paraId="382ADBF8" w14:textId="77777777" w:rsidTr="000B0CCC">
        <w:trPr>
          <w:cantSplit/>
        </w:trPr>
        <w:tc>
          <w:tcPr>
            <w:tcW w:w="1702" w:type="dxa"/>
            <w:shd w:val="clear" w:color="auto" w:fill="auto"/>
          </w:tcPr>
          <w:p w14:paraId="476EF3F5" w14:textId="77777777" w:rsidR="003C29FF" w:rsidRPr="00C15426" w:rsidRDefault="003C29FF" w:rsidP="003C29FF">
            <w:pPr>
              <w:pStyle w:val="VAHItabletext"/>
              <w:rPr>
                <w:color w:val="696969"/>
              </w:rPr>
            </w:pPr>
          </w:p>
        </w:tc>
        <w:tc>
          <w:tcPr>
            <w:tcW w:w="1842" w:type="dxa"/>
          </w:tcPr>
          <w:p w14:paraId="0691DBE5" w14:textId="7FC30F21" w:rsidR="003C29FF" w:rsidRPr="00C15426" w:rsidRDefault="003C29FF" w:rsidP="003C29FF">
            <w:pPr>
              <w:pStyle w:val="VAHItabletext"/>
              <w:rPr>
                <w:color w:val="696969"/>
              </w:rPr>
            </w:pPr>
            <w:r w:rsidRPr="00C15426">
              <w:rPr>
                <w:color w:val="696969"/>
              </w:rPr>
              <w:t>HoNOS compliance</w:t>
            </w:r>
          </w:p>
        </w:tc>
        <w:tc>
          <w:tcPr>
            <w:tcW w:w="5103" w:type="dxa"/>
          </w:tcPr>
          <w:p w14:paraId="24AD8429" w14:textId="79286304" w:rsidR="003C29FF" w:rsidRPr="00C15426" w:rsidRDefault="003C29FF" w:rsidP="003C29FF">
            <w:pPr>
              <w:pStyle w:val="VAHItabletext"/>
              <w:rPr>
                <w:color w:val="696969"/>
              </w:rPr>
            </w:pPr>
            <w:r w:rsidRPr="00C15426">
              <w:rPr>
                <w:color w:val="696969"/>
              </w:rPr>
              <w:t>Percentage of required collection events in a secure extended care unit (SECU) where a HoNOS outcome measurement scale (HNSADL) was completed, excluding invalid HoNOS scores (more than two times rated as '9').</w:t>
            </w:r>
          </w:p>
        </w:tc>
        <w:tc>
          <w:tcPr>
            <w:tcW w:w="1559" w:type="dxa"/>
          </w:tcPr>
          <w:p w14:paraId="2FB3D391" w14:textId="1D6B7E60" w:rsidR="003C29FF" w:rsidRPr="00C15426" w:rsidRDefault="003C29FF" w:rsidP="003C29FF">
            <w:pPr>
              <w:pStyle w:val="VAHItabletext"/>
              <w:rPr>
                <w:color w:val="696969"/>
                <w:szCs w:val="18"/>
              </w:rPr>
            </w:pPr>
            <w:r w:rsidRPr="00C15426">
              <w:rPr>
                <w:color w:val="696969"/>
              </w:rPr>
              <w:t>85.0 %</w:t>
            </w:r>
          </w:p>
        </w:tc>
        <w:tc>
          <w:tcPr>
            <w:tcW w:w="4820" w:type="dxa"/>
          </w:tcPr>
          <w:p w14:paraId="20C81DC5" w14:textId="3FDBEE55" w:rsidR="003C29FF" w:rsidRPr="00C15426" w:rsidRDefault="003C29FF" w:rsidP="003C29FF">
            <w:pPr>
              <w:pStyle w:val="VAHItabletext"/>
              <w:rPr>
                <w:rFonts w:eastAsia="Verdana" w:cs="Verdana"/>
                <w:color w:val="696969"/>
                <w:szCs w:val="18"/>
              </w:rPr>
            </w:pPr>
            <w:r w:rsidRPr="00C15426">
              <w:rPr>
                <w:color w:val="696969"/>
              </w:rPr>
              <w:t>Results during 2011, 2012, 2016 and 2017 were affected by industrial activity and should be interpreted with caution.</w:t>
            </w:r>
          </w:p>
        </w:tc>
      </w:tr>
      <w:tr w:rsidR="003C29FF" w:rsidRPr="0069621D" w14:paraId="6F0B67B6" w14:textId="77777777" w:rsidTr="000B0CCC">
        <w:trPr>
          <w:cantSplit/>
        </w:trPr>
        <w:tc>
          <w:tcPr>
            <w:tcW w:w="1702" w:type="dxa"/>
            <w:shd w:val="clear" w:color="auto" w:fill="auto"/>
          </w:tcPr>
          <w:p w14:paraId="536BA0C3" w14:textId="77777777" w:rsidR="003C29FF" w:rsidRPr="00C15426" w:rsidRDefault="003C29FF" w:rsidP="003C29FF">
            <w:pPr>
              <w:pStyle w:val="VAHItabletext"/>
              <w:rPr>
                <w:color w:val="696969"/>
              </w:rPr>
            </w:pPr>
          </w:p>
        </w:tc>
        <w:tc>
          <w:tcPr>
            <w:tcW w:w="1842" w:type="dxa"/>
          </w:tcPr>
          <w:p w14:paraId="630334B3" w14:textId="73531B53" w:rsidR="003C29FF" w:rsidRPr="00C15426" w:rsidRDefault="003C29FF" w:rsidP="003C29FF">
            <w:pPr>
              <w:pStyle w:val="VAHItabletext"/>
              <w:rPr>
                <w:color w:val="696969"/>
              </w:rPr>
            </w:pPr>
            <w:r w:rsidRPr="00C15426">
              <w:rPr>
                <w:color w:val="696969"/>
              </w:rPr>
              <w:t>Average HoNOS at episode start</w:t>
            </w:r>
          </w:p>
        </w:tc>
        <w:tc>
          <w:tcPr>
            <w:tcW w:w="5103" w:type="dxa"/>
          </w:tcPr>
          <w:p w14:paraId="0D09AB65" w14:textId="564C474C" w:rsidR="003C29FF" w:rsidRPr="00C15426" w:rsidRDefault="003C29FF" w:rsidP="003C29FF">
            <w:pPr>
              <w:pStyle w:val="VAHItabletext"/>
              <w:rPr>
                <w:color w:val="696969"/>
              </w:rPr>
            </w:pPr>
            <w:r w:rsidRPr="00C15426">
              <w:rPr>
                <w:color w:val="696969"/>
              </w:rPr>
              <w:t>Average HoNOS total score (HNSADL) collected on secure extended care unit (SECU) episode start, excluding invalid scores (more than two times rated as '9').</w:t>
            </w:r>
          </w:p>
        </w:tc>
        <w:tc>
          <w:tcPr>
            <w:tcW w:w="1559" w:type="dxa"/>
          </w:tcPr>
          <w:p w14:paraId="4700F88A" w14:textId="77777777" w:rsidR="003C29FF" w:rsidRPr="00C15426" w:rsidRDefault="003C29FF" w:rsidP="003C29FF">
            <w:pPr>
              <w:pStyle w:val="VAHItabletext"/>
              <w:rPr>
                <w:color w:val="696969"/>
                <w:szCs w:val="18"/>
              </w:rPr>
            </w:pPr>
          </w:p>
        </w:tc>
        <w:tc>
          <w:tcPr>
            <w:tcW w:w="4820" w:type="dxa"/>
          </w:tcPr>
          <w:p w14:paraId="0B4B9E7A" w14:textId="47580A19" w:rsidR="003C29FF" w:rsidRPr="00C15426" w:rsidRDefault="003C29FF" w:rsidP="003C29FF">
            <w:pPr>
              <w:pStyle w:val="VAHItabletext"/>
              <w:rPr>
                <w:rFonts w:eastAsia="Verdana" w:cs="Verdana"/>
                <w:color w:val="696969"/>
                <w:szCs w:val="18"/>
              </w:rPr>
            </w:pPr>
            <w:r w:rsidRPr="00C15426">
              <w:rPr>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3C29FF" w:rsidRPr="0069621D" w14:paraId="309F686B" w14:textId="77777777" w:rsidTr="000B0CCC">
        <w:trPr>
          <w:cantSplit/>
        </w:trPr>
        <w:tc>
          <w:tcPr>
            <w:tcW w:w="1702" w:type="dxa"/>
            <w:shd w:val="clear" w:color="auto" w:fill="auto"/>
          </w:tcPr>
          <w:p w14:paraId="246978BE" w14:textId="77777777" w:rsidR="003C29FF" w:rsidRPr="00C15426" w:rsidRDefault="003C29FF" w:rsidP="003C29FF">
            <w:pPr>
              <w:pStyle w:val="VAHItabletext"/>
              <w:rPr>
                <w:color w:val="696969"/>
              </w:rPr>
            </w:pPr>
          </w:p>
        </w:tc>
        <w:tc>
          <w:tcPr>
            <w:tcW w:w="1842" w:type="dxa"/>
          </w:tcPr>
          <w:p w14:paraId="7D49C6F8" w14:textId="1788329B" w:rsidR="003C29FF" w:rsidRPr="00C15426" w:rsidRDefault="003C29FF" w:rsidP="003C29FF">
            <w:pPr>
              <w:pStyle w:val="VAHItabletext"/>
              <w:rPr>
                <w:color w:val="696969"/>
              </w:rPr>
            </w:pPr>
            <w:r w:rsidRPr="00C15426">
              <w:rPr>
                <w:color w:val="696969"/>
              </w:rPr>
              <w:t>BASIS32 offered</w:t>
            </w:r>
          </w:p>
        </w:tc>
        <w:tc>
          <w:tcPr>
            <w:tcW w:w="5103" w:type="dxa"/>
          </w:tcPr>
          <w:p w14:paraId="12630FE8" w14:textId="5F0A2FC3" w:rsidR="003C29FF" w:rsidRPr="00C15426" w:rsidRDefault="003C29FF" w:rsidP="003C29FF">
            <w:pPr>
              <w:pStyle w:val="VAHItabletext"/>
              <w:rPr>
                <w:color w:val="696969"/>
              </w:rPr>
            </w:pPr>
            <w:r w:rsidRPr="00C15426">
              <w:rPr>
                <w:color w:val="696969"/>
              </w:rPr>
              <w:t>Percentage of collection occasions in a secure extended care unit (SECU) where clinicians offered a relevant consumer self-assessment measurement scale (BASIS-32).</w:t>
            </w:r>
          </w:p>
        </w:tc>
        <w:tc>
          <w:tcPr>
            <w:tcW w:w="1559" w:type="dxa"/>
          </w:tcPr>
          <w:p w14:paraId="7D65FBD6" w14:textId="77777777" w:rsidR="003C29FF" w:rsidRPr="00C15426" w:rsidRDefault="003C29FF" w:rsidP="003C29FF">
            <w:pPr>
              <w:pStyle w:val="VAHItabletext"/>
              <w:rPr>
                <w:color w:val="696969"/>
                <w:szCs w:val="18"/>
              </w:rPr>
            </w:pPr>
          </w:p>
        </w:tc>
        <w:tc>
          <w:tcPr>
            <w:tcW w:w="4820" w:type="dxa"/>
          </w:tcPr>
          <w:p w14:paraId="4C7B48A9" w14:textId="24D7224F" w:rsidR="003C29FF" w:rsidRPr="00C15426" w:rsidRDefault="003C29FF" w:rsidP="003C29FF">
            <w:pPr>
              <w:pStyle w:val="VAHItabletext"/>
              <w:rPr>
                <w:rFonts w:eastAsia="Verdana" w:cs="Verdana"/>
                <w:color w:val="696969"/>
                <w:szCs w:val="18"/>
              </w:rPr>
            </w:pPr>
            <w:r w:rsidRPr="00C15426">
              <w:rPr>
                <w:color w:val="696969"/>
              </w:rPr>
              <w:t>Measure can be an indicator of services that actively seek consumer feedback and have systems in place to ensure that at a minimum the consumer measures are considered for collection. Results during 2011, 2012, 2016 and 2017 were affected by industrial activity and should be interpreted with caution.</w:t>
            </w:r>
          </w:p>
        </w:tc>
      </w:tr>
      <w:tr w:rsidR="003C29FF" w:rsidRPr="0069621D" w14:paraId="4E8E52F2" w14:textId="77777777" w:rsidTr="000B0CCC">
        <w:trPr>
          <w:cantSplit/>
        </w:trPr>
        <w:tc>
          <w:tcPr>
            <w:tcW w:w="1702" w:type="dxa"/>
            <w:shd w:val="clear" w:color="auto" w:fill="auto"/>
          </w:tcPr>
          <w:p w14:paraId="10DB92ED" w14:textId="77777777" w:rsidR="003C29FF" w:rsidRPr="00C15426" w:rsidRDefault="003C29FF" w:rsidP="003C29FF">
            <w:pPr>
              <w:pStyle w:val="VAHItabletext"/>
              <w:rPr>
                <w:color w:val="696969"/>
              </w:rPr>
            </w:pPr>
          </w:p>
        </w:tc>
        <w:tc>
          <w:tcPr>
            <w:tcW w:w="1842" w:type="dxa"/>
          </w:tcPr>
          <w:p w14:paraId="52A052E2" w14:textId="6C4BFBB3" w:rsidR="003C29FF" w:rsidRPr="00C15426" w:rsidRDefault="003C29FF" w:rsidP="003C29FF">
            <w:pPr>
              <w:pStyle w:val="VAHItabletext"/>
              <w:rPr>
                <w:color w:val="696969"/>
              </w:rPr>
            </w:pPr>
            <w:r w:rsidRPr="00C15426">
              <w:rPr>
                <w:color w:val="696969"/>
              </w:rPr>
              <w:t>BASIS32 completed</w:t>
            </w:r>
          </w:p>
        </w:tc>
        <w:tc>
          <w:tcPr>
            <w:tcW w:w="5103" w:type="dxa"/>
          </w:tcPr>
          <w:p w14:paraId="6B987833" w14:textId="3A03FB69" w:rsidR="003C29FF" w:rsidRPr="00C15426" w:rsidRDefault="003C29FF" w:rsidP="003C29FF">
            <w:pPr>
              <w:pStyle w:val="VAHItabletext"/>
              <w:rPr>
                <w:color w:val="696969"/>
              </w:rPr>
            </w:pPr>
            <w:r w:rsidRPr="00C15426">
              <w:rPr>
                <w:color w:val="696969"/>
              </w:rPr>
              <w:t>Percentage of collection occasions in a secure extended care unit (SECU) where consumers completed a relevant consumer self-assessment measurement scale (BASIS-32).</w:t>
            </w:r>
          </w:p>
        </w:tc>
        <w:tc>
          <w:tcPr>
            <w:tcW w:w="1559" w:type="dxa"/>
          </w:tcPr>
          <w:p w14:paraId="53481D09" w14:textId="77777777" w:rsidR="003C29FF" w:rsidRPr="00C15426" w:rsidRDefault="003C29FF" w:rsidP="003C29FF">
            <w:pPr>
              <w:pStyle w:val="VAHItabletext"/>
              <w:rPr>
                <w:color w:val="696969"/>
                <w:szCs w:val="18"/>
              </w:rPr>
            </w:pPr>
          </w:p>
        </w:tc>
        <w:tc>
          <w:tcPr>
            <w:tcW w:w="4820" w:type="dxa"/>
          </w:tcPr>
          <w:p w14:paraId="108EBA50" w14:textId="45D0CEE0" w:rsidR="003C29FF" w:rsidRPr="00C15426" w:rsidRDefault="003C29FF" w:rsidP="003C29FF">
            <w:pPr>
              <w:pStyle w:val="VAHItabletext"/>
              <w:rPr>
                <w:rFonts w:eastAsia="Verdana" w:cs="Verdana"/>
                <w:color w:val="696969"/>
                <w:szCs w:val="18"/>
              </w:rPr>
            </w:pPr>
            <w:r w:rsidRPr="00C15426">
              <w:rPr>
                <w:color w:val="696969"/>
              </w:rPr>
              <w:t>Measure can be an indicator of service engagement with families and carers. Results during 2011, 2012, 2016 and 2017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CD61DF1" w:rsidR="00CF11E1" w:rsidRPr="00BE2218" w:rsidRDefault="00CF11E1" w:rsidP="00A47400">
            <w:pPr>
              <w:pStyle w:val="VAHIbody"/>
            </w:pPr>
            <w:r w:rsidRPr="00BE2218">
              <w:t xml:space="preserve">© State of Victoria, Department of Health and Human Services </w:t>
            </w:r>
            <w:r w:rsidR="0056356A">
              <w:t>April</w:t>
            </w:r>
            <w:r w:rsidR="003330EE">
              <w:t xml:space="preserve"> 2020</w:t>
            </w:r>
            <w:r w:rsidR="0056356A">
              <w:t>.</w:t>
            </w:r>
          </w:p>
          <w:p w14:paraId="024159C8" w14:textId="2D83E854" w:rsidR="00CF11E1" w:rsidRPr="00BE2218" w:rsidRDefault="003C29FF" w:rsidP="00A47400">
            <w:pPr>
              <w:pStyle w:val="VAHIbody"/>
            </w:pPr>
            <w:r w:rsidRPr="00ED556E">
              <w:t xml:space="preserve">Available from </w:t>
            </w:r>
            <w:hyperlink r:id="rId17" w:history="1">
              <w:r w:rsidRPr="00ED556E">
                <w:rPr>
                  <w:rStyle w:val="Hyperlink"/>
                </w:rPr>
                <w:t>Extended treatment mental health performance indicator reports page</w:t>
              </w:r>
            </w:hyperlink>
            <w:r w:rsidRPr="00ED556E">
              <w:t xml:space="preserve"> &lt; https://www2.health.vic.gov.au/mental-health/research-and-reporting/mental-health-performance-reports/extended-treatment-performance-indicator-reports&gt; on the Health.vic website.</w:t>
            </w:r>
          </w:p>
        </w:tc>
      </w:tr>
      <w:bookmarkEnd w:id="16"/>
    </w:tbl>
    <w:p w14:paraId="3A12C78B" w14:textId="77777777" w:rsidR="00B2752E" w:rsidRPr="00C15426" w:rsidRDefault="00B2752E" w:rsidP="00C15426">
      <w:pPr>
        <w:pStyle w:val="VAHITOCheadingfactsheet"/>
        <w:rPr>
          <w:rFonts w:ascii="VIC" w:hAnsi="VIC"/>
          <w:sz w:val="2"/>
        </w:rPr>
      </w:pPr>
    </w:p>
    <w:sectPr w:rsidR="00B2752E" w:rsidRPr="00C15426"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A17C7C" w:rsidRDefault="00A17C7C">
      <w:r>
        <w:separator/>
      </w:r>
    </w:p>
  </w:endnote>
  <w:endnote w:type="continuationSeparator" w:id="0">
    <w:p w14:paraId="72E806BE" w14:textId="77777777" w:rsidR="00A17C7C" w:rsidRDefault="00A1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7C5B" w14:textId="77777777" w:rsidR="00D77155" w:rsidRDefault="00D77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78E9" w14:textId="125EBBFD" w:rsidR="0056356A" w:rsidRDefault="0056356A">
    <w:pPr>
      <w:pStyle w:val="Footer"/>
    </w:pPr>
    <w:r>
      <w:rPr>
        <w:noProof/>
      </w:rPr>
      <mc:AlternateContent>
        <mc:Choice Requires="wps">
          <w:drawing>
            <wp:anchor distT="0" distB="0" distL="114300" distR="114300" simplePos="0" relativeHeight="251659264" behindDoc="0" locked="0" layoutInCell="0" allowOverlap="1" wp14:anchorId="575E9B38" wp14:editId="361E5A79">
              <wp:simplePos x="0" y="0"/>
              <wp:positionH relativeFrom="page">
                <wp:posOffset>0</wp:posOffset>
              </wp:positionH>
              <wp:positionV relativeFrom="page">
                <wp:posOffset>7103110</wp:posOffset>
              </wp:positionV>
              <wp:extent cx="10692130" cy="266700"/>
              <wp:effectExtent l="0" t="0" r="0" b="0"/>
              <wp:wrapNone/>
              <wp:docPr id="2" name="MSIPCMcac448c19ba7b35935397ec3"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75396" w14:textId="632BAFA8"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5E9B38" id="_x0000_t202" coordsize="21600,21600" o:spt="202" path="m,l,21600r21600,l21600,xe">
              <v:stroke joinstyle="miter"/>
              <v:path gradientshapeok="t" o:connecttype="rect"/>
            </v:shapetype>
            <v:shape id="MSIPCMcac448c19ba7b35935397ec3"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Cx9cZRkDAAA2BgAADgAAAAAAAAAAAAAA&#10;AAAuAgAAZHJzL2Uyb0RvYy54bWxQSwECLQAUAAYACAAAACEAl3YXot4AAAALAQAADwAAAAAAAAAA&#10;AAAAAABzBQAAZHJzL2Rvd25yZXYueG1sUEsFBgAAAAAEAAQA8wAAAH4GAAAAAA==&#10;" o:allowincell="f" filled="f" stroked="f" strokeweight=".5pt">
              <v:textbox inset=",0,,0">
                <w:txbxContent>
                  <w:p w14:paraId="25475396" w14:textId="632BAFA8"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18E3" w14:textId="77777777" w:rsidR="00D77155" w:rsidRDefault="00D771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179CA353" w:rsidR="00A17C7C" w:rsidRDefault="0056356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6F325AA0" wp14:editId="1B51DF93">
              <wp:simplePos x="0" y="0"/>
              <wp:positionH relativeFrom="page">
                <wp:posOffset>0</wp:posOffset>
              </wp:positionH>
              <wp:positionV relativeFrom="page">
                <wp:posOffset>7103110</wp:posOffset>
              </wp:positionV>
              <wp:extent cx="10692130" cy="266700"/>
              <wp:effectExtent l="0" t="0" r="0" b="0"/>
              <wp:wrapNone/>
              <wp:docPr id="5" name="MSIPCMd88d4bb9880adb00f6f4455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F8890" w14:textId="2763474B"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325AA0" id="_x0000_t202" coordsize="21600,21600" o:spt="202" path="m,l,21600r21600,l21600,xe">
              <v:stroke joinstyle="miter"/>
              <v:path gradientshapeok="t" o:connecttype="rect"/>
            </v:shapetype>
            <v:shape id="MSIPCMd88d4bb9880adb00f6f4455d"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2CXL1xkDAAA9BgAADgAAAAAAAAAAAAAA&#10;AAAuAgAAZHJzL2Uyb0RvYy54bWxQSwECLQAUAAYACAAAACEAl3YXot4AAAALAQAADwAAAAAAAAAA&#10;AAAAAABzBQAAZHJzL2Rvd25yZXYueG1sUEsFBgAAAAAEAAQA8wAAAH4GAAAAAA==&#10;" o:allowincell="f" filled="f" stroked="f" strokeweight=".5pt">
              <v:textbox inset=",0,,0">
                <w:txbxContent>
                  <w:p w14:paraId="17AF8890" w14:textId="2763474B" w:rsidR="0056356A" w:rsidRPr="0056356A" w:rsidRDefault="0056356A" w:rsidP="0056356A">
                    <w:pPr>
                      <w:jc w:val="center"/>
                      <w:rPr>
                        <w:rFonts w:ascii="Arial Black" w:hAnsi="Arial Black"/>
                        <w:color w:val="000000"/>
                        <w:sz w:val="20"/>
                      </w:rPr>
                    </w:pPr>
                    <w:r w:rsidRPr="0056356A">
                      <w:rPr>
                        <w:rFonts w:ascii="Arial Black" w:hAnsi="Arial Black"/>
                        <w:color w:val="000000"/>
                        <w:sz w:val="20"/>
                      </w:rPr>
                      <w:t>OFFICIAL</w:t>
                    </w:r>
                  </w:p>
                </w:txbxContent>
              </v:textbox>
              <w10:wrap anchorx="page" anchory="page"/>
            </v:shape>
          </w:pict>
        </mc:Fallback>
      </mc:AlternateContent>
    </w:r>
    <w:r w:rsidR="00A17C7C" w:rsidRPr="000B0CCC">
      <w:rPr>
        <w:b w:val="0"/>
        <w:color w:val="244C5A"/>
        <w:sz w:val="16"/>
        <w:szCs w:val="16"/>
      </w:rPr>
      <w:t xml:space="preserve">Data Source: CMI/ODS, as at </w:t>
    </w:r>
    <w:r w:rsidR="00A17C7C">
      <w:rPr>
        <w:b w:val="0"/>
        <w:color w:val="244C5A"/>
        <w:sz w:val="16"/>
        <w:szCs w:val="16"/>
      </w:rPr>
      <w:t xml:space="preserve">10 </w:t>
    </w:r>
    <w:r>
      <w:rPr>
        <w:b w:val="0"/>
        <w:color w:val="244C5A"/>
        <w:sz w:val="16"/>
        <w:szCs w:val="16"/>
      </w:rPr>
      <w:t>April</w:t>
    </w:r>
    <w:r w:rsidR="00A17C7C">
      <w:rPr>
        <w:b w:val="0"/>
        <w:color w:val="244C5A"/>
        <w:sz w:val="16"/>
        <w:szCs w:val="16"/>
      </w:rPr>
      <w:t xml:space="preserve"> 2020</w:t>
    </w:r>
    <w:r w:rsidR="00A17C7C" w:rsidRPr="000B0CCC">
      <w:rPr>
        <w:b w:val="0"/>
        <w:color w:val="244C5A"/>
        <w:sz w:val="16"/>
        <w:szCs w:val="16"/>
      </w:rPr>
      <w:t>.</w:t>
    </w:r>
    <w:r w:rsidR="00A17C7C" w:rsidRPr="0069621D">
      <w:rPr>
        <w:b w:val="0"/>
        <w:color w:val="244C5A"/>
      </w:rPr>
      <w:t xml:space="preserve"> </w:t>
    </w:r>
    <w:r w:rsidR="00A17C7C">
      <w:rPr>
        <w:b w:val="0"/>
        <w:color w:val="244C5A"/>
      </w:rPr>
      <w:tab/>
    </w:r>
    <w:r w:rsidR="00A17C7C" w:rsidRPr="000B0CCC">
      <w:rPr>
        <w:rFonts w:ascii="VIC SemiBold" w:hAnsi="VIC SemiBold"/>
        <w:b w:val="0"/>
        <w:color w:val="244C5A"/>
      </w:rPr>
      <w:t>Victorian Agency for Health Information</w:t>
    </w:r>
  </w:p>
  <w:p w14:paraId="4FEACEF3" w14:textId="33F472A0" w:rsidR="00A17C7C" w:rsidRPr="000B0CCC" w:rsidRDefault="00A17C7C"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A17C7C" w:rsidRDefault="00A17C7C" w:rsidP="002862F1">
      <w:pPr>
        <w:spacing w:before="120"/>
      </w:pPr>
      <w:r>
        <w:separator/>
      </w:r>
    </w:p>
  </w:footnote>
  <w:footnote w:type="continuationSeparator" w:id="0">
    <w:p w14:paraId="33BA48A4" w14:textId="77777777" w:rsidR="00A17C7C" w:rsidRDefault="00A1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ED41" w14:textId="77777777" w:rsidR="00D77155" w:rsidRDefault="00D7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D926" w14:textId="77777777" w:rsidR="00D77155" w:rsidRDefault="00D77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11AEE" w14:textId="77777777" w:rsidR="00D77155" w:rsidRDefault="00D771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7A44666F" w:rsidR="00A17C7C" w:rsidRPr="00052DAD" w:rsidRDefault="00A17C7C"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Pr>
        <w:rFonts w:ascii="VIC Medium" w:hAnsi="VIC Medium"/>
        <w:color w:val="244C5A"/>
        <w:szCs w:val="24"/>
      </w:rPr>
      <w:t>2019–20 Q</w:t>
    </w:r>
    <w:r w:rsidR="0056356A">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7155"/>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88119-1CEE-4D29-8469-662C6CDE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2019-20 Q3 Extended mental health treatment setting quarterly KPI report</vt:lpstr>
    </vt:vector>
  </TitlesOfParts>
  <Company>Victorian Department of He alth and Human Services</Company>
  <LinksUpToDate>false</LinksUpToDate>
  <CharactersWithSpaces>22562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Q3 Extended mental health treatment setting quarterly KPI report</dc:title>
  <dc:subject/>
  <dc:creator>Victorian Agency for Health Information</dc:creator>
  <cp:keywords/>
  <cp:lastModifiedBy>Daniel Mendoza (DHHS)</cp:lastModifiedBy>
  <cp:revision>24</cp:revision>
  <cp:lastPrinted>2020-04-15T09:06:00Z</cp:lastPrinted>
  <dcterms:created xsi:type="dcterms:W3CDTF">2019-10-11T05:28:00Z</dcterms:created>
  <dcterms:modified xsi:type="dcterms:W3CDTF">2020-04-15T09:08:00Z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2020-04-15T08:20:51.2313500Z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ba1c443a-0a8e-4c67-84f5-dc53dcb2629c</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