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77777777" w:rsidR="0074696E" w:rsidRPr="004C6EEE" w:rsidRDefault="00951D03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33A4B6DE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410E7E" w:rsidRPr="00DE5658">
              <w:rPr>
                <w:color w:val="FFFFFF" w:themeColor="background1"/>
                <w:szCs w:val="28"/>
              </w:rPr>
              <w:t>2</w:t>
            </w:r>
            <w:r w:rsidR="00CB02CD" w:rsidRPr="00DE5658">
              <w:rPr>
                <w:color w:val="FFFFFF" w:themeColor="background1"/>
                <w:szCs w:val="28"/>
              </w:rPr>
              <w:t>3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895446">
              <w:rPr>
                <w:color w:val="FFFFFF" w:themeColor="background1"/>
                <w:szCs w:val="28"/>
              </w:rPr>
              <w:t>28</w:t>
            </w:r>
            <w:r w:rsidR="00CA2D66" w:rsidRPr="00DE5658">
              <w:rPr>
                <w:color w:val="FFFFFF" w:themeColor="background1"/>
                <w:szCs w:val="28"/>
              </w:rPr>
              <w:t xml:space="preserve"> </w:t>
            </w:r>
            <w:r w:rsidR="00B3038F" w:rsidRPr="00DE5658">
              <w:rPr>
                <w:color w:val="FFFFFF" w:themeColor="background1"/>
                <w:szCs w:val="28"/>
              </w:rPr>
              <w:t>June</w:t>
            </w:r>
            <w:r w:rsidR="00410E7E" w:rsidRPr="00DE5658">
              <w:rPr>
                <w:color w:val="FFFFFF" w:themeColor="background1"/>
                <w:szCs w:val="28"/>
              </w:rPr>
              <w:t xml:space="preserve"> 2019</w:t>
            </w:r>
          </w:p>
        </w:tc>
      </w:tr>
    </w:tbl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p w14:paraId="519EC104" w14:textId="1CC673DD" w:rsidR="00D745C5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2611828" w:history="1">
        <w:r w:rsidR="00D745C5" w:rsidRPr="007A00A1">
          <w:rPr>
            <w:rStyle w:val="Hyperlink"/>
          </w:rPr>
          <w:t>Global update</w:t>
        </w:r>
        <w:r w:rsidR="00D745C5">
          <w:rPr>
            <w:webHidden/>
          </w:rPr>
          <w:tab/>
        </w:r>
        <w:r w:rsidR="00D745C5">
          <w:rPr>
            <w:webHidden/>
          </w:rPr>
          <w:fldChar w:fldCharType="begin"/>
        </w:r>
        <w:r w:rsidR="00D745C5">
          <w:rPr>
            <w:webHidden/>
          </w:rPr>
          <w:instrText xml:space="preserve"> PAGEREF _Toc12611828 \h </w:instrText>
        </w:r>
        <w:r w:rsidR="00D745C5">
          <w:rPr>
            <w:webHidden/>
          </w:rPr>
        </w:r>
        <w:r w:rsidR="00D745C5">
          <w:rPr>
            <w:webHidden/>
          </w:rPr>
          <w:fldChar w:fldCharType="separate"/>
        </w:r>
        <w:r w:rsidR="00D745C5">
          <w:rPr>
            <w:webHidden/>
          </w:rPr>
          <w:t>1</w:t>
        </w:r>
        <w:r w:rsidR="00D745C5">
          <w:rPr>
            <w:webHidden/>
          </w:rPr>
          <w:fldChar w:fldCharType="end"/>
        </w:r>
      </w:hyperlink>
    </w:p>
    <w:p w14:paraId="525F898C" w14:textId="703A1257" w:rsidR="00D745C5" w:rsidRDefault="00D745C5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611829" w:history="1">
        <w:r w:rsidRPr="007A00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223.1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00A1">
          <w:rPr>
            <w:rStyle w:val="Hyperlink"/>
          </w:rPr>
          <w:t>Circulars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62CAA8F" w14:textId="48AB8F0D" w:rsidR="00D745C5" w:rsidRDefault="00D745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1830" w:history="1">
        <w:r w:rsidRPr="007A00A1">
          <w:rPr>
            <w:rStyle w:val="Hyperlink"/>
          </w:rPr>
          <w:t>Elective Surgery Information System (ESIS)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A97FC99" w14:textId="0936148B" w:rsidR="00D745C5" w:rsidRDefault="00D745C5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611831" w:history="1">
        <w:r w:rsidRPr="007A00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223.2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00A1">
          <w:rPr>
            <w:rStyle w:val="Hyperlink"/>
          </w:rPr>
          <w:t>ESIS manual for 2019–20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3C272D0" w14:textId="0154AAB3" w:rsidR="00D745C5" w:rsidRDefault="00D745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1832" w:history="1">
        <w:r w:rsidRPr="007A00A1">
          <w:rPr>
            <w:rStyle w:val="Hyperlink"/>
          </w:rPr>
          <w:t>Victorian Integrated Non-Admitted Health Minimum Dataset (VINAH)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5BB91B8" w14:textId="60C824C6" w:rsidR="00D745C5" w:rsidRDefault="00D745C5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611833" w:history="1">
        <w:r w:rsidRPr="007A00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223.3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00A1">
          <w:rPr>
            <w:rStyle w:val="Hyperlink"/>
          </w:rPr>
          <w:t>Segment OBX (amend)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7D218DB" w14:textId="564A1C20" w:rsidR="00D745C5" w:rsidRDefault="00D745C5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611834" w:history="1">
        <w:r w:rsidRPr="007A00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223.4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00A1">
          <w:rPr>
            <w:rStyle w:val="Hyperlink"/>
          </w:rPr>
          <w:t>VINAH 15 available in test environment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521081AB" w14:textId="646F338F" w:rsidR="00D745C5" w:rsidRDefault="00D745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1835" w:history="1">
        <w:r w:rsidRPr="007A00A1">
          <w:rPr>
            <w:rStyle w:val="Hyperlink"/>
          </w:rPr>
          <w:t>Victorian Admitted Episodes Dataset (VAED)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E4B5D8D" w14:textId="4C01897F" w:rsidR="00D745C5" w:rsidRDefault="00D745C5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2611836" w:history="1">
        <w:r w:rsidRPr="007A00A1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223.5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7A00A1">
          <w:rPr>
            <w:rStyle w:val="Hyperlink"/>
          </w:rPr>
          <w:t>Update to narrative of validations 450 and 451 in the VAED manual 2019–20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C50E1A9" w14:textId="68150FCD" w:rsidR="00D745C5" w:rsidRDefault="00D745C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2611837" w:history="1">
        <w:r w:rsidRPr="007A00A1">
          <w:rPr>
            <w:rStyle w:val="Hyperlink"/>
          </w:rPr>
          <w:t>Contact details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_Toc12611837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70253DF" w14:textId="0FDDF8CE" w:rsidR="007173CA" w:rsidRDefault="00AD784C" w:rsidP="000B52A3">
      <w:pPr>
        <w:pStyle w:val="DHHSbody"/>
        <w:spacing w:before="240"/>
      </w:pPr>
      <w:r>
        <w:fldChar w:fldCharType="end"/>
      </w:r>
    </w:p>
    <w:p w14:paraId="5F587DAF" w14:textId="77777777"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60DA7D16" w14:textId="77777777" w:rsidR="00893AF6" w:rsidRPr="00B57329" w:rsidRDefault="00951D03" w:rsidP="000A6666">
      <w:pPr>
        <w:pStyle w:val="Heading1"/>
        <w:spacing w:before="0"/>
      </w:pPr>
      <w:bookmarkStart w:id="0" w:name="_Toc12611828"/>
      <w:r>
        <w:t>Global update</w:t>
      </w:r>
      <w:bookmarkEnd w:id="0"/>
    </w:p>
    <w:p w14:paraId="38FD9F04" w14:textId="77777777" w:rsidR="00996739" w:rsidRPr="00EA0C53" w:rsidRDefault="00996739" w:rsidP="00CB02CD">
      <w:pPr>
        <w:pStyle w:val="Heading2"/>
      </w:pPr>
      <w:bookmarkStart w:id="1" w:name="_Toc12611829"/>
      <w:r w:rsidRPr="00EA0C53">
        <w:t>Circulars</w:t>
      </w:r>
      <w:bookmarkEnd w:id="1"/>
    </w:p>
    <w:p w14:paraId="74CA371D" w14:textId="07D7A164" w:rsidR="00021F0B" w:rsidRDefault="00344E29" w:rsidP="00FA3525">
      <w:pPr>
        <w:pStyle w:val="DHHSbody"/>
      </w:pPr>
      <w:r>
        <w:t>The following</w:t>
      </w:r>
      <w:r w:rsidR="00996739">
        <w:t xml:space="preserve"> </w:t>
      </w:r>
      <w:r w:rsidR="00E0027E">
        <w:t xml:space="preserve">private hospital </w:t>
      </w:r>
      <w:r w:rsidR="00DA08FE">
        <w:t xml:space="preserve">insurance (PHI) </w:t>
      </w:r>
      <w:r w:rsidR="003500FA">
        <w:t>circular</w:t>
      </w:r>
      <w:r w:rsidR="00F37E5E">
        <w:t>s have</w:t>
      </w:r>
      <w:r w:rsidR="00187286">
        <w:t xml:space="preserve"> been released since the publication of HDSS Bulletin 2</w:t>
      </w:r>
      <w:r w:rsidR="00BF625A">
        <w:t>2</w:t>
      </w:r>
      <w:r w:rsidR="00CB02CD">
        <w:t>2</w:t>
      </w:r>
      <w:r w:rsidR="00187286">
        <w:t>.</w:t>
      </w:r>
    </w:p>
    <w:p w14:paraId="654BD505" w14:textId="660E55D4" w:rsidR="00DA08FE" w:rsidRDefault="00DA08FE" w:rsidP="00545BEC">
      <w:pPr>
        <w:pStyle w:val="DHHSbody"/>
      </w:pPr>
      <w:r w:rsidRPr="00DA08FE">
        <w:t>PHI 36/19</w:t>
      </w:r>
      <w:r w:rsidR="000032AC">
        <w:t xml:space="preserve"> </w:t>
      </w:r>
      <w:r w:rsidRPr="00DA08FE">
        <w:t>Hospital Declarations</w:t>
      </w:r>
    </w:p>
    <w:p w14:paraId="204F13F4" w14:textId="3E092181" w:rsidR="00DA08FE" w:rsidRDefault="00DA08FE" w:rsidP="00545BEC">
      <w:pPr>
        <w:pStyle w:val="DHHSbody"/>
      </w:pPr>
      <w:r w:rsidRPr="00DA08FE">
        <w:t>PHI 37/19</w:t>
      </w:r>
      <w:r w:rsidR="000032AC">
        <w:t xml:space="preserve"> </w:t>
      </w:r>
      <w:r w:rsidRPr="00DA08FE">
        <w:t>July 2019 Prostheses List – Delay in Publication</w:t>
      </w:r>
    </w:p>
    <w:p w14:paraId="027A9F34" w14:textId="1798DC66" w:rsidR="00DA08FE" w:rsidRDefault="00DA08FE" w:rsidP="0018574E">
      <w:pPr>
        <w:pStyle w:val="DHHSbody"/>
      </w:pPr>
      <w:r w:rsidRPr="00DA08FE">
        <w:t>PHI 38/19</w:t>
      </w:r>
      <w:r w:rsidR="000032AC">
        <w:t xml:space="preserve"> </w:t>
      </w:r>
      <w:r w:rsidRPr="00DA08FE">
        <w:t>Private Health Insurance (Prostheses) Rules (No. 2) 2019</w:t>
      </w:r>
    </w:p>
    <w:p w14:paraId="2070B28F" w14:textId="34F3729D" w:rsidR="00401692" w:rsidRPr="00401692" w:rsidRDefault="00DA08FE" w:rsidP="00E4430B">
      <w:pPr>
        <w:pStyle w:val="DHHSbody"/>
        <w:rPr>
          <w:lang w:eastAsia="en-AU"/>
        </w:rPr>
      </w:pPr>
      <w:r>
        <w:rPr>
          <w:lang w:eastAsia="en-AU"/>
        </w:rPr>
        <w:t xml:space="preserve">Access </w:t>
      </w:r>
      <w:r w:rsidR="000A2BA2">
        <w:rPr>
          <w:lang w:eastAsia="en-AU"/>
        </w:rPr>
        <w:t>2019</w:t>
      </w:r>
      <w:r w:rsidR="00401692" w:rsidRPr="00401692">
        <w:rPr>
          <w:lang w:eastAsia="en-AU"/>
        </w:rPr>
        <w:t xml:space="preserve"> </w:t>
      </w:r>
      <w:r>
        <w:rPr>
          <w:lang w:eastAsia="en-AU"/>
        </w:rPr>
        <w:t xml:space="preserve">PHI </w:t>
      </w:r>
      <w:r w:rsidR="00401692" w:rsidRPr="00401692">
        <w:rPr>
          <w:lang w:eastAsia="en-AU"/>
        </w:rPr>
        <w:t>circulars</w:t>
      </w:r>
      <w:r>
        <w:rPr>
          <w:lang w:eastAsia="en-AU"/>
        </w:rPr>
        <w:t xml:space="preserve"> at:</w:t>
      </w:r>
      <w:r w:rsidR="0018574E">
        <w:rPr>
          <w:lang w:eastAsia="en-AU"/>
        </w:rPr>
        <w:t xml:space="preserve"> </w:t>
      </w:r>
      <w:hyperlink r:id="rId12" w:history="1">
        <w:r w:rsidRPr="00DA08FE">
          <w:rPr>
            <w:rStyle w:val="Hyperlink"/>
            <w:lang w:eastAsia="en-AU"/>
          </w:rPr>
          <w:t>Private hospital circulars</w:t>
        </w:r>
      </w:hyperlink>
      <w:r>
        <w:rPr>
          <w:lang w:eastAsia="en-AU"/>
        </w:rPr>
        <w:t xml:space="preserve"> &lt;</w:t>
      </w:r>
      <w:r w:rsidRPr="00DA08FE">
        <w:rPr>
          <w:lang w:eastAsia="en-AU"/>
        </w:rPr>
        <w:t>http://www.health.gov.au/internet/main/publishing.nsf/Content/health-phicirculars2019-index1</w:t>
      </w:r>
      <w:r>
        <w:rPr>
          <w:lang w:eastAsia="en-AU"/>
        </w:rPr>
        <w:t xml:space="preserve">&gt; </w:t>
      </w:r>
    </w:p>
    <w:p w14:paraId="02C54879" w14:textId="657A01C7" w:rsidR="0018574E" w:rsidRDefault="00B9267F" w:rsidP="00DA08FE">
      <w:pPr>
        <w:pStyle w:val="DHHSbody"/>
      </w:pPr>
      <w:r>
        <w:t>No</w:t>
      </w:r>
      <w:r w:rsidR="00770343">
        <w:t xml:space="preserve"> hospital circular</w:t>
      </w:r>
      <w:r w:rsidR="00412E5C">
        <w:t>s have</w:t>
      </w:r>
      <w:r w:rsidR="003500FA">
        <w:t xml:space="preserve"> been released since the publication of HDSS Bulletin 2</w:t>
      </w:r>
      <w:r w:rsidR="006844EB">
        <w:t>2</w:t>
      </w:r>
      <w:r w:rsidR="00DA08FE">
        <w:t>2</w:t>
      </w:r>
      <w:r w:rsidR="003500FA">
        <w:t>.</w:t>
      </w:r>
    </w:p>
    <w:p w14:paraId="557B6474" w14:textId="59E008FA" w:rsidR="0018574E" w:rsidRDefault="00DA08FE" w:rsidP="00DA08FE">
      <w:pPr>
        <w:pStyle w:val="DHHSbody"/>
      </w:pPr>
      <w:r>
        <w:t>Access h</w:t>
      </w:r>
      <w:r w:rsidR="001D0A0B">
        <w:t>ospital c</w:t>
      </w:r>
      <w:r w:rsidR="00FD047A">
        <w:t>irculars</w:t>
      </w:r>
      <w:r>
        <w:t xml:space="preserve"> at:</w:t>
      </w:r>
      <w:r w:rsidR="00FD047A">
        <w:t xml:space="preserve"> </w:t>
      </w:r>
      <w:hyperlink r:id="rId13" w:history="1">
        <w:r w:rsidRPr="00DA08FE">
          <w:rPr>
            <w:rStyle w:val="Hyperlink"/>
          </w:rPr>
          <w:t>Hospital circulars</w:t>
        </w:r>
      </w:hyperlink>
      <w:r>
        <w:t xml:space="preserve"> </w:t>
      </w:r>
      <w:r w:rsidR="0018574E">
        <w:t>&lt;</w:t>
      </w:r>
      <w:r w:rsidR="0018574E" w:rsidRPr="0018574E">
        <w:t>https://www2.health.vic.gov.au/about/news-and-events/hospitalcirculars</w:t>
      </w:r>
      <w:r w:rsidR="0018574E">
        <w:t>&gt;</w:t>
      </w:r>
    </w:p>
    <w:p w14:paraId="0AFF0D2E" w14:textId="77777777" w:rsidR="00C451B2" w:rsidRDefault="00C451B2"/>
    <w:p w14:paraId="4D0410D3" w14:textId="77777777" w:rsidR="00C451B2" w:rsidRDefault="00C451B2" w:rsidP="00C451B2">
      <w:pPr>
        <w:pStyle w:val="Heading1"/>
      </w:pPr>
      <w:bookmarkStart w:id="2" w:name="_Toc12611830"/>
      <w:r>
        <w:t>Elective Surgery Information System (ESIS)</w:t>
      </w:r>
      <w:bookmarkEnd w:id="2"/>
    </w:p>
    <w:p w14:paraId="300651EF" w14:textId="77777777" w:rsidR="00C451B2" w:rsidRDefault="00C451B2" w:rsidP="00C451B2">
      <w:pPr>
        <w:pStyle w:val="Heading2"/>
      </w:pPr>
      <w:bookmarkStart w:id="3" w:name="_Hlk7006912"/>
      <w:bookmarkStart w:id="4" w:name="_Toc12611831"/>
      <w:r>
        <w:t>ESIS manual for 2019–20</w:t>
      </w:r>
      <w:bookmarkEnd w:id="4"/>
      <w:r>
        <w:t xml:space="preserve"> </w:t>
      </w:r>
    </w:p>
    <w:bookmarkEnd w:id="3"/>
    <w:p w14:paraId="7D820B26" w14:textId="77777777" w:rsidR="00C451B2" w:rsidRDefault="00C451B2" w:rsidP="00C451B2">
      <w:pPr>
        <w:pStyle w:val="DHHSbody"/>
      </w:pPr>
      <w:r>
        <w:t xml:space="preserve">The </w:t>
      </w:r>
      <w:r w:rsidRPr="00935947">
        <w:t>ESIS manual for 2019–20</w:t>
      </w:r>
      <w:r>
        <w:t xml:space="preserve"> is available on the HDSS website.</w:t>
      </w:r>
    </w:p>
    <w:p w14:paraId="11B17E39" w14:textId="27127AD5" w:rsidR="0018574E" w:rsidRDefault="0018574E">
      <w:pPr>
        <w:rPr>
          <w:rFonts w:ascii="Arial" w:eastAsia="Times" w:hAnsi="Arial"/>
        </w:rPr>
      </w:pPr>
      <w:r>
        <w:br w:type="page"/>
      </w:r>
    </w:p>
    <w:p w14:paraId="21E7F19D" w14:textId="7467E5B2" w:rsidR="00CB02CD" w:rsidRPr="00F17569" w:rsidRDefault="00CB02CD" w:rsidP="00CB02CD">
      <w:pPr>
        <w:pStyle w:val="Heading1"/>
      </w:pPr>
      <w:bookmarkStart w:id="5" w:name="_Toc12611832"/>
      <w:r w:rsidRPr="00F17569">
        <w:lastRenderedPageBreak/>
        <w:t>Victorian Integrated Non-Admitted Health Minimum Dataset (VINAH)</w:t>
      </w:r>
      <w:bookmarkEnd w:id="5"/>
    </w:p>
    <w:p w14:paraId="31A7E725" w14:textId="1B5CA67A" w:rsidR="00CB02CD" w:rsidRPr="00CB02CD" w:rsidRDefault="00FC5F31" w:rsidP="00FC5F31">
      <w:pPr>
        <w:pStyle w:val="Heading2"/>
      </w:pPr>
      <w:bookmarkStart w:id="6" w:name="_Toc12611833"/>
      <w:r w:rsidRPr="007946E6">
        <w:t>Segment OBX</w:t>
      </w:r>
      <w:r>
        <w:t xml:space="preserve"> (amend)</w:t>
      </w:r>
      <w:bookmarkEnd w:id="6"/>
    </w:p>
    <w:p w14:paraId="5426D844" w14:textId="77777777" w:rsidR="00FC5F31" w:rsidRPr="000032AC" w:rsidRDefault="00FC5F31" w:rsidP="000032AC">
      <w:pPr>
        <w:pStyle w:val="DHHSbody"/>
      </w:pPr>
      <w:bookmarkStart w:id="7" w:name="_Toc410654371"/>
      <w:bookmarkStart w:id="8" w:name="_Toc516817796"/>
      <w:bookmarkStart w:id="9" w:name="_Toc533145053"/>
      <w:r w:rsidRPr="000032AC">
        <w:t xml:space="preserve">The following change has been made to the “Specifications for revisions to Victorian Integrated Non-Admitted Health minimum dataset (VINAH) for 1 July 2019” to correct and clarify the change to the OBX segment relating to Referral </w:t>
      </w:r>
      <w:proofErr w:type="gramStart"/>
      <w:r w:rsidRPr="000032AC">
        <w:t>In</w:t>
      </w:r>
      <w:proofErr w:type="gramEnd"/>
      <w:r w:rsidRPr="000032AC">
        <w:t xml:space="preserve"> Outcome.</w:t>
      </w:r>
    </w:p>
    <w:bookmarkEnd w:id="7"/>
    <w:bookmarkEnd w:id="8"/>
    <w:bookmarkEnd w:id="9"/>
    <w:p w14:paraId="452D8917" w14:textId="77777777" w:rsidR="00FC5F31" w:rsidRPr="00E32167" w:rsidRDefault="00FC5F31" w:rsidP="00FC5F31">
      <w:pPr>
        <w:pStyle w:val="DHHSbody"/>
        <w:spacing w:after="0"/>
        <w:rPr>
          <w:lang w:val="en-US"/>
        </w:rPr>
      </w:pPr>
      <w:r w:rsidRPr="00E32167">
        <w:rPr>
          <w:lang w:val="en-US"/>
        </w:rPr>
        <w:t>Used in this implementation for two purposes;</w:t>
      </w:r>
    </w:p>
    <w:p w14:paraId="7EF120A0" w14:textId="77777777" w:rsidR="00FC5F31" w:rsidRPr="009E605D" w:rsidRDefault="00FC5F31" w:rsidP="00FC5F31">
      <w:pPr>
        <w:pStyle w:val="DHHSbody"/>
        <w:numPr>
          <w:ilvl w:val="0"/>
          <w:numId w:val="36"/>
        </w:numPr>
        <w:spacing w:after="0"/>
        <w:rPr>
          <w:rFonts w:eastAsia="Times New Roman"/>
          <w:highlight w:val="green"/>
          <w:lang w:val="en-US"/>
        </w:rPr>
      </w:pPr>
      <w:r w:rsidRPr="009E605D">
        <w:rPr>
          <w:rFonts w:eastAsia="Times New Roman"/>
          <w:highlight w:val="green"/>
          <w:lang w:val="en-US"/>
        </w:rPr>
        <w:t xml:space="preserve">To code the following items associated with an episode; </w:t>
      </w:r>
    </w:p>
    <w:p w14:paraId="037DA233" w14:textId="77777777" w:rsidR="00FC5F31" w:rsidRPr="0061274F" w:rsidRDefault="00FC5F31" w:rsidP="00FC5F31">
      <w:pPr>
        <w:pStyle w:val="DHHSbody"/>
        <w:numPr>
          <w:ilvl w:val="1"/>
          <w:numId w:val="36"/>
        </w:numPr>
        <w:spacing w:after="0"/>
        <w:rPr>
          <w:rFonts w:eastAsia="Times New Roman"/>
          <w:highlight w:val="green"/>
          <w:lang w:val="en-US"/>
        </w:rPr>
      </w:pPr>
      <w:r w:rsidRPr="009E605D">
        <w:rPr>
          <w:rFonts w:eastAsia="Times New Roman"/>
          <w:highlight w:val="green"/>
          <w:lang w:val="en-US"/>
        </w:rPr>
        <w:t>Health Condition, Other Factors Affecting Health and Malignancy Flag</w:t>
      </w:r>
    </w:p>
    <w:p w14:paraId="05C42C9D" w14:textId="77777777" w:rsidR="00FC5F31" w:rsidRPr="009E605D" w:rsidRDefault="00FC5F31" w:rsidP="00FC5F31">
      <w:pPr>
        <w:pStyle w:val="DHHSbody"/>
        <w:numPr>
          <w:ilvl w:val="0"/>
          <w:numId w:val="36"/>
        </w:numPr>
        <w:rPr>
          <w:lang w:val="en-US"/>
        </w:rPr>
      </w:pPr>
      <w:r w:rsidRPr="009E605D">
        <w:rPr>
          <w:lang w:val="en-US"/>
        </w:rPr>
        <w:t xml:space="preserve">To code a Referral </w:t>
      </w:r>
      <w:proofErr w:type="gramStart"/>
      <w:r w:rsidRPr="009E605D">
        <w:rPr>
          <w:lang w:val="en-US"/>
        </w:rPr>
        <w:t>In</w:t>
      </w:r>
      <w:proofErr w:type="gramEnd"/>
      <w:r w:rsidRPr="009E605D">
        <w:rPr>
          <w:lang w:val="en-US"/>
        </w:rPr>
        <w:t xml:space="preserve"> </w:t>
      </w:r>
      <w:r>
        <w:rPr>
          <w:lang w:val="en-US"/>
        </w:rPr>
        <w:t>O</w:t>
      </w:r>
      <w:r w:rsidRPr="009E605D">
        <w:rPr>
          <w:lang w:val="en-US"/>
        </w:rPr>
        <w:t>utcome and associated outcome date</w:t>
      </w:r>
    </w:p>
    <w:p w14:paraId="51F02B59" w14:textId="77777777" w:rsidR="00FC5F31" w:rsidRPr="006C23E3" w:rsidRDefault="00FC5F31" w:rsidP="00FC5F31">
      <w:pPr>
        <w:pStyle w:val="DHHSbody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3401"/>
        <w:gridCol w:w="790"/>
        <w:gridCol w:w="1194"/>
        <w:gridCol w:w="1050"/>
        <w:gridCol w:w="1265"/>
        <w:gridCol w:w="1057"/>
        <w:gridCol w:w="1344"/>
      </w:tblGrid>
      <w:tr w:rsidR="00FC5F31" w:rsidRPr="007946E6" w14:paraId="56BC97AD" w14:textId="77777777" w:rsidTr="00FA20DC">
        <w:trPr>
          <w:trHeight w:hRule="exact" w:val="581"/>
          <w:tblHeader/>
          <w:jc w:val="center"/>
        </w:trPr>
        <w:tc>
          <w:tcPr>
            <w:tcW w:w="153" w:type="pct"/>
            <w:shd w:val="clear" w:color="auto" w:fill="auto"/>
          </w:tcPr>
          <w:p w14:paraId="05BBC489" w14:textId="77777777" w:rsidR="00FC5F31" w:rsidRPr="007946E6" w:rsidRDefault="00FC5F31" w:rsidP="004864E5">
            <w:pPr>
              <w:pStyle w:val="ManualHL7TBody"/>
              <w:ind w:left="-138" w:right="-132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2" w:type="pct"/>
            <w:shd w:val="clear" w:color="auto" w:fill="auto"/>
          </w:tcPr>
          <w:p w14:paraId="0F6F6F06" w14:textId="77777777" w:rsidR="00FC5F31" w:rsidRPr="007946E6" w:rsidRDefault="00FC5F31" w:rsidP="004864E5">
            <w:pPr>
              <w:pStyle w:val="DHHStablecolhead"/>
              <w:rPr>
                <w:sz w:val="18"/>
                <w:szCs w:val="18"/>
              </w:rPr>
            </w:pPr>
            <w:r w:rsidRPr="007946E6">
              <w:rPr>
                <w:sz w:val="18"/>
                <w:szCs w:val="18"/>
              </w:rPr>
              <w:t>Name</w:t>
            </w:r>
          </w:p>
        </w:tc>
        <w:tc>
          <w:tcPr>
            <w:tcW w:w="379" w:type="pct"/>
          </w:tcPr>
          <w:p w14:paraId="4102F5F2" w14:textId="77777777" w:rsidR="00FC5F31" w:rsidRPr="007946E6" w:rsidRDefault="00FC5F31" w:rsidP="004864E5">
            <w:pPr>
              <w:pStyle w:val="DHHStablecolhead"/>
              <w:rPr>
                <w:sz w:val="18"/>
                <w:szCs w:val="18"/>
              </w:rPr>
            </w:pPr>
            <w:r w:rsidRPr="007946E6">
              <w:rPr>
                <w:sz w:val="18"/>
                <w:szCs w:val="18"/>
              </w:rPr>
              <w:t>Data type</w:t>
            </w:r>
          </w:p>
        </w:tc>
        <w:tc>
          <w:tcPr>
            <w:tcW w:w="573" w:type="pct"/>
          </w:tcPr>
          <w:p w14:paraId="29A22AAB" w14:textId="77777777" w:rsidR="00FC5F31" w:rsidRPr="007946E6" w:rsidRDefault="00FC5F31" w:rsidP="004864E5">
            <w:pPr>
              <w:pStyle w:val="DHHStablecolhead"/>
              <w:rPr>
                <w:sz w:val="18"/>
                <w:szCs w:val="18"/>
              </w:rPr>
            </w:pPr>
            <w:r w:rsidRPr="007946E6">
              <w:rPr>
                <w:sz w:val="18"/>
                <w:szCs w:val="18"/>
              </w:rPr>
              <w:t>Required</w:t>
            </w:r>
          </w:p>
        </w:tc>
        <w:tc>
          <w:tcPr>
            <w:tcW w:w="504" w:type="pct"/>
          </w:tcPr>
          <w:p w14:paraId="4D4BAF39" w14:textId="77777777" w:rsidR="00FC5F31" w:rsidRPr="007946E6" w:rsidRDefault="00FC5F31" w:rsidP="004864E5">
            <w:pPr>
              <w:pStyle w:val="DHHStablecolhead"/>
              <w:rPr>
                <w:sz w:val="18"/>
                <w:szCs w:val="18"/>
              </w:rPr>
            </w:pPr>
            <w:r w:rsidRPr="007946E6">
              <w:rPr>
                <w:sz w:val="18"/>
                <w:szCs w:val="18"/>
              </w:rPr>
              <w:t>Length</w:t>
            </w:r>
          </w:p>
        </w:tc>
        <w:tc>
          <w:tcPr>
            <w:tcW w:w="607" w:type="pct"/>
          </w:tcPr>
          <w:p w14:paraId="6B8DF406" w14:textId="77777777" w:rsidR="00FC5F31" w:rsidRPr="007946E6" w:rsidRDefault="00FC5F31" w:rsidP="004864E5">
            <w:pPr>
              <w:pStyle w:val="DHHStablecolhead"/>
              <w:rPr>
                <w:sz w:val="18"/>
                <w:szCs w:val="18"/>
              </w:rPr>
            </w:pPr>
            <w:r w:rsidRPr="007946E6">
              <w:rPr>
                <w:sz w:val="18"/>
                <w:szCs w:val="18"/>
              </w:rPr>
              <w:t>Cardinality</w:t>
            </w:r>
          </w:p>
        </w:tc>
        <w:tc>
          <w:tcPr>
            <w:tcW w:w="507" w:type="pct"/>
          </w:tcPr>
          <w:p w14:paraId="3FD76D9C" w14:textId="77777777" w:rsidR="00FC5F31" w:rsidRPr="007946E6" w:rsidRDefault="00FC5F31" w:rsidP="004864E5">
            <w:pPr>
              <w:pStyle w:val="DHHStablecolhead"/>
              <w:rPr>
                <w:sz w:val="18"/>
                <w:szCs w:val="18"/>
              </w:rPr>
            </w:pPr>
            <w:r w:rsidRPr="007946E6">
              <w:rPr>
                <w:sz w:val="18"/>
                <w:szCs w:val="18"/>
              </w:rPr>
              <w:t>Fixed value</w:t>
            </w:r>
          </w:p>
        </w:tc>
        <w:tc>
          <w:tcPr>
            <w:tcW w:w="645" w:type="pct"/>
          </w:tcPr>
          <w:p w14:paraId="4694D502" w14:textId="77777777" w:rsidR="00FC5F31" w:rsidRPr="007946E6" w:rsidRDefault="00FC5F31" w:rsidP="004864E5">
            <w:pPr>
              <w:pStyle w:val="DHHStablecolhead"/>
              <w:rPr>
                <w:sz w:val="18"/>
                <w:szCs w:val="18"/>
              </w:rPr>
            </w:pPr>
            <w:r w:rsidRPr="007946E6">
              <w:rPr>
                <w:sz w:val="18"/>
                <w:szCs w:val="18"/>
              </w:rPr>
              <w:t>Validation table</w:t>
            </w:r>
          </w:p>
        </w:tc>
      </w:tr>
      <w:tr w:rsidR="00FC5F31" w:rsidRPr="007946E6" w14:paraId="5F3E58B0" w14:textId="77777777" w:rsidTr="00FA20DC">
        <w:trPr>
          <w:trHeight w:hRule="exact" w:val="284"/>
          <w:jc w:val="center"/>
        </w:trPr>
        <w:tc>
          <w:tcPr>
            <w:tcW w:w="153" w:type="pct"/>
            <w:shd w:val="clear" w:color="auto" w:fill="auto"/>
            <w:vAlign w:val="center"/>
          </w:tcPr>
          <w:p w14:paraId="1C139B8C" w14:textId="77777777" w:rsidR="00FC5F31" w:rsidRPr="007946E6" w:rsidRDefault="00FC5F31" w:rsidP="004864E5">
            <w:pPr>
              <w:pStyle w:val="ManualHL7TBody"/>
              <w:ind w:left="-138" w:right="-132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3742F937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46E6">
              <w:rPr>
                <w:rFonts w:ascii="Arial" w:hAnsi="Arial"/>
                <w:sz w:val="18"/>
                <w:szCs w:val="18"/>
              </w:rPr>
              <w:t>SetID</w:t>
            </w:r>
            <w:proofErr w:type="spellEnd"/>
          </w:p>
        </w:tc>
        <w:tc>
          <w:tcPr>
            <w:tcW w:w="379" w:type="pct"/>
            <w:vAlign w:val="center"/>
          </w:tcPr>
          <w:p w14:paraId="1F5F8507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r w:rsidRPr="007946E6">
              <w:rPr>
                <w:rFonts w:ascii="Arial" w:hAnsi="Arial"/>
                <w:sz w:val="18"/>
                <w:szCs w:val="18"/>
              </w:rPr>
              <w:t>SI</w:t>
            </w:r>
          </w:p>
        </w:tc>
        <w:tc>
          <w:tcPr>
            <w:tcW w:w="573" w:type="pct"/>
            <w:vAlign w:val="center"/>
          </w:tcPr>
          <w:p w14:paraId="2E7F336A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Required</w:t>
            </w:r>
          </w:p>
        </w:tc>
        <w:tc>
          <w:tcPr>
            <w:tcW w:w="504" w:type="pct"/>
            <w:vAlign w:val="center"/>
          </w:tcPr>
          <w:p w14:paraId="60E42320" w14:textId="77777777" w:rsidR="00FC5F31" w:rsidRPr="007946E6" w:rsidRDefault="00FC5F31" w:rsidP="00FC5F31">
            <w:pPr>
              <w:pStyle w:val="ManualHL7TBody"/>
              <w:numPr>
                <w:ilvl w:val="0"/>
                <w:numId w:val="30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.4</w:t>
            </w:r>
          </w:p>
        </w:tc>
        <w:tc>
          <w:tcPr>
            <w:tcW w:w="607" w:type="pct"/>
            <w:vAlign w:val="center"/>
          </w:tcPr>
          <w:p w14:paraId="2B24769E" w14:textId="77777777" w:rsidR="00FC5F31" w:rsidRPr="007946E6" w:rsidRDefault="00FC5F31" w:rsidP="00FC5F31">
            <w:pPr>
              <w:pStyle w:val="ManualHL7TBody"/>
              <w:numPr>
                <w:ilvl w:val="0"/>
                <w:numId w:val="34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  .1</w:t>
            </w:r>
          </w:p>
        </w:tc>
        <w:tc>
          <w:tcPr>
            <w:tcW w:w="507" w:type="pct"/>
            <w:vAlign w:val="center"/>
          </w:tcPr>
          <w:p w14:paraId="30E745C5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  <w:vAlign w:val="center"/>
          </w:tcPr>
          <w:p w14:paraId="336C5D26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/>
                <w:sz w:val="18"/>
                <w:szCs w:val="18"/>
              </w:rPr>
            </w:pPr>
          </w:p>
        </w:tc>
      </w:tr>
      <w:tr w:rsidR="00FC5F31" w:rsidRPr="007946E6" w14:paraId="19188313" w14:textId="77777777" w:rsidTr="00FA20DC">
        <w:trPr>
          <w:trHeight w:hRule="exact" w:val="284"/>
          <w:jc w:val="center"/>
        </w:trPr>
        <w:tc>
          <w:tcPr>
            <w:tcW w:w="153" w:type="pct"/>
            <w:shd w:val="clear" w:color="auto" w:fill="auto"/>
            <w:vAlign w:val="center"/>
          </w:tcPr>
          <w:p w14:paraId="75DD48A0" w14:textId="77777777" w:rsidR="00FC5F31" w:rsidRPr="007946E6" w:rsidRDefault="00FC5F31" w:rsidP="004864E5">
            <w:pPr>
              <w:pStyle w:val="ManualHL7TBody"/>
              <w:ind w:left="-138" w:right="-132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45382985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46E6">
              <w:rPr>
                <w:rFonts w:ascii="Arial" w:hAnsi="Arial"/>
                <w:sz w:val="18"/>
                <w:szCs w:val="18"/>
              </w:rPr>
              <w:t>ValueType</w:t>
            </w:r>
            <w:proofErr w:type="spellEnd"/>
          </w:p>
        </w:tc>
        <w:tc>
          <w:tcPr>
            <w:tcW w:w="379" w:type="pct"/>
            <w:vAlign w:val="center"/>
          </w:tcPr>
          <w:p w14:paraId="169DB5DA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r w:rsidRPr="007946E6">
              <w:rPr>
                <w:rFonts w:ascii="Arial" w:hAnsi="Arial"/>
                <w:sz w:val="18"/>
                <w:szCs w:val="18"/>
              </w:rPr>
              <w:t>ID</w:t>
            </w:r>
          </w:p>
        </w:tc>
        <w:tc>
          <w:tcPr>
            <w:tcW w:w="573" w:type="pct"/>
            <w:vAlign w:val="center"/>
          </w:tcPr>
          <w:p w14:paraId="3B561A34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Required</w:t>
            </w:r>
          </w:p>
        </w:tc>
        <w:tc>
          <w:tcPr>
            <w:tcW w:w="504" w:type="pct"/>
            <w:vAlign w:val="center"/>
          </w:tcPr>
          <w:p w14:paraId="71380498" w14:textId="77777777" w:rsidR="00FC5F31" w:rsidRPr="007946E6" w:rsidRDefault="00FC5F31" w:rsidP="00FC5F31">
            <w:pPr>
              <w:pStyle w:val="ManualHL7TBody"/>
              <w:numPr>
                <w:ilvl w:val="0"/>
                <w:numId w:val="31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.3</w:t>
            </w:r>
          </w:p>
        </w:tc>
        <w:tc>
          <w:tcPr>
            <w:tcW w:w="607" w:type="pct"/>
            <w:vAlign w:val="center"/>
          </w:tcPr>
          <w:p w14:paraId="0D1534E8" w14:textId="77777777" w:rsidR="00FC5F31" w:rsidRPr="007946E6" w:rsidRDefault="00FC5F31" w:rsidP="00FC5F31">
            <w:pPr>
              <w:pStyle w:val="ManualHL7TBody"/>
              <w:numPr>
                <w:ilvl w:val="0"/>
                <w:numId w:val="35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  .1</w:t>
            </w:r>
          </w:p>
        </w:tc>
        <w:tc>
          <w:tcPr>
            <w:tcW w:w="507" w:type="pct"/>
            <w:vAlign w:val="center"/>
          </w:tcPr>
          <w:p w14:paraId="019B5B29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CE</w:t>
            </w:r>
          </w:p>
        </w:tc>
        <w:tc>
          <w:tcPr>
            <w:tcW w:w="645" w:type="pct"/>
            <w:vAlign w:val="center"/>
          </w:tcPr>
          <w:p w14:paraId="4004F42F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/>
                <w:sz w:val="18"/>
                <w:szCs w:val="18"/>
              </w:rPr>
            </w:pPr>
            <w:r w:rsidRPr="007946E6">
              <w:rPr>
                <w:rFonts w:ascii="Arial" w:hAnsi="Arial"/>
                <w:sz w:val="18"/>
                <w:szCs w:val="18"/>
              </w:rPr>
              <w:t>HL70125</w:t>
            </w:r>
          </w:p>
        </w:tc>
      </w:tr>
      <w:tr w:rsidR="00FC5F31" w:rsidRPr="007946E6" w14:paraId="4014C2E2" w14:textId="77777777" w:rsidTr="00FA20DC">
        <w:trPr>
          <w:trHeight w:hRule="exact" w:val="284"/>
          <w:jc w:val="center"/>
        </w:trPr>
        <w:tc>
          <w:tcPr>
            <w:tcW w:w="153" w:type="pct"/>
            <w:shd w:val="clear" w:color="auto" w:fill="auto"/>
            <w:vAlign w:val="center"/>
          </w:tcPr>
          <w:p w14:paraId="5C69203B" w14:textId="77777777" w:rsidR="00FC5F31" w:rsidRPr="007946E6" w:rsidRDefault="00FC5F31" w:rsidP="004864E5">
            <w:pPr>
              <w:pStyle w:val="ManualHL7TBody"/>
              <w:ind w:left="-138" w:right="-132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48065757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46E6">
              <w:rPr>
                <w:rFonts w:ascii="Arial" w:hAnsi="Arial"/>
                <w:sz w:val="18"/>
                <w:szCs w:val="18"/>
              </w:rPr>
              <w:t>ObservationIdentifier</w:t>
            </w:r>
            <w:proofErr w:type="spellEnd"/>
          </w:p>
        </w:tc>
        <w:tc>
          <w:tcPr>
            <w:tcW w:w="379" w:type="pct"/>
            <w:vAlign w:val="center"/>
          </w:tcPr>
          <w:p w14:paraId="365191A1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r w:rsidRPr="007946E6">
              <w:rPr>
                <w:rFonts w:ascii="Arial" w:hAnsi="Arial"/>
                <w:sz w:val="18"/>
                <w:szCs w:val="18"/>
              </w:rPr>
              <w:t>CE</w:t>
            </w:r>
          </w:p>
        </w:tc>
        <w:tc>
          <w:tcPr>
            <w:tcW w:w="573" w:type="pct"/>
            <w:vAlign w:val="center"/>
          </w:tcPr>
          <w:p w14:paraId="724C8BFA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Required</w:t>
            </w:r>
          </w:p>
        </w:tc>
        <w:tc>
          <w:tcPr>
            <w:tcW w:w="504" w:type="pct"/>
            <w:vAlign w:val="center"/>
          </w:tcPr>
          <w:p w14:paraId="7DA2E263" w14:textId="77777777" w:rsidR="00FC5F31" w:rsidRPr="007946E6" w:rsidRDefault="00FC5F31" w:rsidP="00FC5F31">
            <w:pPr>
              <w:pStyle w:val="ManualHL7TBody"/>
              <w:numPr>
                <w:ilvl w:val="0"/>
                <w:numId w:val="32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.250</w:t>
            </w:r>
          </w:p>
        </w:tc>
        <w:tc>
          <w:tcPr>
            <w:tcW w:w="607" w:type="pct"/>
            <w:vAlign w:val="center"/>
          </w:tcPr>
          <w:p w14:paraId="6CD3F7CF" w14:textId="77777777" w:rsidR="00FC5F31" w:rsidRPr="007946E6" w:rsidRDefault="00FC5F31" w:rsidP="00FC5F31">
            <w:pPr>
              <w:pStyle w:val="ManualHL7TBody"/>
              <w:numPr>
                <w:ilvl w:val="0"/>
                <w:numId w:val="32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  .1</w:t>
            </w:r>
          </w:p>
        </w:tc>
        <w:tc>
          <w:tcPr>
            <w:tcW w:w="507" w:type="pct"/>
            <w:vAlign w:val="center"/>
          </w:tcPr>
          <w:p w14:paraId="1AD6A62E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  <w:vAlign w:val="center"/>
          </w:tcPr>
          <w:p w14:paraId="37B1EE6E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/>
                <w:sz w:val="18"/>
                <w:szCs w:val="18"/>
              </w:rPr>
            </w:pPr>
          </w:p>
        </w:tc>
      </w:tr>
      <w:tr w:rsidR="00FC5F31" w:rsidRPr="007946E6" w14:paraId="5CD403A8" w14:textId="77777777" w:rsidTr="00FA20DC">
        <w:trPr>
          <w:trHeight w:hRule="exact" w:val="284"/>
          <w:jc w:val="center"/>
        </w:trPr>
        <w:tc>
          <w:tcPr>
            <w:tcW w:w="153" w:type="pct"/>
            <w:shd w:val="clear" w:color="auto" w:fill="auto"/>
            <w:vAlign w:val="center"/>
          </w:tcPr>
          <w:p w14:paraId="77853888" w14:textId="77777777" w:rsidR="00FC5F31" w:rsidRPr="00E32167" w:rsidRDefault="00FC5F31" w:rsidP="004864E5">
            <w:pPr>
              <w:pStyle w:val="ManualHL7TBody"/>
              <w:ind w:left="-138" w:right="-132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E32167">
              <w:rPr>
                <w:rFonts w:ascii="Arial" w:hAnsi="Arial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4CD6B0D7" w14:textId="77777777" w:rsidR="00FC5F31" w:rsidRPr="0061274F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proofErr w:type="spellStart"/>
            <w:r w:rsidRPr="0061274F">
              <w:rPr>
                <w:rFonts w:ascii="Arial" w:hAnsi="Arial"/>
                <w:strike/>
                <w:sz w:val="18"/>
                <w:szCs w:val="18"/>
              </w:rPr>
              <w:t>ObservationDate</w:t>
            </w:r>
            <w:proofErr w:type="spellEnd"/>
            <w:r>
              <w:rPr>
                <w:rFonts w:ascii="Arial" w:hAnsi="Arial"/>
                <w:strike/>
                <w:sz w:val="18"/>
                <w:szCs w:val="18"/>
              </w:rPr>
              <w:t xml:space="preserve"> </w:t>
            </w:r>
            <w:proofErr w:type="spellStart"/>
            <w:r w:rsidRPr="0061274F">
              <w:rPr>
                <w:rFonts w:ascii="Arial" w:hAnsi="Arial"/>
                <w:sz w:val="18"/>
                <w:szCs w:val="18"/>
                <w:highlight w:val="green"/>
              </w:rPr>
              <w:t>ReferencesRange</w:t>
            </w:r>
            <w:proofErr w:type="spellEnd"/>
            <w:r>
              <w:rPr>
                <w:rFonts w:ascii="Arial" w:hAnsi="Arial"/>
                <w:sz w:val="18"/>
                <w:szCs w:val="18"/>
                <w:highlight w:val="green"/>
              </w:rPr>
              <w:t>*</w:t>
            </w:r>
            <w:r w:rsidRPr="0061274F">
              <w:rPr>
                <w:rFonts w:ascii="Arial" w:hAnsi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14:paraId="634B169F" w14:textId="77777777" w:rsidR="00FC5F31" w:rsidRPr="00E32167" w:rsidRDefault="00FC5F31" w:rsidP="004864E5">
            <w:pPr>
              <w:pStyle w:val="ManualHL7TBody"/>
              <w:ind w:left="0" w:right="-132"/>
              <w:rPr>
                <w:rFonts w:ascii="Arial" w:hAnsi="Arial"/>
                <w:strike/>
                <w:sz w:val="18"/>
                <w:szCs w:val="18"/>
              </w:rPr>
            </w:pPr>
            <w:r w:rsidRPr="00E32167">
              <w:rPr>
                <w:rFonts w:ascii="Arial" w:hAnsi="Arial"/>
                <w:strike/>
                <w:sz w:val="18"/>
                <w:szCs w:val="18"/>
              </w:rPr>
              <w:t>TS</w:t>
            </w:r>
            <w:r w:rsidRPr="009E605D">
              <w:rPr>
                <w:rFonts w:ascii="Arial" w:hAnsi="Arial"/>
                <w:sz w:val="18"/>
                <w:szCs w:val="18"/>
              </w:rPr>
              <w:t xml:space="preserve"> </w:t>
            </w:r>
            <w:r w:rsidRPr="009E605D">
              <w:rPr>
                <w:rFonts w:ascii="Arial" w:hAnsi="Arial"/>
                <w:sz w:val="18"/>
                <w:szCs w:val="18"/>
                <w:highlight w:val="green"/>
              </w:rPr>
              <w:t>ST</w:t>
            </w:r>
          </w:p>
        </w:tc>
        <w:tc>
          <w:tcPr>
            <w:tcW w:w="573" w:type="pct"/>
            <w:vAlign w:val="center"/>
          </w:tcPr>
          <w:p w14:paraId="52AFCEE4" w14:textId="77777777" w:rsidR="00FC5F31" w:rsidRPr="00E32167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E32167">
              <w:rPr>
                <w:rFonts w:ascii="Arial" w:hAnsi="Arial" w:cs="Times New Roman"/>
                <w:sz w:val="18"/>
                <w:szCs w:val="18"/>
                <w:lang w:eastAsia="en-US"/>
              </w:rPr>
              <w:t>Required</w:t>
            </w:r>
          </w:p>
        </w:tc>
        <w:tc>
          <w:tcPr>
            <w:tcW w:w="504" w:type="pct"/>
            <w:vAlign w:val="center"/>
          </w:tcPr>
          <w:p w14:paraId="3DA0E7B5" w14:textId="29C11026" w:rsidR="00FC5F31" w:rsidRPr="0061274F" w:rsidRDefault="00FC5F31" w:rsidP="00FC5F31">
            <w:pPr>
              <w:pStyle w:val="ManualHL7TBody"/>
              <w:numPr>
                <w:ilvl w:val="0"/>
                <w:numId w:val="33"/>
              </w:numPr>
              <w:ind w:right="-132"/>
              <w:rPr>
                <w:rFonts w:ascii="Arial" w:hAnsi="Arial" w:cs="Times New Roman"/>
                <w:strike/>
                <w:sz w:val="18"/>
                <w:szCs w:val="18"/>
                <w:lang w:eastAsia="en-US"/>
              </w:rPr>
            </w:pPr>
            <w:r w:rsidRPr="0061274F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. </w:t>
            </w:r>
            <w:r w:rsidRPr="0061274F">
              <w:rPr>
                <w:rFonts w:ascii="Arial" w:hAnsi="Arial" w:cs="Times New Roman"/>
                <w:strike/>
                <w:sz w:val="18"/>
                <w:szCs w:val="18"/>
                <w:lang w:eastAsia="en-US"/>
              </w:rPr>
              <w:t>26</w:t>
            </w:r>
            <w:r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</w:t>
            </w:r>
            <w:r w:rsidR="006D7511">
              <w:rPr>
                <w:rFonts w:ascii="Arial" w:hAnsi="Arial" w:cs="Times New Roman"/>
                <w:sz w:val="18"/>
                <w:szCs w:val="18"/>
                <w:highlight w:val="green"/>
                <w:lang w:eastAsia="en-US"/>
              </w:rPr>
              <w:t>60</w:t>
            </w:r>
          </w:p>
        </w:tc>
        <w:tc>
          <w:tcPr>
            <w:tcW w:w="607" w:type="pct"/>
            <w:vAlign w:val="center"/>
          </w:tcPr>
          <w:p w14:paraId="60E5CD4A" w14:textId="4E0A8E62" w:rsidR="00FC5F31" w:rsidRPr="00472EAD" w:rsidRDefault="00472EAD" w:rsidP="00472EAD">
            <w:pPr>
              <w:pStyle w:val="ManualHL7TBody"/>
              <w:numPr>
                <w:ilvl w:val="0"/>
                <w:numId w:val="42"/>
              </w:numPr>
              <w:ind w:right="-132"/>
              <w:rPr>
                <w:rFonts w:ascii="Arial" w:hAnsi="Arial" w:cs="Times New Roman"/>
                <w:sz w:val="18"/>
                <w:szCs w:val="18"/>
                <w:highlight w:val="green"/>
                <w:lang w:eastAsia="en-US"/>
              </w:rPr>
            </w:pPr>
            <w:r w:rsidRPr="00472EAD">
              <w:rPr>
                <w:rFonts w:ascii="Arial" w:hAnsi="Arial" w:cs="Times New Roman"/>
                <w:sz w:val="18"/>
                <w:szCs w:val="18"/>
                <w:highlight w:val="green"/>
                <w:lang w:eastAsia="en-US"/>
              </w:rPr>
              <w:t xml:space="preserve">   </w:t>
            </w:r>
            <w:r w:rsidR="00FC5F31" w:rsidRPr="00472EAD">
              <w:rPr>
                <w:rFonts w:ascii="Arial" w:hAnsi="Arial" w:cs="Times New Roman"/>
                <w:sz w:val="18"/>
                <w:szCs w:val="18"/>
                <w:highlight w:val="green"/>
                <w:lang w:eastAsia="en-US"/>
              </w:rPr>
              <w:t>.1</w:t>
            </w:r>
          </w:p>
        </w:tc>
        <w:tc>
          <w:tcPr>
            <w:tcW w:w="507" w:type="pct"/>
            <w:vAlign w:val="center"/>
          </w:tcPr>
          <w:p w14:paraId="6B01751C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  <w:vAlign w:val="center"/>
          </w:tcPr>
          <w:p w14:paraId="31F69C39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/>
                <w:sz w:val="18"/>
                <w:szCs w:val="18"/>
              </w:rPr>
            </w:pPr>
          </w:p>
        </w:tc>
      </w:tr>
      <w:tr w:rsidR="00FC5F31" w:rsidRPr="007946E6" w14:paraId="1ED432C5" w14:textId="77777777" w:rsidTr="00FA20DC">
        <w:trPr>
          <w:trHeight w:hRule="exact" w:val="284"/>
          <w:jc w:val="center"/>
        </w:trPr>
        <w:tc>
          <w:tcPr>
            <w:tcW w:w="153" w:type="pct"/>
            <w:shd w:val="clear" w:color="auto" w:fill="auto"/>
            <w:vAlign w:val="center"/>
          </w:tcPr>
          <w:p w14:paraId="4C9D32C6" w14:textId="77777777" w:rsidR="00FC5F31" w:rsidRPr="007946E6" w:rsidRDefault="00FC5F31" w:rsidP="004864E5">
            <w:pPr>
              <w:pStyle w:val="ManualHL7TBody"/>
              <w:ind w:left="-138" w:right="-132"/>
              <w:jc w:val="center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45B1C19A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proofErr w:type="spellStart"/>
            <w:r w:rsidRPr="007946E6">
              <w:rPr>
                <w:rFonts w:ascii="Arial" w:hAnsi="Arial"/>
                <w:sz w:val="18"/>
                <w:szCs w:val="18"/>
              </w:rPr>
              <w:t>ObservationResultStatus</w:t>
            </w:r>
            <w:proofErr w:type="spellEnd"/>
          </w:p>
        </w:tc>
        <w:tc>
          <w:tcPr>
            <w:tcW w:w="379" w:type="pct"/>
            <w:vAlign w:val="center"/>
          </w:tcPr>
          <w:p w14:paraId="4F5D0B75" w14:textId="77777777" w:rsidR="00FC5F31" w:rsidRPr="007946E6" w:rsidRDefault="00FC5F31" w:rsidP="004864E5">
            <w:pPr>
              <w:pStyle w:val="ManualHL7TBody"/>
              <w:ind w:left="0" w:right="-132"/>
              <w:rPr>
                <w:rFonts w:ascii="Arial" w:hAnsi="Arial"/>
                <w:sz w:val="18"/>
                <w:szCs w:val="18"/>
              </w:rPr>
            </w:pPr>
            <w:r w:rsidRPr="007946E6">
              <w:rPr>
                <w:rFonts w:ascii="Arial" w:hAnsi="Arial"/>
                <w:sz w:val="18"/>
                <w:szCs w:val="18"/>
              </w:rPr>
              <w:t>ID</w:t>
            </w:r>
          </w:p>
        </w:tc>
        <w:tc>
          <w:tcPr>
            <w:tcW w:w="573" w:type="pct"/>
            <w:vAlign w:val="center"/>
          </w:tcPr>
          <w:p w14:paraId="3F8D7187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Required</w:t>
            </w:r>
          </w:p>
        </w:tc>
        <w:tc>
          <w:tcPr>
            <w:tcW w:w="504" w:type="pct"/>
            <w:vAlign w:val="center"/>
          </w:tcPr>
          <w:p w14:paraId="304922B5" w14:textId="77777777" w:rsidR="00FC5F31" w:rsidRPr="007946E6" w:rsidRDefault="00FC5F31" w:rsidP="00472EAD">
            <w:pPr>
              <w:pStyle w:val="ManualHL7TBody"/>
              <w:numPr>
                <w:ilvl w:val="0"/>
                <w:numId w:val="44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.1</w:t>
            </w:r>
          </w:p>
        </w:tc>
        <w:tc>
          <w:tcPr>
            <w:tcW w:w="607" w:type="pct"/>
            <w:vAlign w:val="center"/>
          </w:tcPr>
          <w:p w14:paraId="00C54B5B" w14:textId="77777777" w:rsidR="00FC5F31" w:rsidRPr="007946E6" w:rsidRDefault="00FC5F31" w:rsidP="00472EAD">
            <w:pPr>
              <w:pStyle w:val="ManualHL7TBody"/>
              <w:numPr>
                <w:ilvl w:val="0"/>
                <w:numId w:val="43"/>
              </w:numPr>
              <w:ind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 xml:space="preserve">   .1</w:t>
            </w:r>
          </w:p>
        </w:tc>
        <w:tc>
          <w:tcPr>
            <w:tcW w:w="507" w:type="pct"/>
            <w:vAlign w:val="center"/>
          </w:tcPr>
          <w:p w14:paraId="2BE88E1E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7946E6">
              <w:rPr>
                <w:rFonts w:ascii="Arial" w:hAnsi="Arial" w:cs="Times New Roman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645" w:type="pct"/>
            <w:vAlign w:val="center"/>
          </w:tcPr>
          <w:p w14:paraId="13A0E740" w14:textId="77777777" w:rsidR="00FC5F31" w:rsidRPr="007946E6" w:rsidRDefault="00FC5F31" w:rsidP="004864E5">
            <w:pPr>
              <w:pStyle w:val="ManualHL7TBody"/>
              <w:ind w:left="2" w:right="-132"/>
              <w:rPr>
                <w:rFonts w:ascii="Arial" w:hAnsi="Arial"/>
                <w:sz w:val="18"/>
                <w:szCs w:val="18"/>
              </w:rPr>
            </w:pPr>
            <w:r w:rsidRPr="007946E6">
              <w:rPr>
                <w:rFonts w:ascii="Arial" w:hAnsi="Arial"/>
                <w:sz w:val="18"/>
                <w:szCs w:val="18"/>
              </w:rPr>
              <w:t>HL70085</w:t>
            </w:r>
          </w:p>
        </w:tc>
      </w:tr>
    </w:tbl>
    <w:p w14:paraId="4DAC675A" w14:textId="77777777" w:rsidR="00FC5F31" w:rsidRPr="0061274F" w:rsidRDefault="00FC5F31" w:rsidP="00FC5F31">
      <w:pPr>
        <w:pStyle w:val="DHHSbody"/>
        <w:spacing w:after="0"/>
        <w:rPr>
          <w:lang w:val="en-US"/>
        </w:rPr>
      </w:pPr>
      <w:r w:rsidRPr="0061274F">
        <w:rPr>
          <w:highlight w:val="green"/>
          <w:lang w:val="en-US"/>
        </w:rPr>
        <w:t xml:space="preserve">* Referral </w:t>
      </w:r>
      <w:proofErr w:type="gramStart"/>
      <w:r w:rsidRPr="0061274F">
        <w:rPr>
          <w:highlight w:val="green"/>
          <w:lang w:val="en-US"/>
        </w:rPr>
        <w:t>In</w:t>
      </w:r>
      <w:proofErr w:type="gramEnd"/>
      <w:r w:rsidRPr="0061274F">
        <w:rPr>
          <w:highlight w:val="green"/>
          <w:lang w:val="en-US"/>
        </w:rPr>
        <w:t xml:space="preserve"> Outcome Date (not required for episode items)</w:t>
      </w:r>
    </w:p>
    <w:p w14:paraId="6A05B73B" w14:textId="77777777" w:rsidR="00FC5F31" w:rsidRDefault="00FC5F31" w:rsidP="00FC5F31"/>
    <w:p w14:paraId="7853382F" w14:textId="77777777" w:rsidR="00FC5F31" w:rsidRDefault="00FC5F31" w:rsidP="00FC5F31">
      <w:pPr>
        <w:pStyle w:val="DHHSbody"/>
        <w:spacing w:after="0"/>
      </w:pPr>
      <w:r>
        <w:t xml:space="preserve">The name for OBX.7 item has been changed to ‘Reference Ranges’ to align with the HL7 2.4 standards. It will continue to be used for the data element ‘Referral </w:t>
      </w:r>
      <w:proofErr w:type="gramStart"/>
      <w:r>
        <w:t>In</w:t>
      </w:r>
      <w:proofErr w:type="gramEnd"/>
      <w:r>
        <w:t xml:space="preserve"> Outcome Date’</w:t>
      </w:r>
    </w:p>
    <w:p w14:paraId="2B9F568A" w14:textId="77777777" w:rsidR="00FC5F31" w:rsidRDefault="00FC5F31" w:rsidP="00FC5F31">
      <w:pPr>
        <w:pStyle w:val="DHHSbody"/>
        <w:spacing w:after="0"/>
      </w:pPr>
    </w:p>
    <w:p w14:paraId="1AC7C287" w14:textId="55112EBD" w:rsidR="00FC5F31" w:rsidRDefault="00FC5F31" w:rsidP="00FC5F31">
      <w:pPr>
        <w:pStyle w:val="DHHSbody"/>
        <w:spacing w:after="0"/>
      </w:pPr>
      <w:r>
        <w:t xml:space="preserve">The HL7 2.4 standards specifies item OBX.7 as </w:t>
      </w:r>
      <w:r w:rsidR="00C83EFF">
        <w:t xml:space="preserve">datatype </w:t>
      </w:r>
      <w:r>
        <w:t xml:space="preserve">ST (string) </w:t>
      </w:r>
      <w:r w:rsidR="00C83EFF">
        <w:t xml:space="preserve">with a </w:t>
      </w:r>
      <w:r>
        <w:t>length</w:t>
      </w:r>
      <w:r w:rsidR="00FF4920">
        <w:t xml:space="preserve"> of</w:t>
      </w:r>
      <w:r w:rsidR="00C83EFF">
        <w:t xml:space="preserve"> 60. This will allow for a date </w:t>
      </w:r>
      <w:r w:rsidR="00FF4920">
        <w:t>with a length of</w:t>
      </w:r>
      <w:r>
        <w:t xml:space="preserve"> 8 (YYYYMMDD)</w:t>
      </w:r>
      <w:r w:rsidR="00C83EFF">
        <w:t xml:space="preserve"> to</w:t>
      </w:r>
      <w:r>
        <w:t xml:space="preserve"> be </w:t>
      </w:r>
      <w:r w:rsidR="004B2D5E">
        <w:t>reported</w:t>
      </w:r>
      <w:r w:rsidR="00C83EFF">
        <w:t>.</w:t>
      </w:r>
    </w:p>
    <w:p w14:paraId="7C7E7913" w14:textId="77777777" w:rsidR="00FC5F31" w:rsidRDefault="00FC5F31" w:rsidP="00FC5F31"/>
    <w:p w14:paraId="74944950" w14:textId="54C75AC5" w:rsidR="00CB02CD" w:rsidRDefault="00FC5F31" w:rsidP="00152AC4">
      <w:pPr>
        <w:pStyle w:val="DHHSbody"/>
      </w:pPr>
      <w:r>
        <w:t>These changes will be included into the VINAH manual (15th edition, July 2019</w:t>
      </w:r>
      <w:r w:rsidR="00037A60">
        <w:t>)</w:t>
      </w:r>
    </w:p>
    <w:p w14:paraId="25457157" w14:textId="7674A07F" w:rsidR="00152AC4" w:rsidRPr="00CB02CD" w:rsidRDefault="00152AC4" w:rsidP="00152AC4">
      <w:pPr>
        <w:pStyle w:val="Heading2"/>
      </w:pPr>
      <w:bookmarkStart w:id="10" w:name="_Toc12611834"/>
      <w:r>
        <w:t xml:space="preserve">VINAH 15 available in test </w:t>
      </w:r>
      <w:r w:rsidR="000032AC">
        <w:t>environment</w:t>
      </w:r>
      <w:bookmarkEnd w:id="10"/>
    </w:p>
    <w:p w14:paraId="12AE3803" w14:textId="77777777" w:rsidR="00152AC4" w:rsidRDefault="00152AC4" w:rsidP="00152AC4">
      <w:pPr>
        <w:autoSpaceDE w:val="0"/>
        <w:autoSpaceDN w:val="0"/>
        <w:rPr>
          <w:rFonts w:ascii="Arial" w:hAnsi="Arial" w:cs="Arial"/>
          <w:color w:val="000000"/>
        </w:rPr>
      </w:pPr>
    </w:p>
    <w:p w14:paraId="2AF06031" w14:textId="24DAC9D1" w:rsidR="00152AC4" w:rsidRDefault="00152AC4" w:rsidP="000032AC">
      <w:pPr>
        <w:pStyle w:val="DHHSbody"/>
      </w:pPr>
      <w:r>
        <w:t>The 2019</w:t>
      </w:r>
      <w:r w:rsidR="000032AC">
        <w:t>–</w:t>
      </w:r>
      <w:r>
        <w:t xml:space="preserve">20 annual changes have now been implemented into the </w:t>
      </w:r>
      <w:r>
        <w:rPr>
          <w:b/>
          <w:bCs/>
        </w:rPr>
        <w:t>VINAH Test</w:t>
      </w:r>
      <w:r>
        <w:t xml:space="preserve"> context tab on the Live Healthcollect Portal</w:t>
      </w:r>
      <w:r w:rsidR="000032AC">
        <w:t xml:space="preserve"> at </w:t>
      </w:r>
      <w:r>
        <w:t xml:space="preserve"> </w:t>
      </w:r>
      <w:hyperlink r:id="rId14" w:history="1">
        <w:r w:rsidR="00C141A6">
          <w:rPr>
            <w:rStyle w:val="Hyperlink"/>
            <w:rFonts w:cs="Arial"/>
          </w:rPr>
          <w:t>Healthcollect Portal</w:t>
        </w:r>
      </w:hyperlink>
      <w:r w:rsidR="00C141A6">
        <w:t xml:space="preserve"> &lt;</w:t>
      </w:r>
      <w:r w:rsidR="00C141A6" w:rsidRPr="00C141A6">
        <w:t>https://www.healthcollect.vic.gov.au</w:t>
      </w:r>
      <w:r w:rsidR="00C141A6">
        <w:t>&gt;</w:t>
      </w:r>
    </w:p>
    <w:p w14:paraId="62A6F9D0" w14:textId="77777777" w:rsidR="00152AC4" w:rsidRDefault="00152AC4" w:rsidP="00152AC4">
      <w:pPr>
        <w:autoSpaceDE w:val="0"/>
        <w:autoSpaceDN w:val="0"/>
        <w:rPr>
          <w:rFonts w:ascii="Arial" w:hAnsi="Arial" w:cs="Arial"/>
          <w:color w:val="000000"/>
        </w:rPr>
      </w:pPr>
    </w:p>
    <w:p w14:paraId="3ACA7B60" w14:textId="77777777" w:rsidR="00152AC4" w:rsidRDefault="00152AC4" w:rsidP="00152AC4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VINAH 15 submissions will now be accepted in the test environment.</w:t>
      </w:r>
    </w:p>
    <w:p w14:paraId="04EBF16A" w14:textId="77777777" w:rsidR="00152AC4" w:rsidRDefault="00152AC4" w:rsidP="00152AC4">
      <w:pPr>
        <w:autoSpaceDE w:val="0"/>
        <w:autoSpaceDN w:val="0"/>
        <w:rPr>
          <w:rFonts w:ascii="Arial" w:hAnsi="Arial" w:cs="Arial"/>
          <w:color w:val="000000"/>
        </w:rPr>
      </w:pPr>
    </w:p>
    <w:p w14:paraId="6A991352" w14:textId="05C57CF8" w:rsidR="00152AC4" w:rsidRPr="00152AC4" w:rsidRDefault="00152AC4" w:rsidP="00152AC4">
      <w:pPr>
        <w:autoSpaceDE w:val="0"/>
        <w:autoSpaceDN w:val="0"/>
        <w:rPr>
          <w:rFonts w:ascii="Arial" w:hAnsi="Arial" w:cs="Arial"/>
          <w:color w:val="000000"/>
        </w:rPr>
      </w:pPr>
      <w:r w:rsidRPr="00152AC4">
        <w:rPr>
          <w:rFonts w:ascii="Arial" w:hAnsi="Arial" w:cs="Arial"/>
          <w:color w:val="000000"/>
        </w:rPr>
        <w:t xml:space="preserve">For testing </w:t>
      </w:r>
      <w:r w:rsidR="00D745C5" w:rsidRPr="00152AC4">
        <w:rPr>
          <w:rFonts w:ascii="Arial" w:hAnsi="Arial" w:cs="Arial"/>
          <w:color w:val="000000"/>
        </w:rPr>
        <w:t>purposes,</w:t>
      </w:r>
      <w:bookmarkStart w:id="11" w:name="_GoBack"/>
      <w:bookmarkEnd w:id="11"/>
      <w:r w:rsidRPr="00152AC4">
        <w:rPr>
          <w:rFonts w:ascii="Arial" w:hAnsi="Arial" w:cs="Arial"/>
          <w:color w:val="000000"/>
        </w:rPr>
        <w:t xml:space="preserve"> the dates are as follows:</w:t>
      </w:r>
    </w:p>
    <w:p w14:paraId="0D872A40" w14:textId="77777777" w:rsidR="00152AC4" w:rsidRDefault="00152AC4" w:rsidP="00152AC4">
      <w:pPr>
        <w:autoSpaceDE w:val="0"/>
        <w:autoSpaceDN w:val="0"/>
        <w:rPr>
          <w:rFonts w:ascii="Arial" w:hAnsi="Arial" w:cs="Arial"/>
          <w:color w:val="000000"/>
        </w:rPr>
      </w:pP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1992"/>
      </w:tblGrid>
      <w:tr w:rsidR="00152AC4" w:rsidRPr="00152AC4" w14:paraId="589D6E50" w14:textId="77777777" w:rsidTr="00152AC4">
        <w:trPr>
          <w:trHeight w:val="280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6C9D96" w14:textId="77777777" w:rsidR="00152AC4" w:rsidRPr="00152AC4" w:rsidRDefault="00152AC4" w:rsidP="00152AC4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52AC4">
              <w:rPr>
                <w:rFonts w:ascii="Arial" w:hAnsi="Arial" w:cs="Arial"/>
                <w:color w:val="000000"/>
              </w:rPr>
              <w:t>Start date for VINAH 15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E65026" w14:textId="77777777" w:rsidR="00152AC4" w:rsidRPr="00152AC4" w:rsidRDefault="00152AC4" w:rsidP="00152AC4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52AC4">
              <w:rPr>
                <w:rFonts w:ascii="Arial" w:hAnsi="Arial" w:cs="Arial"/>
                <w:color w:val="000000"/>
              </w:rPr>
              <w:t>1 May 2019</w:t>
            </w:r>
          </w:p>
        </w:tc>
      </w:tr>
      <w:tr w:rsidR="00152AC4" w:rsidRPr="00152AC4" w14:paraId="6FF21B72" w14:textId="77777777" w:rsidTr="00152AC4">
        <w:trPr>
          <w:trHeight w:val="280"/>
        </w:trPr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A9DC8DC" w14:textId="77777777" w:rsidR="00152AC4" w:rsidRPr="00152AC4" w:rsidRDefault="00152AC4" w:rsidP="00152AC4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52AC4">
              <w:rPr>
                <w:rFonts w:ascii="Arial" w:hAnsi="Arial" w:cs="Arial"/>
                <w:color w:val="000000"/>
              </w:rPr>
              <w:t>Start date for additions to code sets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2F6995" w14:textId="77777777" w:rsidR="00152AC4" w:rsidRPr="00152AC4" w:rsidRDefault="00152AC4" w:rsidP="00152AC4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52AC4">
              <w:rPr>
                <w:rFonts w:ascii="Arial" w:hAnsi="Arial" w:cs="Arial"/>
                <w:color w:val="000000"/>
              </w:rPr>
              <w:t>1 May 2019</w:t>
            </w:r>
          </w:p>
        </w:tc>
      </w:tr>
      <w:tr w:rsidR="00152AC4" w:rsidRPr="00152AC4" w14:paraId="50B0EC7E" w14:textId="77777777" w:rsidTr="00152AC4">
        <w:trPr>
          <w:trHeight w:val="280"/>
        </w:trPr>
        <w:tc>
          <w:tcPr>
            <w:tcW w:w="4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13C599" w14:textId="77777777" w:rsidR="00152AC4" w:rsidRPr="00152AC4" w:rsidRDefault="00152AC4" w:rsidP="00152AC4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52AC4">
              <w:rPr>
                <w:rFonts w:ascii="Arial" w:hAnsi="Arial" w:cs="Arial"/>
                <w:color w:val="000000"/>
              </w:rPr>
              <w:t>End date for codes removed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905F9E" w14:textId="77777777" w:rsidR="00152AC4" w:rsidRPr="00152AC4" w:rsidRDefault="00152AC4" w:rsidP="00152AC4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52AC4">
              <w:rPr>
                <w:rFonts w:ascii="Arial" w:hAnsi="Arial" w:cs="Arial"/>
                <w:color w:val="000000"/>
              </w:rPr>
              <w:t>30 April 2019</w:t>
            </w:r>
          </w:p>
        </w:tc>
      </w:tr>
    </w:tbl>
    <w:p w14:paraId="2E6D6B2D" w14:textId="77777777" w:rsidR="00152AC4" w:rsidRDefault="00152AC4" w:rsidP="00152AC4">
      <w:pPr>
        <w:autoSpaceDE w:val="0"/>
        <w:autoSpaceDN w:val="0"/>
        <w:rPr>
          <w:rFonts w:ascii="Arial" w:eastAsiaTheme="minorHAnsi" w:hAnsi="Arial" w:cs="Arial"/>
          <w:color w:val="000000"/>
        </w:rPr>
      </w:pPr>
    </w:p>
    <w:p w14:paraId="35BC843B" w14:textId="274C9CC1" w:rsidR="0015424D" w:rsidRPr="00F8321D" w:rsidRDefault="00152AC4" w:rsidP="0015424D">
      <w:pPr>
        <w:pStyle w:val="DHHSbody"/>
      </w:pPr>
      <w:r>
        <w:rPr>
          <w:rFonts w:cs="Arial"/>
          <w:color w:val="000000"/>
        </w:rPr>
        <w:t>Please respond with any feedback or issues to</w:t>
      </w:r>
      <w:r w:rsidR="00DF6FE3">
        <w:rPr>
          <w:rFonts w:cs="Arial"/>
          <w:color w:val="000000"/>
        </w:rPr>
        <w:t xml:space="preserve"> </w:t>
      </w:r>
      <w:hyperlink r:id="rId15" w:history="1">
        <w:r w:rsidR="0015424D">
          <w:rPr>
            <w:rStyle w:val="Hyperlink"/>
          </w:rPr>
          <w:t>HDSS help desk</w:t>
        </w:r>
      </w:hyperlink>
      <w:r w:rsidR="0015424D">
        <w:t xml:space="preserve"> &lt;</w:t>
      </w:r>
      <w:r w:rsidR="0015424D" w:rsidRPr="00F8321D">
        <w:t>HDSS.helpdesk@dhhs.vic.gov.au</w:t>
      </w:r>
      <w:r w:rsidR="0015424D">
        <w:t>&gt;</w:t>
      </w:r>
    </w:p>
    <w:p w14:paraId="097809F1" w14:textId="064C820D" w:rsidR="00127FD4" w:rsidRDefault="00127FD4" w:rsidP="00127FD4">
      <w:pPr>
        <w:pStyle w:val="Heading1"/>
      </w:pPr>
      <w:bookmarkStart w:id="12" w:name="_Toc12611835"/>
      <w:r>
        <w:lastRenderedPageBreak/>
        <w:t>Victorian Admitted Episodes Dataset (VAED)</w:t>
      </w:r>
      <w:bookmarkEnd w:id="12"/>
    </w:p>
    <w:p w14:paraId="0DB64A11" w14:textId="7CAAE13A" w:rsidR="00CB02CD" w:rsidRDefault="00935947" w:rsidP="00661E29">
      <w:pPr>
        <w:pStyle w:val="Heading2"/>
      </w:pPr>
      <w:bookmarkStart w:id="13" w:name="_Toc12611836"/>
      <w:r>
        <w:t xml:space="preserve">Update to </w:t>
      </w:r>
      <w:r w:rsidR="000232DB">
        <w:t xml:space="preserve">narrative of </w:t>
      </w:r>
      <w:r>
        <w:t>validations 450 and 451 in the VAED manual</w:t>
      </w:r>
      <w:r w:rsidR="006515FD">
        <w:t xml:space="preserve"> 2019–20</w:t>
      </w:r>
      <w:bookmarkEnd w:id="13"/>
    </w:p>
    <w:p w14:paraId="5CCA858A" w14:textId="393A5928" w:rsidR="00AF3B2A" w:rsidRDefault="0036330C" w:rsidP="00E71319">
      <w:pPr>
        <w:pStyle w:val="DHHSbody"/>
      </w:pPr>
      <w:r>
        <w:t>The following c</w:t>
      </w:r>
      <w:r w:rsidR="00935947">
        <w:t>hange</w:t>
      </w:r>
      <w:r w:rsidR="00E71319">
        <w:t>s</w:t>
      </w:r>
      <w:r w:rsidR="00935947">
        <w:t xml:space="preserve"> have been made to the narrative of </w:t>
      </w:r>
      <w:r>
        <w:t xml:space="preserve">validations </w:t>
      </w:r>
      <w:r w:rsidR="00935947">
        <w:t>450</w:t>
      </w:r>
      <w:r>
        <w:t xml:space="preserve"> and 451 following a</w:t>
      </w:r>
      <w:r w:rsidR="00366BC0">
        <w:t xml:space="preserve"> </w:t>
      </w:r>
      <w:r w:rsidR="00366BC0" w:rsidRPr="00366BC0">
        <w:t>help desk call</w:t>
      </w:r>
      <w:r>
        <w:t xml:space="preserve"> regarding the</w:t>
      </w:r>
      <w:r w:rsidR="00366BC0" w:rsidRPr="00366BC0">
        <w:t xml:space="preserve"> concern that codes </w:t>
      </w:r>
      <w:r>
        <w:t xml:space="preserve">listed as </w:t>
      </w:r>
      <w:r w:rsidR="006515FD">
        <w:t>e</w:t>
      </w:r>
      <w:r>
        <w:t>xplanatory diagnosis codes</w:t>
      </w:r>
      <w:r w:rsidR="00366BC0" w:rsidRPr="00366BC0">
        <w:t xml:space="preserve"> do not always meet ACS 0002</w:t>
      </w:r>
      <w:r>
        <w:t>,</w:t>
      </w:r>
      <w:r w:rsidR="00366BC0" w:rsidRPr="00366BC0">
        <w:t xml:space="preserve"> and that there is no coding instruction to enable coders to assign these codes when they do </w:t>
      </w:r>
      <w:r w:rsidR="00366BC0">
        <w:t xml:space="preserve">not </w:t>
      </w:r>
      <w:r w:rsidR="00366BC0" w:rsidRPr="00366BC0">
        <w:t xml:space="preserve">meet criteria for coding.  </w:t>
      </w:r>
    </w:p>
    <w:p w14:paraId="362115A4" w14:textId="6AA2695A" w:rsidR="00AF3B2A" w:rsidRDefault="00AF3B2A" w:rsidP="00E71319">
      <w:pPr>
        <w:pStyle w:val="DHHSbody"/>
      </w:pPr>
      <w:r>
        <w:t xml:space="preserve">Instructions </w:t>
      </w:r>
      <w:r w:rsidR="00366BC0">
        <w:t>have been</w:t>
      </w:r>
      <w:r>
        <w:t xml:space="preserve"> included to assign explanatory diagnosis code F64.9 in the absence of any other documentation to allow the episode to be accepted.</w:t>
      </w:r>
      <w:r w:rsidR="00366BC0">
        <w:t xml:space="preserve"> </w:t>
      </w:r>
      <w:r>
        <w:t xml:space="preserve">The </w:t>
      </w:r>
      <w:r w:rsidRPr="00E71319">
        <w:t>intent</w:t>
      </w:r>
      <w:r>
        <w:t xml:space="preserve"> of the </w:t>
      </w:r>
      <w:r w:rsidR="000232DB">
        <w:t>validations</w:t>
      </w:r>
      <w:r w:rsidRPr="00E71319">
        <w:t xml:space="preserve"> is to reflect the clinical accuracy of the </w:t>
      </w:r>
      <w:r w:rsidR="000232DB">
        <w:t>episode regarding the reported sex and diagnoses/procedures</w:t>
      </w:r>
      <w:r>
        <w:t>. This</w:t>
      </w:r>
      <w:r w:rsidRPr="00E71319">
        <w:t xml:space="preserve"> is an interim solution until the national sex edits are reviewed</w:t>
      </w:r>
      <w:r>
        <w:t xml:space="preserve"> next year.</w:t>
      </w:r>
    </w:p>
    <w:p w14:paraId="068148F6" w14:textId="6F3705F9" w:rsidR="00E71319" w:rsidRPr="00935947" w:rsidRDefault="00935947" w:rsidP="00935947">
      <w:pPr>
        <w:pStyle w:val="DHHSbody"/>
      </w:pPr>
      <w:r>
        <w:t>Note that this narrative change does not impact on how the validations are triggered</w:t>
      </w:r>
      <w:r w:rsidR="0036330C">
        <w:t xml:space="preserve">. </w:t>
      </w:r>
    </w:p>
    <w:p w14:paraId="119082CB" w14:textId="77777777" w:rsidR="00B66BB1" w:rsidRPr="003072C6" w:rsidRDefault="00B66BB1" w:rsidP="00B66BB1">
      <w:pPr>
        <w:pStyle w:val="DHHStablecaption"/>
      </w:pPr>
      <w:r w:rsidRPr="00695032">
        <w:rPr>
          <w:rFonts w:eastAsia="Times"/>
        </w:rPr>
        <w:t>450</w:t>
      </w:r>
      <w:r w:rsidRPr="00695032">
        <w:rPr>
          <w:rFonts w:eastAsia="Times"/>
        </w:rPr>
        <w:tab/>
        <w:t xml:space="preserve">Code incompatible with female sex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9036"/>
      </w:tblGrid>
      <w:tr w:rsidR="00B66BB1" w:rsidRPr="003072C6" w14:paraId="4EACB0DF" w14:textId="77777777" w:rsidTr="00B66BB1">
        <w:trPr>
          <w:tblHeader/>
        </w:trPr>
        <w:tc>
          <w:tcPr>
            <w:tcW w:w="664" w:type="pct"/>
            <w:shd w:val="clear" w:color="auto" w:fill="auto"/>
          </w:tcPr>
          <w:p w14:paraId="6FF6570C" w14:textId="77777777" w:rsidR="00B66BB1" w:rsidRPr="00303179" w:rsidRDefault="00B66BB1" w:rsidP="00D7136B">
            <w:pPr>
              <w:spacing w:before="80" w:after="60"/>
              <w:rPr>
                <w:rFonts w:ascii="Arial" w:eastAsia="Times" w:hAnsi="Arial"/>
                <w:b/>
                <w:color w:val="004EA8"/>
              </w:rPr>
            </w:pPr>
            <w:r w:rsidRPr="00303179">
              <w:rPr>
                <w:rFonts w:ascii="Arial" w:eastAsia="Times" w:hAnsi="Arial"/>
                <w:b/>
                <w:color w:val="004EA8"/>
              </w:rPr>
              <w:t>Effect</w:t>
            </w:r>
          </w:p>
        </w:tc>
        <w:tc>
          <w:tcPr>
            <w:tcW w:w="4336" w:type="pct"/>
            <w:shd w:val="clear" w:color="auto" w:fill="auto"/>
          </w:tcPr>
          <w:p w14:paraId="58765521" w14:textId="77777777" w:rsidR="00B66BB1" w:rsidRPr="00303179" w:rsidRDefault="00B66BB1" w:rsidP="00D7136B">
            <w:pPr>
              <w:spacing w:before="80" w:after="60"/>
              <w:rPr>
                <w:rFonts w:ascii="Arial" w:eastAsia="Times" w:hAnsi="Arial"/>
                <w:b/>
                <w:color w:val="004EA8"/>
              </w:rPr>
            </w:pPr>
            <w:r w:rsidRPr="00303179">
              <w:rPr>
                <w:rFonts w:ascii="Arial" w:eastAsia="Times" w:hAnsi="Arial"/>
                <w:b/>
                <w:color w:val="004EA8"/>
              </w:rPr>
              <w:t>REJECTION</w:t>
            </w:r>
          </w:p>
        </w:tc>
      </w:tr>
      <w:tr w:rsidR="00B66BB1" w:rsidRPr="003072C6" w14:paraId="518A6BB1" w14:textId="77777777" w:rsidTr="00B66BB1">
        <w:tc>
          <w:tcPr>
            <w:tcW w:w="664" w:type="pct"/>
            <w:shd w:val="clear" w:color="auto" w:fill="auto"/>
          </w:tcPr>
          <w:p w14:paraId="520A4BB4" w14:textId="77777777" w:rsidR="00B66BB1" w:rsidRPr="00303179" w:rsidRDefault="00B66BB1" w:rsidP="00D7136B">
            <w:pPr>
              <w:spacing w:before="80" w:after="60"/>
              <w:rPr>
                <w:rFonts w:ascii="Arial" w:eastAsia="Times" w:hAnsi="Arial"/>
                <w:b/>
                <w:color w:val="004EA8"/>
              </w:rPr>
            </w:pPr>
            <w:r w:rsidRPr="00303179">
              <w:rPr>
                <w:rFonts w:ascii="Arial" w:eastAsia="Times" w:hAnsi="Arial"/>
                <w:b/>
                <w:color w:val="004EA8"/>
              </w:rPr>
              <w:t>Problem</w:t>
            </w:r>
          </w:p>
        </w:tc>
        <w:tc>
          <w:tcPr>
            <w:tcW w:w="4336" w:type="pct"/>
            <w:shd w:val="clear" w:color="auto" w:fill="auto"/>
          </w:tcPr>
          <w:p w14:paraId="7007196C" w14:textId="77777777" w:rsidR="00B66BB1" w:rsidRPr="00695032" w:rsidRDefault="00B66BB1" w:rsidP="00D7136B">
            <w:pPr>
              <w:spacing w:after="120" w:line="270" w:lineRule="atLeast"/>
              <w:rPr>
                <w:rFonts w:ascii="Arial" w:eastAsia="Times" w:hAnsi="Arial"/>
              </w:rPr>
            </w:pPr>
            <w:r w:rsidRPr="00695032">
              <w:rPr>
                <w:rFonts w:ascii="Arial" w:eastAsia="Times" w:hAnsi="Arial"/>
              </w:rPr>
              <w:t xml:space="preserve">The E5 Episode Record’s Sex is Female, but the X5/Y5 Diagnosis Record has a Diagnosis or Procedure Code that is normally only relevant to a male patient </w:t>
            </w:r>
            <w:r w:rsidRPr="00695032">
              <w:rPr>
                <w:rFonts w:ascii="Arial" w:eastAsia="Times" w:hAnsi="Arial"/>
                <w:highlight w:val="green"/>
              </w:rPr>
              <w:t>in accordance with national sex edits</w:t>
            </w:r>
            <w:r w:rsidRPr="00695032">
              <w:rPr>
                <w:rFonts w:ascii="Arial" w:eastAsia="Times" w:hAnsi="Arial"/>
              </w:rPr>
              <w:t xml:space="preserve">. </w:t>
            </w:r>
          </w:p>
          <w:p w14:paraId="5B6726B0" w14:textId="77777777" w:rsidR="00B66BB1" w:rsidRPr="00695032" w:rsidRDefault="00B66BB1" w:rsidP="00D7136B">
            <w:pPr>
              <w:spacing w:after="120" w:line="270" w:lineRule="atLeast"/>
              <w:rPr>
                <w:rFonts w:ascii="Arial" w:eastAsia="Times" w:hAnsi="Arial"/>
              </w:rPr>
            </w:pPr>
            <w:r w:rsidRPr="00695032">
              <w:rPr>
                <w:rFonts w:ascii="Arial" w:eastAsia="Times" w:hAnsi="Arial"/>
                <w:highlight w:val="green"/>
              </w:rPr>
              <w:t>The patient may be undergoing a procedure to reassign or clarify gender, or the patient may have retained their biological sex specific organs that require a form of treatment.</w:t>
            </w:r>
          </w:p>
          <w:p w14:paraId="1F4421DB" w14:textId="77777777" w:rsidR="00B66BB1" w:rsidRPr="00695032" w:rsidRDefault="00B66BB1" w:rsidP="00D7136B">
            <w:pPr>
              <w:spacing w:after="120" w:line="270" w:lineRule="atLeast"/>
              <w:rPr>
                <w:rFonts w:ascii="Arial" w:eastAsia="Times" w:hAnsi="Arial"/>
              </w:rPr>
            </w:pPr>
            <w:r w:rsidRPr="00695032">
              <w:rPr>
                <w:rFonts w:ascii="Arial" w:eastAsia="Times" w:hAnsi="Arial"/>
                <w:strike/>
              </w:rPr>
              <w:t>There is</w:t>
            </w:r>
            <w:r w:rsidRPr="00695032">
              <w:rPr>
                <w:rFonts w:ascii="Arial" w:eastAsia="Times" w:hAnsi="Arial"/>
              </w:rPr>
              <w:t xml:space="preserve"> No Diagnosis Code </w:t>
            </w:r>
            <w:r w:rsidRPr="00695032">
              <w:rPr>
                <w:rFonts w:ascii="Arial" w:eastAsia="Times" w:hAnsi="Arial"/>
                <w:highlight w:val="green"/>
              </w:rPr>
              <w:t>from the list below has been reported</w:t>
            </w:r>
            <w:r w:rsidRPr="00695032">
              <w:rPr>
                <w:rFonts w:ascii="Arial" w:eastAsia="Times" w:hAnsi="Arial"/>
              </w:rPr>
              <w:t xml:space="preserve"> that might explain why </w:t>
            </w:r>
            <w:proofErr w:type="gramStart"/>
            <w:r w:rsidRPr="00695032">
              <w:rPr>
                <w:rFonts w:ascii="Arial" w:eastAsia="Times" w:hAnsi="Arial"/>
                <w:strike/>
              </w:rPr>
              <w:t>the</w:t>
            </w:r>
            <w:r w:rsidRPr="00695032">
              <w:rPr>
                <w:rFonts w:ascii="Arial" w:eastAsia="Times" w:hAnsi="Arial"/>
              </w:rPr>
              <w:t xml:space="preserve"> </w:t>
            </w:r>
            <w:r w:rsidRPr="00695032">
              <w:rPr>
                <w:rFonts w:ascii="Arial" w:eastAsia="Times" w:hAnsi="Arial"/>
                <w:highlight w:val="green"/>
              </w:rPr>
              <w:t>a</w:t>
            </w:r>
            <w:proofErr w:type="gramEnd"/>
            <w:r w:rsidRPr="00695032">
              <w:rPr>
                <w:rFonts w:ascii="Arial" w:eastAsia="Times" w:hAnsi="Arial"/>
                <w:highlight w:val="green"/>
              </w:rPr>
              <w:t xml:space="preserve"> diagnosis or procedure</w:t>
            </w:r>
            <w:r w:rsidRPr="00695032">
              <w:rPr>
                <w:rFonts w:ascii="Arial" w:eastAsia="Times" w:hAnsi="Arial"/>
              </w:rPr>
              <w:t xml:space="preserve"> code </w:t>
            </w:r>
            <w:r w:rsidRPr="00695032">
              <w:rPr>
                <w:rFonts w:ascii="Arial" w:eastAsia="Times" w:hAnsi="Arial"/>
                <w:strike/>
              </w:rPr>
              <w:t>is recorded</w:t>
            </w:r>
            <w:r w:rsidRPr="00695032">
              <w:rPr>
                <w:rFonts w:ascii="Arial" w:eastAsia="Times" w:hAnsi="Arial"/>
              </w:rPr>
              <w:t xml:space="preserve"> </w:t>
            </w:r>
            <w:r w:rsidRPr="00695032">
              <w:rPr>
                <w:rFonts w:ascii="Arial" w:eastAsia="Times" w:hAnsi="Arial"/>
                <w:highlight w:val="green"/>
              </w:rPr>
              <w:t>has been assigned</w:t>
            </w:r>
            <w:r w:rsidRPr="00695032">
              <w:rPr>
                <w:rFonts w:ascii="Arial" w:eastAsia="Times" w:hAnsi="Arial"/>
              </w:rPr>
              <w:t xml:space="preserve"> for a patient recorded as female.</w:t>
            </w:r>
          </w:p>
          <w:p w14:paraId="13D381F6" w14:textId="77777777" w:rsidR="00B66BB1" w:rsidRDefault="00B66BB1" w:rsidP="00D7136B">
            <w:pPr>
              <w:pStyle w:val="DHHStabletext"/>
              <w:rPr>
                <w:rFonts w:eastAsia="Times"/>
                <w:strike/>
              </w:rPr>
            </w:pPr>
            <w:r w:rsidRPr="00695032">
              <w:rPr>
                <w:rFonts w:eastAsia="Times"/>
                <w:strike/>
              </w:rPr>
              <w:t>Such procedures can be performed to reassign or clarify gender, or on patients who have retained their biological sex specific organs, that require a form of treatment.</w:t>
            </w:r>
          </w:p>
          <w:p w14:paraId="342D8512" w14:textId="77777777" w:rsidR="00B66BB1" w:rsidRDefault="00B66BB1" w:rsidP="00D7136B">
            <w:pPr>
              <w:pStyle w:val="DHHStabletext"/>
              <w:rPr>
                <w:b/>
              </w:rPr>
            </w:pPr>
            <w:r w:rsidRPr="00303179">
              <w:rPr>
                <w:b/>
              </w:rPr>
              <w:t>Explanatory diagnosis codes</w:t>
            </w:r>
          </w:p>
          <w:p w14:paraId="5156E10D" w14:textId="6A4E79A4" w:rsidR="00B66BB1" w:rsidRPr="00303179" w:rsidRDefault="00B66BB1" w:rsidP="004E6581">
            <w:pPr>
              <w:pStyle w:val="DHHStablebullet"/>
            </w:pPr>
            <w:r w:rsidRPr="00303179">
              <w:t>E25.0</w:t>
            </w:r>
            <w:r w:rsidR="004E6581">
              <w:t xml:space="preserve"> </w:t>
            </w:r>
            <w:r w:rsidRPr="00303179">
              <w:t>Congenital adrenogenital disorders associated with enzyme deficiency</w:t>
            </w:r>
            <w:r>
              <w:t xml:space="preserve"> </w:t>
            </w:r>
            <w:r w:rsidRPr="00303179">
              <w:t xml:space="preserve">(includes Congenital adrenal </w:t>
            </w:r>
            <w:proofErr w:type="spellStart"/>
            <w:r w:rsidRPr="00303179">
              <w:t>pseudohermaphroditism</w:t>
            </w:r>
            <w:proofErr w:type="spellEnd"/>
            <w:r w:rsidRPr="00303179">
              <w:t>)</w:t>
            </w:r>
          </w:p>
          <w:p w14:paraId="0D047D94" w14:textId="38C63BA4" w:rsidR="00B66BB1" w:rsidRPr="00303179" w:rsidRDefault="00B66BB1" w:rsidP="004E6581">
            <w:pPr>
              <w:pStyle w:val="DHHStablebullet"/>
            </w:pPr>
            <w:r w:rsidRPr="00303179">
              <w:t>E25.8</w:t>
            </w:r>
            <w:r w:rsidR="004E6581">
              <w:t xml:space="preserve"> </w:t>
            </w:r>
            <w:r w:rsidRPr="00303179">
              <w:t xml:space="preserve">Other adrenogenital disorders (includes Adrenal </w:t>
            </w:r>
            <w:proofErr w:type="spellStart"/>
            <w:r w:rsidRPr="00303179">
              <w:t>pseudohermaphroditism</w:t>
            </w:r>
            <w:proofErr w:type="spellEnd"/>
            <w:r w:rsidRPr="00303179">
              <w:t>)</w:t>
            </w:r>
          </w:p>
          <w:p w14:paraId="00523FAE" w14:textId="767E98E7" w:rsidR="00B66BB1" w:rsidRPr="00303179" w:rsidRDefault="00B66BB1" w:rsidP="004E6581">
            <w:pPr>
              <w:pStyle w:val="DHHStablebullet"/>
            </w:pPr>
            <w:r w:rsidRPr="00303179">
              <w:t>E29.1</w:t>
            </w:r>
            <w:r w:rsidR="004E6581">
              <w:t xml:space="preserve"> </w:t>
            </w:r>
            <w:r w:rsidRPr="00303179">
              <w:t xml:space="preserve">Testicular hypofunction (includes </w:t>
            </w:r>
            <w:proofErr w:type="spellStart"/>
            <w:r w:rsidRPr="00303179">
              <w:t>Pseudohermaphroditism</w:t>
            </w:r>
            <w:proofErr w:type="spellEnd"/>
            <w:r w:rsidRPr="00303179">
              <w:t>, male, with 5 alpha- reductase deficiency)</w:t>
            </w:r>
          </w:p>
          <w:p w14:paraId="6E61B06D" w14:textId="75D3A4F8" w:rsidR="00B66BB1" w:rsidRPr="00303179" w:rsidRDefault="00B66BB1" w:rsidP="004E6581">
            <w:pPr>
              <w:pStyle w:val="DHHStablebullet"/>
            </w:pPr>
            <w:r w:rsidRPr="00303179">
              <w:t>E34.5</w:t>
            </w:r>
            <w:r w:rsidR="004E6581">
              <w:t xml:space="preserve"> </w:t>
            </w:r>
            <w:r w:rsidRPr="00303179">
              <w:t xml:space="preserve">Androgen resistance syndrome (includes </w:t>
            </w:r>
            <w:proofErr w:type="spellStart"/>
            <w:r w:rsidRPr="00303179">
              <w:t>Pseudohermaphroditism</w:t>
            </w:r>
            <w:proofErr w:type="spellEnd"/>
            <w:r w:rsidRPr="00303179">
              <w:t>, male, with feminising testis</w:t>
            </w:r>
          </w:p>
          <w:p w14:paraId="34BA4AF9" w14:textId="0CF2C530" w:rsidR="00B66BB1" w:rsidRPr="00303179" w:rsidRDefault="00B66BB1" w:rsidP="004E6581">
            <w:pPr>
              <w:pStyle w:val="DHHStablebullet"/>
            </w:pPr>
            <w:r w:rsidRPr="00303179">
              <w:t>F64.0</w:t>
            </w:r>
            <w:r w:rsidR="004E6581">
              <w:t xml:space="preserve"> </w:t>
            </w:r>
            <w:r w:rsidRPr="00303179">
              <w:t>Transsexualism</w:t>
            </w:r>
          </w:p>
          <w:p w14:paraId="69DB009B" w14:textId="483AED91" w:rsidR="00B66BB1" w:rsidRPr="00303179" w:rsidRDefault="00B66BB1" w:rsidP="004E6581">
            <w:pPr>
              <w:pStyle w:val="DHHStablebullet"/>
            </w:pPr>
            <w:r w:rsidRPr="00303179">
              <w:t>F64.2</w:t>
            </w:r>
            <w:r w:rsidR="004E6581">
              <w:t xml:space="preserve"> </w:t>
            </w:r>
            <w:r w:rsidRPr="00303179">
              <w:t>Gender identity disorder of childhood</w:t>
            </w:r>
          </w:p>
          <w:p w14:paraId="11B32576" w14:textId="20B4EBD9" w:rsidR="00B66BB1" w:rsidRPr="00303179" w:rsidRDefault="00B66BB1" w:rsidP="004E6581">
            <w:pPr>
              <w:pStyle w:val="DHHStablebullet"/>
            </w:pPr>
            <w:r w:rsidRPr="00303179">
              <w:t>F64.8</w:t>
            </w:r>
            <w:r w:rsidR="004E6581">
              <w:t xml:space="preserve"> </w:t>
            </w:r>
            <w:r w:rsidRPr="00303179">
              <w:t>Other gender identity disorders</w:t>
            </w:r>
          </w:p>
          <w:p w14:paraId="20B0C99B" w14:textId="4502A7A4" w:rsidR="00B66BB1" w:rsidRPr="00303179" w:rsidRDefault="00B66BB1" w:rsidP="004E6581">
            <w:pPr>
              <w:pStyle w:val="DHHStablebullet"/>
            </w:pPr>
            <w:r w:rsidRPr="00303179">
              <w:t>F64.9</w:t>
            </w:r>
            <w:r w:rsidR="004E6581">
              <w:t xml:space="preserve"> </w:t>
            </w:r>
            <w:r w:rsidRPr="00303179">
              <w:t>Gender identity disorder, unspecified</w:t>
            </w:r>
          </w:p>
          <w:p w14:paraId="3932F974" w14:textId="40949174" w:rsidR="00B66BB1" w:rsidRPr="00303179" w:rsidRDefault="00B66BB1" w:rsidP="004E6581">
            <w:pPr>
              <w:pStyle w:val="DHHStablebullet"/>
            </w:pPr>
            <w:r w:rsidRPr="00303179">
              <w:t>F66.0</w:t>
            </w:r>
            <w:r w:rsidR="004E6581">
              <w:t xml:space="preserve"> </w:t>
            </w:r>
            <w:r w:rsidRPr="00303179">
              <w:t>Sexual maturation disorder</w:t>
            </w:r>
          </w:p>
          <w:p w14:paraId="7398AF2E" w14:textId="02B16D3C" w:rsidR="00B66BB1" w:rsidRPr="00303179" w:rsidRDefault="00B66BB1" w:rsidP="004E6581">
            <w:pPr>
              <w:pStyle w:val="DHHStablebullet"/>
            </w:pPr>
            <w:r w:rsidRPr="00303179">
              <w:t>F66.1</w:t>
            </w:r>
            <w:r w:rsidR="004E6581">
              <w:t xml:space="preserve"> </w:t>
            </w:r>
            <w:proofErr w:type="spellStart"/>
            <w:r w:rsidRPr="00303179">
              <w:t>Egodystonic</w:t>
            </w:r>
            <w:proofErr w:type="spellEnd"/>
            <w:r w:rsidRPr="00303179">
              <w:t xml:space="preserve"> sexual orientation</w:t>
            </w:r>
          </w:p>
          <w:p w14:paraId="438561F6" w14:textId="1590AD6E" w:rsidR="00B66BB1" w:rsidRPr="00303179" w:rsidRDefault="00B66BB1" w:rsidP="004E6581">
            <w:pPr>
              <w:pStyle w:val="DHHStablebullet"/>
            </w:pPr>
            <w:r w:rsidRPr="00303179">
              <w:t>Q56</w:t>
            </w:r>
            <w:r>
              <w:t>.-</w:t>
            </w:r>
            <w:r w:rsidR="004E6581">
              <w:t xml:space="preserve"> </w:t>
            </w:r>
            <w:r w:rsidRPr="00303179">
              <w:t xml:space="preserve">Indeterminate sex and </w:t>
            </w:r>
            <w:proofErr w:type="spellStart"/>
            <w:r w:rsidRPr="00303179">
              <w:t>pseudohermaphroditism</w:t>
            </w:r>
            <w:proofErr w:type="spellEnd"/>
          </w:p>
          <w:p w14:paraId="6F0BE3B8" w14:textId="1BA93ADC" w:rsidR="00B66BB1" w:rsidRPr="00303179" w:rsidRDefault="00B66BB1" w:rsidP="004E6581">
            <w:pPr>
              <w:pStyle w:val="DHHStablebullet"/>
            </w:pPr>
            <w:r w:rsidRPr="00303179">
              <w:t>Q99.0</w:t>
            </w:r>
            <w:r w:rsidR="004E6581">
              <w:t xml:space="preserve"> </w:t>
            </w:r>
            <w:r w:rsidRPr="00303179">
              <w:t xml:space="preserve">Chimera </w:t>
            </w:r>
            <w:proofErr w:type="gramStart"/>
            <w:r w:rsidRPr="00303179">
              <w:t>46,XX</w:t>
            </w:r>
            <w:proofErr w:type="gramEnd"/>
            <w:r w:rsidRPr="00303179">
              <w:t>/46,XY (hermaphrodite)</w:t>
            </w:r>
          </w:p>
          <w:p w14:paraId="362C0361" w14:textId="3421118D" w:rsidR="00B66BB1" w:rsidRPr="00303179" w:rsidRDefault="00B66BB1" w:rsidP="004E6581">
            <w:pPr>
              <w:pStyle w:val="DHHStablebullet"/>
              <w:rPr>
                <w:b/>
              </w:rPr>
            </w:pPr>
            <w:r w:rsidRPr="00303179">
              <w:t>Q99.1</w:t>
            </w:r>
            <w:r w:rsidR="004E6581">
              <w:t xml:space="preserve"> </w:t>
            </w:r>
            <w:proofErr w:type="gramStart"/>
            <w:r w:rsidRPr="00303179">
              <w:t>46,XX</w:t>
            </w:r>
            <w:proofErr w:type="gramEnd"/>
            <w:r w:rsidRPr="00303179">
              <w:t xml:space="preserve"> true hermaphrodite</w:t>
            </w:r>
          </w:p>
        </w:tc>
      </w:tr>
      <w:tr w:rsidR="00B66BB1" w:rsidRPr="003072C6" w14:paraId="1D5E7E2E" w14:textId="77777777" w:rsidTr="00B66BB1">
        <w:tc>
          <w:tcPr>
            <w:tcW w:w="664" w:type="pct"/>
            <w:shd w:val="clear" w:color="auto" w:fill="auto"/>
          </w:tcPr>
          <w:p w14:paraId="46523BC5" w14:textId="77777777" w:rsidR="00B66BB1" w:rsidRPr="003072C6" w:rsidRDefault="00B66BB1" w:rsidP="00D7136B">
            <w:pPr>
              <w:spacing w:before="80" w:after="60"/>
            </w:pPr>
            <w:r w:rsidRPr="00303179">
              <w:rPr>
                <w:rFonts w:ascii="Arial" w:eastAsia="Times" w:hAnsi="Arial"/>
                <w:b/>
                <w:color w:val="004EA8"/>
              </w:rPr>
              <w:t>Remedy</w:t>
            </w:r>
          </w:p>
        </w:tc>
        <w:tc>
          <w:tcPr>
            <w:tcW w:w="4336" w:type="pct"/>
            <w:shd w:val="clear" w:color="auto" w:fill="auto"/>
          </w:tcPr>
          <w:p w14:paraId="5BCBBF91" w14:textId="77777777" w:rsidR="00B66BB1" w:rsidRDefault="00B66BB1" w:rsidP="00D7136B">
            <w:pPr>
              <w:pStyle w:val="DHHStabletext"/>
              <w:rPr>
                <w:rFonts w:eastAsia="Times"/>
                <w:highlight w:val="green"/>
              </w:rPr>
            </w:pPr>
            <w:r w:rsidRPr="00695032">
              <w:rPr>
                <w:rFonts w:eastAsia="Times"/>
                <w:highlight w:val="green"/>
              </w:rPr>
              <w:t>Firstly,</w:t>
            </w:r>
            <w:r w:rsidRPr="00695032">
              <w:rPr>
                <w:rFonts w:eastAsia="Times"/>
              </w:rPr>
              <w:t xml:space="preserve"> check Sex (E5) </w:t>
            </w:r>
            <w:r w:rsidRPr="00695032">
              <w:rPr>
                <w:rFonts w:eastAsia="Times"/>
                <w:highlight w:val="green"/>
              </w:rPr>
              <w:t>to ensure it is accurate. If the sex has been reported correctly, ensure that the</w:t>
            </w:r>
            <w:r w:rsidRPr="00695032">
              <w:rPr>
                <w:rFonts w:eastAsia="Times"/>
              </w:rPr>
              <w:t xml:space="preserve"> Diagnosis Code(s) and Procedure Code(s)(X5/Y5) </w:t>
            </w:r>
            <w:r w:rsidRPr="00695032">
              <w:rPr>
                <w:rFonts w:eastAsia="Times"/>
                <w:highlight w:val="green"/>
              </w:rPr>
              <w:t>reported for the episode are accurate</w:t>
            </w:r>
            <w:r w:rsidRPr="00695032">
              <w:rPr>
                <w:rFonts w:eastAsia="Times"/>
              </w:rPr>
              <w:t xml:space="preserve">. </w:t>
            </w:r>
            <w:r w:rsidRPr="00695032">
              <w:rPr>
                <w:rFonts w:eastAsia="Times"/>
                <w:highlight w:val="green"/>
              </w:rPr>
              <w:t xml:space="preserve">For the episode to be accepted, one of the above explanatory diagnosis codes must also be assigned according to the documentation in the episode. </w:t>
            </w:r>
          </w:p>
          <w:p w14:paraId="32811710" w14:textId="77777777" w:rsidR="00B66BB1" w:rsidRPr="003072C6" w:rsidRDefault="00B66BB1" w:rsidP="00D7136B">
            <w:pPr>
              <w:pStyle w:val="DHHStabletext"/>
            </w:pPr>
            <w:r w:rsidRPr="00695032">
              <w:rPr>
                <w:rFonts w:eastAsia="Times"/>
                <w:highlight w:val="green"/>
              </w:rPr>
              <w:t>In the absence of documentation of a specific diagnosis, assign F64.9 to allow the episode to be accepted</w:t>
            </w:r>
            <w:r w:rsidRPr="00695032">
              <w:rPr>
                <w:rFonts w:eastAsia="Times"/>
              </w:rPr>
              <w:t xml:space="preserve">. </w:t>
            </w:r>
            <w:r w:rsidRPr="00695032">
              <w:rPr>
                <w:rFonts w:eastAsia="Times"/>
                <w:strike/>
              </w:rPr>
              <w:t>amend as appropriate and re-submit the E5 and/or X5/Y5.</w:t>
            </w:r>
          </w:p>
        </w:tc>
      </w:tr>
    </w:tbl>
    <w:p w14:paraId="15160849" w14:textId="09489B96" w:rsidR="002C1ED1" w:rsidRDefault="002C1ED1" w:rsidP="00A312FC">
      <w:pPr>
        <w:pStyle w:val="DHHSbody"/>
      </w:pPr>
    </w:p>
    <w:p w14:paraId="6BF35E08" w14:textId="32F5BCBE" w:rsidR="007A02F5" w:rsidRDefault="007A02F5" w:rsidP="005A3A0F">
      <w:pPr>
        <w:pStyle w:val="Heading1"/>
      </w:pPr>
      <w:bookmarkStart w:id="14" w:name="_Toc12611837"/>
      <w:r>
        <w:t>Contact details</w:t>
      </w:r>
      <w:bookmarkEnd w:id="14"/>
    </w:p>
    <w:p w14:paraId="726B48EC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Data Collections unit manages several Victorian health data collections including:</w:t>
      </w:r>
    </w:p>
    <w:p w14:paraId="18D974DB" w14:textId="77777777" w:rsidR="00F17569" w:rsidRPr="00F17569" w:rsidRDefault="00F17569" w:rsidP="00B741F1">
      <w:pPr>
        <w:pStyle w:val="DHHSbullet1"/>
      </w:pPr>
      <w:r w:rsidRPr="00F17569">
        <w:t>Victorian Admitted Episodes Dataset (VAED)</w:t>
      </w:r>
    </w:p>
    <w:p w14:paraId="6964B76B" w14:textId="77777777" w:rsidR="00F17569" w:rsidRPr="00F17569" w:rsidRDefault="00F17569" w:rsidP="00F17569">
      <w:pPr>
        <w:pStyle w:val="DHHSbullet1"/>
      </w:pPr>
      <w:r w:rsidRPr="00F17569">
        <w:t>Victorian Emergency Minimum Dataset (VEMD)</w:t>
      </w:r>
    </w:p>
    <w:p w14:paraId="57DD771C" w14:textId="77777777" w:rsidR="00F17569" w:rsidRPr="00F17569" w:rsidRDefault="00F17569" w:rsidP="00F17569">
      <w:pPr>
        <w:pStyle w:val="DHHSbullet1"/>
      </w:pPr>
      <w:r w:rsidRPr="00F17569">
        <w:t>Elective Surgery Information System (ESIS)</w:t>
      </w:r>
    </w:p>
    <w:p w14:paraId="662F54F2" w14:textId="77777777" w:rsidR="00F17569" w:rsidRPr="00F17569" w:rsidRDefault="00F17569" w:rsidP="00F17569">
      <w:pPr>
        <w:pStyle w:val="DHHSbullet1"/>
      </w:pPr>
      <w:r w:rsidRPr="00F17569">
        <w:t>Agency Information Management System (AIMS)</w:t>
      </w:r>
    </w:p>
    <w:p w14:paraId="40DAB7B5" w14:textId="77777777" w:rsidR="00F17569" w:rsidRPr="00F17569" w:rsidRDefault="00F17569" w:rsidP="00F17569">
      <w:pPr>
        <w:pStyle w:val="DHHSbullet1"/>
      </w:pPr>
      <w:bookmarkStart w:id="15" w:name="_Hlk11831386"/>
      <w:r w:rsidRPr="00F17569">
        <w:t>Victorian Integrated Non-Admitted Health Minimum Dataset (VINAH)</w:t>
      </w:r>
    </w:p>
    <w:bookmarkEnd w:id="15"/>
    <w:p w14:paraId="21C674E5" w14:textId="77777777" w:rsidR="00F17569" w:rsidRPr="00F17569" w:rsidRDefault="00F17569" w:rsidP="004E6581">
      <w:pPr>
        <w:pStyle w:val="DHHSbullet1lastline"/>
      </w:pPr>
      <w:r w:rsidRPr="00F17569">
        <w:t>F1 data collections (technical support)</w:t>
      </w:r>
    </w:p>
    <w:p w14:paraId="0D3BF7C9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HDSS Bulletin is produced at intervals to provide:</w:t>
      </w:r>
    </w:p>
    <w:p w14:paraId="509D8361" w14:textId="77777777" w:rsidR="00F17569" w:rsidRPr="00F17569" w:rsidRDefault="00F17569" w:rsidP="00F17569">
      <w:pPr>
        <w:pStyle w:val="DHHSbullet1"/>
      </w:pPr>
      <w:r w:rsidRPr="00F17569">
        <w:t>answers to common questions recently directed to the HDSS help desk</w:t>
      </w:r>
    </w:p>
    <w:p w14:paraId="45C60444" w14:textId="77777777" w:rsidR="00F17569" w:rsidRPr="00F17569" w:rsidRDefault="00F17569" w:rsidP="00F17569">
      <w:pPr>
        <w:pStyle w:val="DHHSbullet1"/>
      </w:pPr>
      <w:r w:rsidRPr="00F17569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F17569" w:rsidRDefault="00F17569" w:rsidP="00F17569">
      <w:pPr>
        <w:pStyle w:val="DHHSbullet1"/>
      </w:pPr>
      <w:r w:rsidRPr="00F17569">
        <w:t>feedback on selected data quality studies undertaken</w:t>
      </w:r>
    </w:p>
    <w:p w14:paraId="563AEBB5" w14:textId="15C757CF" w:rsidR="00F17569" w:rsidRDefault="00F17569" w:rsidP="004E6581">
      <w:pPr>
        <w:pStyle w:val="DHHSbullet1lastline"/>
      </w:pPr>
      <w:r w:rsidRPr="00F17569">
        <w:t>information on upcoming events</w:t>
      </w:r>
    </w:p>
    <w:p w14:paraId="0DB20EB8" w14:textId="5A3930A5" w:rsidR="00F8321D" w:rsidRPr="002736F5" w:rsidRDefault="00F8321D" w:rsidP="002736F5">
      <w:pPr>
        <w:pStyle w:val="DHHSbody"/>
        <w:rPr>
          <w:b/>
        </w:rPr>
      </w:pPr>
      <w:r w:rsidRPr="002736F5">
        <w:rPr>
          <w:b/>
        </w:rPr>
        <w:t>Website</w:t>
      </w:r>
    </w:p>
    <w:p w14:paraId="496E55D3" w14:textId="335B347C" w:rsidR="00127586" w:rsidRDefault="00D745C5" w:rsidP="00511836">
      <w:pPr>
        <w:pStyle w:val="DHHSbody"/>
      </w:pPr>
      <w:hyperlink r:id="rId16" w:history="1">
        <w:r w:rsidR="00511836" w:rsidRPr="00511836">
          <w:rPr>
            <w:rStyle w:val="Hyperlink"/>
          </w:rPr>
          <w:t>HDSS website</w:t>
        </w:r>
      </w:hyperlink>
      <w:r w:rsidR="00511836">
        <w:t xml:space="preserve">  &lt;</w:t>
      </w:r>
      <w:r w:rsidR="00511836" w:rsidRPr="00511836">
        <w:t>https://www2.health.vic.gov.au/hospitals-and-health-services/data-reporting/health-data-standards-systems</w:t>
      </w:r>
      <w:r w:rsidR="00511836">
        <w:t>&gt;</w:t>
      </w:r>
    </w:p>
    <w:p w14:paraId="1A3E85F4" w14:textId="21C117C7" w:rsidR="00511836" w:rsidRPr="002736F5" w:rsidRDefault="00B72BD0" w:rsidP="002736F5">
      <w:pPr>
        <w:pStyle w:val="DHHSbody"/>
        <w:rPr>
          <w:b/>
        </w:rPr>
      </w:pPr>
      <w:r w:rsidRPr="002736F5">
        <w:rPr>
          <w:b/>
        </w:rPr>
        <w:t xml:space="preserve">HDSS help desk </w:t>
      </w:r>
    </w:p>
    <w:p w14:paraId="21DDB987" w14:textId="77777777" w:rsidR="00F8321D" w:rsidRDefault="00F8321D" w:rsidP="00F8321D">
      <w:pPr>
        <w:pStyle w:val="DHHSbody"/>
      </w:pPr>
      <w:r>
        <w:t>Enquiries regarding data collections and requests for standard reconciliation reports</w:t>
      </w:r>
    </w:p>
    <w:p w14:paraId="357E8724" w14:textId="77777777" w:rsidR="00F8321D" w:rsidRDefault="00F8321D" w:rsidP="00F8321D">
      <w:pPr>
        <w:pStyle w:val="DHHSbody"/>
      </w:pPr>
      <w:r>
        <w:t>Telephone (03) 9096 8595</w:t>
      </w:r>
    </w:p>
    <w:p w14:paraId="07B9E292" w14:textId="096BBE81" w:rsidR="00F8321D" w:rsidRPr="00F8321D" w:rsidRDefault="00D745C5" w:rsidP="00F8321D">
      <w:pPr>
        <w:pStyle w:val="DHHSbody"/>
      </w:pPr>
      <w:hyperlink r:id="rId17" w:history="1">
        <w:r w:rsidR="00F8321D" w:rsidRPr="00F8321D">
          <w:rPr>
            <w:rStyle w:val="Hyperlink"/>
          </w:rPr>
          <w:t>Email HDSS help desk</w:t>
        </w:r>
      </w:hyperlink>
      <w:r w:rsidR="00F8321D">
        <w:t xml:space="preserve"> &lt;</w:t>
      </w:r>
      <w:r w:rsidR="00F8321D" w:rsidRPr="00F8321D">
        <w:t>HDSS.helpdesk@dhhs.vic.gov.au</w:t>
      </w:r>
      <w:r w:rsidR="00F8321D">
        <w:t>&gt;</w:t>
      </w:r>
    </w:p>
    <w:p w14:paraId="6DA042CE" w14:textId="5084CE91" w:rsidR="00F8321D" w:rsidRPr="002736F5" w:rsidRDefault="00F8321D" w:rsidP="002736F5">
      <w:pPr>
        <w:pStyle w:val="DHHSbody"/>
        <w:rPr>
          <w:b/>
        </w:rPr>
      </w:pPr>
      <w:r w:rsidRPr="002736F5">
        <w:rPr>
          <w:b/>
        </w:rPr>
        <w:t>Other data requests</w:t>
      </w:r>
    </w:p>
    <w:p w14:paraId="11F58172" w14:textId="04632687" w:rsidR="00F8321D" w:rsidRPr="00F8321D" w:rsidRDefault="00D745C5" w:rsidP="00F8321D">
      <w:pPr>
        <w:pStyle w:val="DHHSbody"/>
      </w:pPr>
      <w:hyperlink r:id="rId18" w:history="1">
        <w:r w:rsidR="00D32937" w:rsidRPr="00D32937">
          <w:rPr>
            <w:rStyle w:val="Hyperlink"/>
          </w:rPr>
          <w:t>HOSdata Victorian hospital data reports</w:t>
        </w:r>
      </w:hyperlink>
      <w:r w:rsidR="00D32937">
        <w:t xml:space="preserve"> &lt;</w:t>
      </w:r>
      <w:r w:rsidR="00D32937" w:rsidRPr="00D32937">
        <w:t xml:space="preserve">https://bettersafercare.vic.gov.au/our-work/performance-and-safety-reporting/HOSdata </w:t>
      </w:r>
      <w:r w:rsidR="00D32937">
        <w:t>&gt;</w:t>
      </w:r>
    </w:p>
    <w:p w14:paraId="2030842D" w14:textId="4E94C3E8" w:rsidR="00F17569" w:rsidRDefault="00D745C5" w:rsidP="004E3923">
      <w:pPr>
        <w:pStyle w:val="DHHSbody"/>
      </w:pPr>
      <w:hyperlink r:id="rId19" w:history="1">
        <w:r w:rsidR="00F8321D" w:rsidRPr="00F8321D">
          <w:rPr>
            <w:rStyle w:val="Hyperlink"/>
          </w:rPr>
          <w:t>Email HOSdata</w:t>
        </w:r>
      </w:hyperlink>
      <w:r w:rsidR="00F8321D">
        <w:t xml:space="preserve"> </w:t>
      </w:r>
      <w:hyperlink r:id="rId20" w:history="1">
        <w:r w:rsidR="00FA20DC" w:rsidRPr="005E0E35">
          <w:rPr>
            <w:rStyle w:val="Hyperlink"/>
          </w:rPr>
          <w:t xml:space="preserve">Hosdata.frontdesk@vahi.vic.gov.au </w:t>
        </w:r>
      </w:hyperlink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420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2801E66F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21" w:history="1">
              <w:r w:rsidR="00127586" w:rsidRPr="00127586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HDSS.helpdesk@dhhs.vic.gov.au</w:t>
            </w:r>
            <w:r w:rsidR="00127586">
              <w:t>&gt;</w:t>
            </w:r>
          </w:p>
          <w:p w14:paraId="6C5F49D7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4D255A11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4E3923" w:rsidRPr="00F75DF9">
              <w:t xml:space="preserve">, </w:t>
            </w:r>
            <w:r w:rsidR="00B3038F">
              <w:t>June</w:t>
            </w:r>
            <w:r w:rsidR="004E3923" w:rsidRPr="00F75DF9">
              <w:t xml:space="preserve"> </w:t>
            </w:r>
            <w:r w:rsidR="004E3923">
              <w:t>201</w:t>
            </w:r>
            <w:r w:rsidR="00410E7E">
              <w:t>9</w:t>
            </w:r>
          </w:p>
          <w:p w14:paraId="16FE8619" w14:textId="752E8C40" w:rsidR="00835674" w:rsidRPr="00127586" w:rsidRDefault="00254F58" w:rsidP="00966D3D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22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4E6581">
      <w:pPr>
        <w:pStyle w:val="DHHSbody"/>
      </w:pPr>
    </w:p>
    <w:sectPr w:rsidR="00B2752E" w:rsidRPr="00906490" w:rsidSect="00BC1222">
      <w:footerReference w:type="default" r:id="rId23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3F38" w14:textId="77777777" w:rsidR="000B5CC0" w:rsidRDefault="000B5CC0">
      <w:r>
        <w:separator/>
      </w:r>
    </w:p>
  </w:endnote>
  <w:endnote w:type="continuationSeparator" w:id="0">
    <w:p w14:paraId="3F6CFBE3" w14:textId="77777777" w:rsidR="000B5CC0" w:rsidRDefault="000B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77777777" w:rsidR="00705561" w:rsidRPr="00F65AA9" w:rsidRDefault="0070556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2EBDABD" wp14:editId="1D33626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7D74" w14:textId="77777777" w:rsidR="00705561" w:rsidRPr="00A11421" w:rsidRDefault="00705561" w:rsidP="0051568D">
    <w:pPr>
      <w:pStyle w:val="DHHSfooter"/>
    </w:pPr>
    <w:r>
      <w:t>HDSS Bulletin 206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3DB6A3DB" w:rsidR="00705561" w:rsidRPr="00A11421" w:rsidRDefault="00410E7E" w:rsidP="0051568D">
    <w:pPr>
      <w:pStyle w:val="DHHSfooter"/>
    </w:pPr>
    <w:r>
      <w:t>HDSS Bulletin 22</w:t>
    </w:r>
    <w:r w:rsidR="00CB02CD">
      <w:t>3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A1B6E" w14:textId="77777777" w:rsidR="000B5CC0" w:rsidRDefault="000B5CC0" w:rsidP="002862F1">
      <w:pPr>
        <w:spacing w:before="120"/>
      </w:pPr>
      <w:r>
        <w:separator/>
      </w:r>
    </w:p>
  </w:footnote>
  <w:footnote w:type="continuationSeparator" w:id="0">
    <w:p w14:paraId="544D3040" w14:textId="77777777" w:rsidR="000B5CC0" w:rsidRDefault="000B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324B" w14:textId="77777777" w:rsidR="00705561" w:rsidRPr="0051568D" w:rsidRDefault="00705561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C0DEEE"/>
    <w:lvl w:ilvl="0">
      <w:numFmt w:val="bullet"/>
      <w:lvlText w:val="*"/>
      <w:lvlJc w:val="left"/>
    </w:lvl>
  </w:abstractNum>
  <w:abstractNum w:abstractNumId="1" w15:restartNumberingAfterBreak="0">
    <w:nsid w:val="02DA1955"/>
    <w:multiLevelType w:val="hybridMultilevel"/>
    <w:tmpl w:val="4508D62A"/>
    <w:lvl w:ilvl="0" w:tplc="EDB6F4BC"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19F9"/>
    <w:multiLevelType w:val="hybridMultilevel"/>
    <w:tmpl w:val="1A663E2E"/>
    <w:lvl w:ilvl="0" w:tplc="93DAA240"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1BD3"/>
    <w:multiLevelType w:val="hybridMultilevel"/>
    <w:tmpl w:val="8DB04140"/>
    <w:lvl w:ilvl="0" w:tplc="93DAA240"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5D5A"/>
    <w:multiLevelType w:val="hybridMultilevel"/>
    <w:tmpl w:val="92287A0C"/>
    <w:lvl w:ilvl="0" w:tplc="05DE92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E52"/>
    <w:multiLevelType w:val="multilevel"/>
    <w:tmpl w:val="CDEA1C02"/>
    <w:styleLink w:val="ZZChapternumber"/>
    <w:lvl w:ilvl="0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143238"/>
    <w:multiLevelType w:val="hybridMultilevel"/>
    <w:tmpl w:val="72C43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7821"/>
    <w:multiLevelType w:val="hybridMultilevel"/>
    <w:tmpl w:val="21062D86"/>
    <w:lvl w:ilvl="0" w:tplc="1B18EBB2">
      <w:start w:val="1"/>
      <w:numFmt w:val="decimal"/>
      <w:pStyle w:val="Heading2"/>
      <w:lvlText w:val="223.%1"/>
      <w:lvlJc w:val="right"/>
      <w:pPr>
        <w:ind w:left="1069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9" w15:restartNumberingAfterBreak="0">
    <w:nsid w:val="28D51B47"/>
    <w:multiLevelType w:val="multilevel"/>
    <w:tmpl w:val="4B4E7622"/>
    <w:numStyleLink w:val="ZZNumbers"/>
  </w:abstractNum>
  <w:abstractNum w:abstractNumId="10" w15:restartNumberingAfterBreak="0">
    <w:nsid w:val="371B56CB"/>
    <w:multiLevelType w:val="hybridMultilevel"/>
    <w:tmpl w:val="C2582318"/>
    <w:lvl w:ilvl="0" w:tplc="302E9EA4">
      <w:start w:val="1"/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3D5357FF"/>
    <w:multiLevelType w:val="hybridMultilevel"/>
    <w:tmpl w:val="4904A596"/>
    <w:lvl w:ilvl="0" w:tplc="BCB63018"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2443E4C"/>
    <w:multiLevelType w:val="hybridMultilevel"/>
    <w:tmpl w:val="8DB04140"/>
    <w:lvl w:ilvl="0" w:tplc="93DAA240"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0E3097"/>
    <w:multiLevelType w:val="hybridMultilevel"/>
    <w:tmpl w:val="472A70F8"/>
    <w:lvl w:ilvl="0" w:tplc="699CEBB6">
      <w:start w:val="1"/>
      <w:numFmt w:val="decimal"/>
      <w:lvlText w:val="%1"/>
      <w:lvlJc w:val="left"/>
      <w:pPr>
        <w:ind w:left="3600" w:hanging="14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5BC556EE"/>
    <w:multiLevelType w:val="hybridMultilevel"/>
    <w:tmpl w:val="FBBCE2D0"/>
    <w:lvl w:ilvl="0" w:tplc="46EC25F2">
      <w:start w:val="1"/>
      <w:numFmt w:val="decimal"/>
      <w:lvlText w:val="%1"/>
      <w:lvlJc w:val="left"/>
      <w:pPr>
        <w:ind w:left="6585" w:hanging="11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10" w:hanging="360"/>
      </w:pPr>
    </w:lvl>
    <w:lvl w:ilvl="2" w:tplc="0C09001B" w:tentative="1">
      <w:start w:val="1"/>
      <w:numFmt w:val="lowerRoman"/>
      <w:lvlText w:val="%3."/>
      <w:lvlJc w:val="right"/>
      <w:pPr>
        <w:ind w:left="7230" w:hanging="180"/>
      </w:pPr>
    </w:lvl>
    <w:lvl w:ilvl="3" w:tplc="0C09000F" w:tentative="1">
      <w:start w:val="1"/>
      <w:numFmt w:val="decimal"/>
      <w:lvlText w:val="%4."/>
      <w:lvlJc w:val="left"/>
      <w:pPr>
        <w:ind w:left="7950" w:hanging="360"/>
      </w:pPr>
    </w:lvl>
    <w:lvl w:ilvl="4" w:tplc="0C090019" w:tentative="1">
      <w:start w:val="1"/>
      <w:numFmt w:val="lowerLetter"/>
      <w:lvlText w:val="%5."/>
      <w:lvlJc w:val="left"/>
      <w:pPr>
        <w:ind w:left="8670" w:hanging="360"/>
      </w:pPr>
    </w:lvl>
    <w:lvl w:ilvl="5" w:tplc="0C09001B" w:tentative="1">
      <w:start w:val="1"/>
      <w:numFmt w:val="lowerRoman"/>
      <w:lvlText w:val="%6."/>
      <w:lvlJc w:val="right"/>
      <w:pPr>
        <w:ind w:left="9390" w:hanging="180"/>
      </w:pPr>
    </w:lvl>
    <w:lvl w:ilvl="6" w:tplc="0C09000F" w:tentative="1">
      <w:start w:val="1"/>
      <w:numFmt w:val="decimal"/>
      <w:lvlText w:val="%7."/>
      <w:lvlJc w:val="left"/>
      <w:pPr>
        <w:ind w:left="10110" w:hanging="360"/>
      </w:pPr>
    </w:lvl>
    <w:lvl w:ilvl="7" w:tplc="0C090019" w:tentative="1">
      <w:start w:val="1"/>
      <w:numFmt w:val="lowerLetter"/>
      <w:lvlText w:val="%8."/>
      <w:lvlJc w:val="left"/>
      <w:pPr>
        <w:ind w:left="10830" w:hanging="360"/>
      </w:pPr>
    </w:lvl>
    <w:lvl w:ilvl="8" w:tplc="0C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9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6C637067"/>
    <w:multiLevelType w:val="hybridMultilevel"/>
    <w:tmpl w:val="13C61AB8"/>
    <w:lvl w:ilvl="0" w:tplc="0BCE5E6C">
      <w:numFmt w:val="decimal"/>
      <w:lvlText w:val="%1."/>
      <w:lvlJc w:val="left"/>
      <w:pPr>
        <w:ind w:left="36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765576E7"/>
    <w:multiLevelType w:val="hybridMultilevel"/>
    <w:tmpl w:val="B8284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3AFC"/>
    <w:multiLevelType w:val="hybridMultilevel"/>
    <w:tmpl w:val="7F740EE6"/>
    <w:lvl w:ilvl="0" w:tplc="4B3000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911D9"/>
    <w:multiLevelType w:val="hybridMultilevel"/>
    <w:tmpl w:val="92287A0C"/>
    <w:lvl w:ilvl="0" w:tplc="05DE92D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9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4"/>
  </w:num>
  <w:num w:numId="8">
    <w:abstractNumId w:val="21"/>
  </w:num>
  <w:num w:numId="9">
    <w:abstractNumId w:val="11"/>
  </w:num>
  <w:num w:numId="10">
    <w:abstractNumId w:val="6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7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4"/>
  </w:num>
  <w:num w:numId="31">
    <w:abstractNumId w:val="15"/>
  </w:num>
  <w:num w:numId="32">
    <w:abstractNumId w:val="2"/>
  </w:num>
  <w:num w:numId="33">
    <w:abstractNumId w:val="20"/>
  </w:num>
  <w:num w:numId="34">
    <w:abstractNumId w:val="24"/>
  </w:num>
  <w:num w:numId="35">
    <w:abstractNumId w:val="5"/>
  </w:num>
  <w:num w:numId="36">
    <w:abstractNumId w:val="22"/>
  </w:num>
  <w:num w:numId="37">
    <w:abstractNumId w:val="8"/>
  </w:num>
  <w:num w:numId="38">
    <w:abstractNumId w:val="8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"/>
  </w:num>
  <w:num w:numId="43">
    <w:abstractNumId w:val="10"/>
  </w:num>
  <w:num w:numId="4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D03"/>
    <w:rsid w:val="00000423"/>
    <w:rsid w:val="00003096"/>
    <w:rsid w:val="000032AC"/>
    <w:rsid w:val="00004C8D"/>
    <w:rsid w:val="000072B6"/>
    <w:rsid w:val="0001021B"/>
    <w:rsid w:val="0001139D"/>
    <w:rsid w:val="00011D89"/>
    <w:rsid w:val="000127F5"/>
    <w:rsid w:val="00016D23"/>
    <w:rsid w:val="000177EA"/>
    <w:rsid w:val="00020702"/>
    <w:rsid w:val="00020D84"/>
    <w:rsid w:val="00020DB7"/>
    <w:rsid w:val="00021604"/>
    <w:rsid w:val="00021F0B"/>
    <w:rsid w:val="000232DB"/>
    <w:rsid w:val="00024D89"/>
    <w:rsid w:val="000250B6"/>
    <w:rsid w:val="00025708"/>
    <w:rsid w:val="00027260"/>
    <w:rsid w:val="00031ED6"/>
    <w:rsid w:val="000337DA"/>
    <w:rsid w:val="00033D81"/>
    <w:rsid w:val="00034A19"/>
    <w:rsid w:val="0003527B"/>
    <w:rsid w:val="00037A60"/>
    <w:rsid w:val="000412A0"/>
    <w:rsid w:val="00041BF0"/>
    <w:rsid w:val="0004228F"/>
    <w:rsid w:val="00043F4B"/>
    <w:rsid w:val="0004536B"/>
    <w:rsid w:val="00045766"/>
    <w:rsid w:val="00046B68"/>
    <w:rsid w:val="00047B50"/>
    <w:rsid w:val="000504F2"/>
    <w:rsid w:val="00052423"/>
    <w:rsid w:val="000527DD"/>
    <w:rsid w:val="00055E2C"/>
    <w:rsid w:val="000578B2"/>
    <w:rsid w:val="00060959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81220"/>
    <w:rsid w:val="000817E6"/>
    <w:rsid w:val="000857F8"/>
    <w:rsid w:val="00086F77"/>
    <w:rsid w:val="00087476"/>
    <w:rsid w:val="00087CC2"/>
    <w:rsid w:val="0009113B"/>
    <w:rsid w:val="000940C0"/>
    <w:rsid w:val="00094DA3"/>
    <w:rsid w:val="0009646F"/>
    <w:rsid w:val="00096CD1"/>
    <w:rsid w:val="000A012C"/>
    <w:rsid w:val="000A0EB9"/>
    <w:rsid w:val="000A186C"/>
    <w:rsid w:val="000A25F7"/>
    <w:rsid w:val="000A2BA2"/>
    <w:rsid w:val="000A2D65"/>
    <w:rsid w:val="000A4FD6"/>
    <w:rsid w:val="000A6666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C2BC5"/>
    <w:rsid w:val="000C3824"/>
    <w:rsid w:val="000C42EA"/>
    <w:rsid w:val="000C4546"/>
    <w:rsid w:val="000C5BD1"/>
    <w:rsid w:val="000C6BBC"/>
    <w:rsid w:val="000C771D"/>
    <w:rsid w:val="000D1242"/>
    <w:rsid w:val="000D1FF1"/>
    <w:rsid w:val="000D3255"/>
    <w:rsid w:val="000D646F"/>
    <w:rsid w:val="000D6F92"/>
    <w:rsid w:val="000E0C7C"/>
    <w:rsid w:val="000E1B78"/>
    <w:rsid w:val="000E3CC7"/>
    <w:rsid w:val="000E4C93"/>
    <w:rsid w:val="000E6BD4"/>
    <w:rsid w:val="000F0A30"/>
    <w:rsid w:val="000F1F1E"/>
    <w:rsid w:val="000F2259"/>
    <w:rsid w:val="000F2C09"/>
    <w:rsid w:val="000F56E1"/>
    <w:rsid w:val="001037BA"/>
    <w:rsid w:val="0010392D"/>
    <w:rsid w:val="0010447F"/>
    <w:rsid w:val="00104ACD"/>
    <w:rsid w:val="00104E19"/>
    <w:rsid w:val="00104FE3"/>
    <w:rsid w:val="00107C2E"/>
    <w:rsid w:val="00113D38"/>
    <w:rsid w:val="001148F9"/>
    <w:rsid w:val="0011739D"/>
    <w:rsid w:val="00117AFC"/>
    <w:rsid w:val="00120BD3"/>
    <w:rsid w:val="00122FEA"/>
    <w:rsid w:val="001232BD"/>
    <w:rsid w:val="00123919"/>
    <w:rsid w:val="00124ED5"/>
    <w:rsid w:val="0012658F"/>
    <w:rsid w:val="00127586"/>
    <w:rsid w:val="00127FD4"/>
    <w:rsid w:val="00133190"/>
    <w:rsid w:val="00141414"/>
    <w:rsid w:val="00143A40"/>
    <w:rsid w:val="001447B3"/>
    <w:rsid w:val="001460E5"/>
    <w:rsid w:val="001468FF"/>
    <w:rsid w:val="00152073"/>
    <w:rsid w:val="00152AC4"/>
    <w:rsid w:val="00152D5A"/>
    <w:rsid w:val="0015424D"/>
    <w:rsid w:val="001567F5"/>
    <w:rsid w:val="00161939"/>
    <w:rsid w:val="00161AA0"/>
    <w:rsid w:val="00162093"/>
    <w:rsid w:val="001622C4"/>
    <w:rsid w:val="001729A0"/>
    <w:rsid w:val="0017399E"/>
    <w:rsid w:val="00174C26"/>
    <w:rsid w:val="001758E3"/>
    <w:rsid w:val="00176A6A"/>
    <w:rsid w:val="001771DD"/>
    <w:rsid w:val="00177995"/>
    <w:rsid w:val="00177A8C"/>
    <w:rsid w:val="001810C9"/>
    <w:rsid w:val="001824CF"/>
    <w:rsid w:val="00184E2E"/>
    <w:rsid w:val="0018574E"/>
    <w:rsid w:val="00186B33"/>
    <w:rsid w:val="00187286"/>
    <w:rsid w:val="00191CC5"/>
    <w:rsid w:val="001922EA"/>
    <w:rsid w:val="00192F9D"/>
    <w:rsid w:val="001948DC"/>
    <w:rsid w:val="00196EB8"/>
    <w:rsid w:val="00196EFB"/>
    <w:rsid w:val="001979FF"/>
    <w:rsid w:val="00197B17"/>
    <w:rsid w:val="001A29B7"/>
    <w:rsid w:val="001A2A43"/>
    <w:rsid w:val="001A3ACE"/>
    <w:rsid w:val="001A6E90"/>
    <w:rsid w:val="001A6E96"/>
    <w:rsid w:val="001B0356"/>
    <w:rsid w:val="001B19AE"/>
    <w:rsid w:val="001B4C56"/>
    <w:rsid w:val="001B6BC8"/>
    <w:rsid w:val="001C0F66"/>
    <w:rsid w:val="001C277E"/>
    <w:rsid w:val="001C2A72"/>
    <w:rsid w:val="001D0A0B"/>
    <w:rsid w:val="001D0A85"/>
    <w:rsid w:val="001D0B75"/>
    <w:rsid w:val="001D1A28"/>
    <w:rsid w:val="001D3C09"/>
    <w:rsid w:val="001D44E8"/>
    <w:rsid w:val="001D60EC"/>
    <w:rsid w:val="001E0D56"/>
    <w:rsid w:val="001E354F"/>
    <w:rsid w:val="001E44DF"/>
    <w:rsid w:val="001E68A5"/>
    <w:rsid w:val="001E6BB0"/>
    <w:rsid w:val="001E7447"/>
    <w:rsid w:val="001F3826"/>
    <w:rsid w:val="001F50E4"/>
    <w:rsid w:val="001F5BA0"/>
    <w:rsid w:val="001F5CE7"/>
    <w:rsid w:val="001F6553"/>
    <w:rsid w:val="001F6E46"/>
    <w:rsid w:val="001F7C91"/>
    <w:rsid w:val="00201DF7"/>
    <w:rsid w:val="0020397C"/>
    <w:rsid w:val="00204E6C"/>
    <w:rsid w:val="0020581A"/>
    <w:rsid w:val="00206463"/>
    <w:rsid w:val="00206F2F"/>
    <w:rsid w:val="0021053D"/>
    <w:rsid w:val="00210A92"/>
    <w:rsid w:val="0021157F"/>
    <w:rsid w:val="00214655"/>
    <w:rsid w:val="002148FF"/>
    <w:rsid w:val="002149C2"/>
    <w:rsid w:val="00214E33"/>
    <w:rsid w:val="00216C03"/>
    <w:rsid w:val="00220C04"/>
    <w:rsid w:val="00221F51"/>
    <w:rsid w:val="0022278D"/>
    <w:rsid w:val="0022701F"/>
    <w:rsid w:val="002333F5"/>
    <w:rsid w:val="00233724"/>
    <w:rsid w:val="00233ADC"/>
    <w:rsid w:val="002342C2"/>
    <w:rsid w:val="00234AAA"/>
    <w:rsid w:val="00240F83"/>
    <w:rsid w:val="002432E1"/>
    <w:rsid w:val="00244A31"/>
    <w:rsid w:val="00246207"/>
    <w:rsid w:val="00246232"/>
    <w:rsid w:val="00246598"/>
    <w:rsid w:val="00246C5E"/>
    <w:rsid w:val="00250759"/>
    <w:rsid w:val="00251343"/>
    <w:rsid w:val="00251F6F"/>
    <w:rsid w:val="0025279A"/>
    <w:rsid w:val="00254F58"/>
    <w:rsid w:val="00261327"/>
    <w:rsid w:val="002615C7"/>
    <w:rsid w:val="002620BC"/>
    <w:rsid w:val="00262802"/>
    <w:rsid w:val="00263A90"/>
    <w:rsid w:val="0026408B"/>
    <w:rsid w:val="00265378"/>
    <w:rsid w:val="002657A2"/>
    <w:rsid w:val="002657A3"/>
    <w:rsid w:val="00267C3E"/>
    <w:rsid w:val="002709BB"/>
    <w:rsid w:val="00272F2B"/>
    <w:rsid w:val="0027310E"/>
    <w:rsid w:val="00273373"/>
    <w:rsid w:val="002736F5"/>
    <w:rsid w:val="00274B52"/>
    <w:rsid w:val="002763B3"/>
    <w:rsid w:val="00276AC4"/>
    <w:rsid w:val="002802E3"/>
    <w:rsid w:val="0028213D"/>
    <w:rsid w:val="0028339B"/>
    <w:rsid w:val="00285134"/>
    <w:rsid w:val="0028528E"/>
    <w:rsid w:val="00285912"/>
    <w:rsid w:val="00285AAA"/>
    <w:rsid w:val="002862F1"/>
    <w:rsid w:val="00291373"/>
    <w:rsid w:val="00293358"/>
    <w:rsid w:val="00294C56"/>
    <w:rsid w:val="0029597D"/>
    <w:rsid w:val="002962C3"/>
    <w:rsid w:val="0029752B"/>
    <w:rsid w:val="002A0FA5"/>
    <w:rsid w:val="002A45EE"/>
    <w:rsid w:val="002A483C"/>
    <w:rsid w:val="002A774F"/>
    <w:rsid w:val="002B029C"/>
    <w:rsid w:val="002B1729"/>
    <w:rsid w:val="002B265F"/>
    <w:rsid w:val="002B2816"/>
    <w:rsid w:val="002B2AA0"/>
    <w:rsid w:val="002B36C7"/>
    <w:rsid w:val="002B4DD4"/>
    <w:rsid w:val="002B4EF0"/>
    <w:rsid w:val="002B5277"/>
    <w:rsid w:val="002B52A6"/>
    <w:rsid w:val="002B5375"/>
    <w:rsid w:val="002B74A3"/>
    <w:rsid w:val="002B77C1"/>
    <w:rsid w:val="002C1ED1"/>
    <w:rsid w:val="002C2537"/>
    <w:rsid w:val="002C25EA"/>
    <w:rsid w:val="002C2728"/>
    <w:rsid w:val="002C3D29"/>
    <w:rsid w:val="002C4825"/>
    <w:rsid w:val="002C4A35"/>
    <w:rsid w:val="002D1283"/>
    <w:rsid w:val="002D1F45"/>
    <w:rsid w:val="002D3130"/>
    <w:rsid w:val="002D3E70"/>
    <w:rsid w:val="002D5006"/>
    <w:rsid w:val="002D6262"/>
    <w:rsid w:val="002D658C"/>
    <w:rsid w:val="002E01D0"/>
    <w:rsid w:val="002E11EA"/>
    <w:rsid w:val="002E161D"/>
    <w:rsid w:val="002E1DD8"/>
    <w:rsid w:val="002E3100"/>
    <w:rsid w:val="002E48BF"/>
    <w:rsid w:val="002E66F6"/>
    <w:rsid w:val="002E6C95"/>
    <w:rsid w:val="002E7C36"/>
    <w:rsid w:val="002F1A9F"/>
    <w:rsid w:val="002F1D38"/>
    <w:rsid w:val="002F367E"/>
    <w:rsid w:val="002F3D66"/>
    <w:rsid w:val="002F4171"/>
    <w:rsid w:val="002F5E77"/>
    <w:rsid w:val="002F5F31"/>
    <w:rsid w:val="002F5F46"/>
    <w:rsid w:val="002F620B"/>
    <w:rsid w:val="003003F7"/>
    <w:rsid w:val="00302216"/>
    <w:rsid w:val="00303E53"/>
    <w:rsid w:val="00304E97"/>
    <w:rsid w:val="003053DD"/>
    <w:rsid w:val="0030611C"/>
    <w:rsid w:val="00306E5F"/>
    <w:rsid w:val="00307E14"/>
    <w:rsid w:val="00311C4A"/>
    <w:rsid w:val="0031251D"/>
    <w:rsid w:val="00313A8B"/>
    <w:rsid w:val="00314054"/>
    <w:rsid w:val="00316898"/>
    <w:rsid w:val="00316F27"/>
    <w:rsid w:val="0031768B"/>
    <w:rsid w:val="0031773C"/>
    <w:rsid w:val="00327870"/>
    <w:rsid w:val="00330F3C"/>
    <w:rsid w:val="0033259D"/>
    <w:rsid w:val="00333A88"/>
    <w:rsid w:val="00334A11"/>
    <w:rsid w:val="00335F96"/>
    <w:rsid w:val="00337C00"/>
    <w:rsid w:val="003406C6"/>
    <w:rsid w:val="003418CC"/>
    <w:rsid w:val="00344E29"/>
    <w:rsid w:val="003459BD"/>
    <w:rsid w:val="003500FA"/>
    <w:rsid w:val="00350D38"/>
    <w:rsid w:val="0035102C"/>
    <w:rsid w:val="00351B36"/>
    <w:rsid w:val="00352184"/>
    <w:rsid w:val="003529DE"/>
    <w:rsid w:val="00352DD8"/>
    <w:rsid w:val="0035456C"/>
    <w:rsid w:val="003556F3"/>
    <w:rsid w:val="00357B4E"/>
    <w:rsid w:val="00361CAB"/>
    <w:rsid w:val="0036330C"/>
    <w:rsid w:val="00363489"/>
    <w:rsid w:val="003640A9"/>
    <w:rsid w:val="00365704"/>
    <w:rsid w:val="0036592C"/>
    <w:rsid w:val="00366BC0"/>
    <w:rsid w:val="0036748F"/>
    <w:rsid w:val="00371F47"/>
    <w:rsid w:val="003730C6"/>
    <w:rsid w:val="00373C3A"/>
    <w:rsid w:val="003744CF"/>
    <w:rsid w:val="00374717"/>
    <w:rsid w:val="0037588F"/>
    <w:rsid w:val="00375A42"/>
    <w:rsid w:val="0037676C"/>
    <w:rsid w:val="00381C6F"/>
    <w:rsid w:val="003829E5"/>
    <w:rsid w:val="00384628"/>
    <w:rsid w:val="003877F3"/>
    <w:rsid w:val="0039156E"/>
    <w:rsid w:val="003940C4"/>
    <w:rsid w:val="003956CC"/>
    <w:rsid w:val="0039586A"/>
    <w:rsid w:val="00395C9A"/>
    <w:rsid w:val="00397BAE"/>
    <w:rsid w:val="003A2DBB"/>
    <w:rsid w:val="003A3DA7"/>
    <w:rsid w:val="003A52C1"/>
    <w:rsid w:val="003A5F6D"/>
    <w:rsid w:val="003A6B67"/>
    <w:rsid w:val="003A7DBC"/>
    <w:rsid w:val="003B0262"/>
    <w:rsid w:val="003B15E6"/>
    <w:rsid w:val="003B42F5"/>
    <w:rsid w:val="003B49D9"/>
    <w:rsid w:val="003C1A33"/>
    <w:rsid w:val="003C1B03"/>
    <w:rsid w:val="003C2045"/>
    <w:rsid w:val="003C20AB"/>
    <w:rsid w:val="003C43A1"/>
    <w:rsid w:val="003C4FC0"/>
    <w:rsid w:val="003C55F4"/>
    <w:rsid w:val="003C7006"/>
    <w:rsid w:val="003C7A3F"/>
    <w:rsid w:val="003C7ED8"/>
    <w:rsid w:val="003D04CD"/>
    <w:rsid w:val="003D0C84"/>
    <w:rsid w:val="003D2766"/>
    <w:rsid w:val="003D295D"/>
    <w:rsid w:val="003D3E8F"/>
    <w:rsid w:val="003D6475"/>
    <w:rsid w:val="003E300D"/>
    <w:rsid w:val="003E54DD"/>
    <w:rsid w:val="003F0445"/>
    <w:rsid w:val="003F0CF0"/>
    <w:rsid w:val="003F14B1"/>
    <w:rsid w:val="003F3289"/>
    <w:rsid w:val="003F3B99"/>
    <w:rsid w:val="003F409F"/>
    <w:rsid w:val="003F51F4"/>
    <w:rsid w:val="003F5614"/>
    <w:rsid w:val="00401259"/>
    <w:rsid w:val="00401692"/>
    <w:rsid w:val="00401FCF"/>
    <w:rsid w:val="00403A80"/>
    <w:rsid w:val="00406285"/>
    <w:rsid w:val="00407519"/>
    <w:rsid w:val="00410E7E"/>
    <w:rsid w:val="00412D16"/>
    <w:rsid w:val="00412E5C"/>
    <w:rsid w:val="00413611"/>
    <w:rsid w:val="004148F9"/>
    <w:rsid w:val="0042084E"/>
    <w:rsid w:val="004211C3"/>
    <w:rsid w:val="00421EEF"/>
    <w:rsid w:val="00424D65"/>
    <w:rsid w:val="00424F3A"/>
    <w:rsid w:val="004264B2"/>
    <w:rsid w:val="00427A42"/>
    <w:rsid w:val="0043029C"/>
    <w:rsid w:val="00432EC8"/>
    <w:rsid w:val="004350DB"/>
    <w:rsid w:val="00435CD7"/>
    <w:rsid w:val="0044085E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90B"/>
    <w:rsid w:val="00453A1D"/>
    <w:rsid w:val="00457337"/>
    <w:rsid w:val="00460855"/>
    <w:rsid w:val="00466AF5"/>
    <w:rsid w:val="00467AE2"/>
    <w:rsid w:val="00471AD0"/>
    <w:rsid w:val="00472EAD"/>
    <w:rsid w:val="0047372D"/>
    <w:rsid w:val="0047379D"/>
    <w:rsid w:val="00473AE2"/>
    <w:rsid w:val="004743DD"/>
    <w:rsid w:val="00474CEA"/>
    <w:rsid w:val="00477CEC"/>
    <w:rsid w:val="0048336C"/>
    <w:rsid w:val="00483968"/>
    <w:rsid w:val="00484299"/>
    <w:rsid w:val="00484F86"/>
    <w:rsid w:val="004864FA"/>
    <w:rsid w:val="00486C9D"/>
    <w:rsid w:val="00487BAA"/>
    <w:rsid w:val="00490467"/>
    <w:rsid w:val="00490746"/>
    <w:rsid w:val="00490852"/>
    <w:rsid w:val="004920EB"/>
    <w:rsid w:val="00492F30"/>
    <w:rsid w:val="004946F4"/>
    <w:rsid w:val="0049487E"/>
    <w:rsid w:val="004A160D"/>
    <w:rsid w:val="004A1B30"/>
    <w:rsid w:val="004A24B1"/>
    <w:rsid w:val="004A3E81"/>
    <w:rsid w:val="004A5C62"/>
    <w:rsid w:val="004A705F"/>
    <w:rsid w:val="004A707D"/>
    <w:rsid w:val="004B2B92"/>
    <w:rsid w:val="004B2D5E"/>
    <w:rsid w:val="004B644D"/>
    <w:rsid w:val="004B6F98"/>
    <w:rsid w:val="004C20E2"/>
    <w:rsid w:val="004C5797"/>
    <w:rsid w:val="004C6EEE"/>
    <w:rsid w:val="004C702B"/>
    <w:rsid w:val="004D016B"/>
    <w:rsid w:val="004D1B22"/>
    <w:rsid w:val="004D351B"/>
    <w:rsid w:val="004D36F2"/>
    <w:rsid w:val="004D56BD"/>
    <w:rsid w:val="004D6BDB"/>
    <w:rsid w:val="004D7F26"/>
    <w:rsid w:val="004E138F"/>
    <w:rsid w:val="004E3923"/>
    <w:rsid w:val="004E4649"/>
    <w:rsid w:val="004E4EFE"/>
    <w:rsid w:val="004E5C2B"/>
    <w:rsid w:val="004E6581"/>
    <w:rsid w:val="004E66F0"/>
    <w:rsid w:val="004F00DD"/>
    <w:rsid w:val="004F05F6"/>
    <w:rsid w:val="004F19A3"/>
    <w:rsid w:val="004F2133"/>
    <w:rsid w:val="004F4E14"/>
    <w:rsid w:val="004F55F1"/>
    <w:rsid w:val="004F6936"/>
    <w:rsid w:val="004F7CF5"/>
    <w:rsid w:val="005010F0"/>
    <w:rsid w:val="0050110B"/>
    <w:rsid w:val="00501A66"/>
    <w:rsid w:val="00503DC6"/>
    <w:rsid w:val="005045A4"/>
    <w:rsid w:val="005065FD"/>
    <w:rsid w:val="00506F5D"/>
    <w:rsid w:val="00511836"/>
    <w:rsid w:val="005126D0"/>
    <w:rsid w:val="00515223"/>
    <w:rsid w:val="0051563E"/>
    <w:rsid w:val="0051568D"/>
    <w:rsid w:val="00526C15"/>
    <w:rsid w:val="00532A89"/>
    <w:rsid w:val="0053401A"/>
    <w:rsid w:val="005363DE"/>
    <w:rsid w:val="00536499"/>
    <w:rsid w:val="00541FB6"/>
    <w:rsid w:val="00543437"/>
    <w:rsid w:val="00543903"/>
    <w:rsid w:val="00543F11"/>
    <w:rsid w:val="00544144"/>
    <w:rsid w:val="00545BEC"/>
    <w:rsid w:val="005460A7"/>
    <w:rsid w:val="0054662E"/>
    <w:rsid w:val="00547A95"/>
    <w:rsid w:val="00551274"/>
    <w:rsid w:val="0055308B"/>
    <w:rsid w:val="005541BC"/>
    <w:rsid w:val="00555973"/>
    <w:rsid w:val="0055692F"/>
    <w:rsid w:val="00556ED9"/>
    <w:rsid w:val="0055788A"/>
    <w:rsid w:val="00560991"/>
    <w:rsid w:val="005611A1"/>
    <w:rsid w:val="00562568"/>
    <w:rsid w:val="00562A59"/>
    <w:rsid w:val="00564386"/>
    <w:rsid w:val="00565D0F"/>
    <w:rsid w:val="00567B28"/>
    <w:rsid w:val="00572031"/>
    <w:rsid w:val="00572975"/>
    <w:rsid w:val="00573163"/>
    <w:rsid w:val="005753BF"/>
    <w:rsid w:val="00575A78"/>
    <w:rsid w:val="00576E84"/>
    <w:rsid w:val="0058003E"/>
    <w:rsid w:val="0058176B"/>
    <w:rsid w:val="005817A9"/>
    <w:rsid w:val="00581872"/>
    <w:rsid w:val="00582B8C"/>
    <w:rsid w:val="005840C9"/>
    <w:rsid w:val="00584E14"/>
    <w:rsid w:val="00587220"/>
    <w:rsid w:val="0058757E"/>
    <w:rsid w:val="00590084"/>
    <w:rsid w:val="00591653"/>
    <w:rsid w:val="00593920"/>
    <w:rsid w:val="00596A4B"/>
    <w:rsid w:val="00597507"/>
    <w:rsid w:val="005A3A0F"/>
    <w:rsid w:val="005A7F32"/>
    <w:rsid w:val="005B1748"/>
    <w:rsid w:val="005B21B6"/>
    <w:rsid w:val="005B33E7"/>
    <w:rsid w:val="005B3A08"/>
    <w:rsid w:val="005B467D"/>
    <w:rsid w:val="005B4ADD"/>
    <w:rsid w:val="005B4CF7"/>
    <w:rsid w:val="005B5921"/>
    <w:rsid w:val="005B7A63"/>
    <w:rsid w:val="005C0955"/>
    <w:rsid w:val="005C13A9"/>
    <w:rsid w:val="005C49DA"/>
    <w:rsid w:val="005C50F3"/>
    <w:rsid w:val="005C5D91"/>
    <w:rsid w:val="005D07B8"/>
    <w:rsid w:val="005D349E"/>
    <w:rsid w:val="005D3D7F"/>
    <w:rsid w:val="005D4CAF"/>
    <w:rsid w:val="005D6597"/>
    <w:rsid w:val="005D7977"/>
    <w:rsid w:val="005E14E7"/>
    <w:rsid w:val="005E26A3"/>
    <w:rsid w:val="005E4269"/>
    <w:rsid w:val="005E447E"/>
    <w:rsid w:val="005E6EAB"/>
    <w:rsid w:val="005F0775"/>
    <w:rsid w:val="005F0CF5"/>
    <w:rsid w:val="005F21EB"/>
    <w:rsid w:val="005F70AF"/>
    <w:rsid w:val="00601361"/>
    <w:rsid w:val="0060288F"/>
    <w:rsid w:val="00605908"/>
    <w:rsid w:val="0060672B"/>
    <w:rsid w:val="00610D7C"/>
    <w:rsid w:val="006126E5"/>
    <w:rsid w:val="00612F09"/>
    <w:rsid w:val="00613191"/>
    <w:rsid w:val="00613414"/>
    <w:rsid w:val="00615AEC"/>
    <w:rsid w:val="00616205"/>
    <w:rsid w:val="0061648D"/>
    <w:rsid w:val="00617857"/>
    <w:rsid w:val="00620FD2"/>
    <w:rsid w:val="00623667"/>
    <w:rsid w:val="00623DB7"/>
    <w:rsid w:val="0062408D"/>
    <w:rsid w:val="006240CC"/>
    <w:rsid w:val="006248CD"/>
    <w:rsid w:val="006257E6"/>
    <w:rsid w:val="006261D3"/>
    <w:rsid w:val="00627DA7"/>
    <w:rsid w:val="00630413"/>
    <w:rsid w:val="00630EE6"/>
    <w:rsid w:val="00630F9A"/>
    <w:rsid w:val="00633471"/>
    <w:rsid w:val="006358B4"/>
    <w:rsid w:val="00637932"/>
    <w:rsid w:val="006419AA"/>
    <w:rsid w:val="0064370F"/>
    <w:rsid w:val="00644B7E"/>
    <w:rsid w:val="00644E40"/>
    <w:rsid w:val="006454E6"/>
    <w:rsid w:val="00646A68"/>
    <w:rsid w:val="0065092E"/>
    <w:rsid w:val="006515FD"/>
    <w:rsid w:val="006537D4"/>
    <w:rsid w:val="006557A7"/>
    <w:rsid w:val="00656290"/>
    <w:rsid w:val="0066165E"/>
    <w:rsid w:val="00661E29"/>
    <w:rsid w:val="006621D7"/>
    <w:rsid w:val="0066302A"/>
    <w:rsid w:val="00667E55"/>
    <w:rsid w:val="00670597"/>
    <w:rsid w:val="006706D0"/>
    <w:rsid w:val="0067070D"/>
    <w:rsid w:val="0067459E"/>
    <w:rsid w:val="00677574"/>
    <w:rsid w:val="00677CA2"/>
    <w:rsid w:val="0068086C"/>
    <w:rsid w:val="00680949"/>
    <w:rsid w:val="0068264B"/>
    <w:rsid w:val="006844EB"/>
    <w:rsid w:val="0068454C"/>
    <w:rsid w:val="00684D98"/>
    <w:rsid w:val="00684F75"/>
    <w:rsid w:val="00685EF5"/>
    <w:rsid w:val="0069114F"/>
    <w:rsid w:val="00691B62"/>
    <w:rsid w:val="006933B5"/>
    <w:rsid w:val="00693D14"/>
    <w:rsid w:val="00694826"/>
    <w:rsid w:val="00695A27"/>
    <w:rsid w:val="00697238"/>
    <w:rsid w:val="00697B96"/>
    <w:rsid w:val="006A0E56"/>
    <w:rsid w:val="006A1310"/>
    <w:rsid w:val="006A18C2"/>
    <w:rsid w:val="006A4E6A"/>
    <w:rsid w:val="006A6403"/>
    <w:rsid w:val="006B077C"/>
    <w:rsid w:val="006B6803"/>
    <w:rsid w:val="006C1D98"/>
    <w:rsid w:val="006C2425"/>
    <w:rsid w:val="006C258B"/>
    <w:rsid w:val="006C2995"/>
    <w:rsid w:val="006D0811"/>
    <w:rsid w:val="006D0832"/>
    <w:rsid w:val="006D142D"/>
    <w:rsid w:val="006D2A3F"/>
    <w:rsid w:val="006D2FBC"/>
    <w:rsid w:val="006D6DBB"/>
    <w:rsid w:val="006D7511"/>
    <w:rsid w:val="006E138B"/>
    <w:rsid w:val="006E5B5E"/>
    <w:rsid w:val="006F1FDC"/>
    <w:rsid w:val="006F5D2B"/>
    <w:rsid w:val="006F6924"/>
    <w:rsid w:val="007013EF"/>
    <w:rsid w:val="00703620"/>
    <w:rsid w:val="00705561"/>
    <w:rsid w:val="00705B8C"/>
    <w:rsid w:val="00706FED"/>
    <w:rsid w:val="0071271B"/>
    <w:rsid w:val="00712E54"/>
    <w:rsid w:val="007173CA"/>
    <w:rsid w:val="00720409"/>
    <w:rsid w:val="00720CC6"/>
    <w:rsid w:val="007216AA"/>
    <w:rsid w:val="00721AB5"/>
    <w:rsid w:val="00721DEF"/>
    <w:rsid w:val="00724A43"/>
    <w:rsid w:val="00724E5A"/>
    <w:rsid w:val="00731C27"/>
    <w:rsid w:val="007346E4"/>
    <w:rsid w:val="007360E9"/>
    <w:rsid w:val="00740A9E"/>
    <w:rsid w:val="00740DE2"/>
    <w:rsid w:val="00740F22"/>
    <w:rsid w:val="00741F1A"/>
    <w:rsid w:val="007450F8"/>
    <w:rsid w:val="00745148"/>
    <w:rsid w:val="0074696E"/>
    <w:rsid w:val="00750135"/>
    <w:rsid w:val="00750EC2"/>
    <w:rsid w:val="00752B28"/>
    <w:rsid w:val="00754E36"/>
    <w:rsid w:val="00755F6C"/>
    <w:rsid w:val="00760198"/>
    <w:rsid w:val="00761425"/>
    <w:rsid w:val="00763139"/>
    <w:rsid w:val="00764765"/>
    <w:rsid w:val="00764D0F"/>
    <w:rsid w:val="00770343"/>
    <w:rsid w:val="00770F37"/>
    <w:rsid w:val="007711A0"/>
    <w:rsid w:val="00772D5E"/>
    <w:rsid w:val="00773B06"/>
    <w:rsid w:val="00776928"/>
    <w:rsid w:val="00780D1B"/>
    <w:rsid w:val="00782340"/>
    <w:rsid w:val="00782D1B"/>
    <w:rsid w:val="007831D6"/>
    <w:rsid w:val="00784560"/>
    <w:rsid w:val="00784673"/>
    <w:rsid w:val="00785677"/>
    <w:rsid w:val="00786E26"/>
    <w:rsid w:val="00786F16"/>
    <w:rsid w:val="00793986"/>
    <w:rsid w:val="00793FBD"/>
    <w:rsid w:val="00795B59"/>
    <w:rsid w:val="00795DC2"/>
    <w:rsid w:val="00795EFC"/>
    <w:rsid w:val="00796033"/>
    <w:rsid w:val="00796E20"/>
    <w:rsid w:val="00797C32"/>
    <w:rsid w:val="00797D07"/>
    <w:rsid w:val="007A02F5"/>
    <w:rsid w:val="007A033F"/>
    <w:rsid w:val="007A0E3F"/>
    <w:rsid w:val="007B0914"/>
    <w:rsid w:val="007B1374"/>
    <w:rsid w:val="007B4D8A"/>
    <w:rsid w:val="007B589F"/>
    <w:rsid w:val="007B5DD2"/>
    <w:rsid w:val="007B6186"/>
    <w:rsid w:val="007B6D9D"/>
    <w:rsid w:val="007B73BC"/>
    <w:rsid w:val="007C033D"/>
    <w:rsid w:val="007C20B9"/>
    <w:rsid w:val="007C3873"/>
    <w:rsid w:val="007C6076"/>
    <w:rsid w:val="007C7301"/>
    <w:rsid w:val="007C7859"/>
    <w:rsid w:val="007D073F"/>
    <w:rsid w:val="007D07D8"/>
    <w:rsid w:val="007D2BDE"/>
    <w:rsid w:val="007D2FB6"/>
    <w:rsid w:val="007D35AB"/>
    <w:rsid w:val="007D68C1"/>
    <w:rsid w:val="007D6E2D"/>
    <w:rsid w:val="007E0DE2"/>
    <w:rsid w:val="007E0E2E"/>
    <w:rsid w:val="007E3B98"/>
    <w:rsid w:val="007E499D"/>
    <w:rsid w:val="007E552A"/>
    <w:rsid w:val="007E6789"/>
    <w:rsid w:val="007F14A5"/>
    <w:rsid w:val="007F15D1"/>
    <w:rsid w:val="007F2C6A"/>
    <w:rsid w:val="007F31B6"/>
    <w:rsid w:val="007F4F53"/>
    <w:rsid w:val="007F546C"/>
    <w:rsid w:val="007F5A0D"/>
    <w:rsid w:val="007F625F"/>
    <w:rsid w:val="007F665E"/>
    <w:rsid w:val="00800412"/>
    <w:rsid w:val="0080315D"/>
    <w:rsid w:val="0080587B"/>
    <w:rsid w:val="00806468"/>
    <w:rsid w:val="00806938"/>
    <w:rsid w:val="00811817"/>
    <w:rsid w:val="008120CB"/>
    <w:rsid w:val="00814DDF"/>
    <w:rsid w:val="008150F4"/>
    <w:rsid w:val="008155F0"/>
    <w:rsid w:val="00816735"/>
    <w:rsid w:val="00820141"/>
    <w:rsid w:val="008204BF"/>
    <w:rsid w:val="00820E0C"/>
    <w:rsid w:val="008212C1"/>
    <w:rsid w:val="0082259F"/>
    <w:rsid w:val="00822610"/>
    <w:rsid w:val="008338A2"/>
    <w:rsid w:val="00835674"/>
    <w:rsid w:val="0083571F"/>
    <w:rsid w:val="00836B9B"/>
    <w:rsid w:val="00836F1D"/>
    <w:rsid w:val="00837D71"/>
    <w:rsid w:val="0084178F"/>
    <w:rsid w:val="00841AA9"/>
    <w:rsid w:val="00841D0C"/>
    <w:rsid w:val="00851BCD"/>
    <w:rsid w:val="00853EE4"/>
    <w:rsid w:val="008548A4"/>
    <w:rsid w:val="0085525D"/>
    <w:rsid w:val="00855535"/>
    <w:rsid w:val="008576F9"/>
    <w:rsid w:val="008608B1"/>
    <w:rsid w:val="008623DD"/>
    <w:rsid w:val="0086255E"/>
    <w:rsid w:val="008633F0"/>
    <w:rsid w:val="008652D1"/>
    <w:rsid w:val="008673D2"/>
    <w:rsid w:val="00867D9D"/>
    <w:rsid w:val="00870DF1"/>
    <w:rsid w:val="00872E0A"/>
    <w:rsid w:val="00875285"/>
    <w:rsid w:val="00876855"/>
    <w:rsid w:val="00876C54"/>
    <w:rsid w:val="00876EAD"/>
    <w:rsid w:val="008839BF"/>
    <w:rsid w:val="0088413F"/>
    <w:rsid w:val="00884B62"/>
    <w:rsid w:val="0088529C"/>
    <w:rsid w:val="00885E35"/>
    <w:rsid w:val="00887903"/>
    <w:rsid w:val="0089002A"/>
    <w:rsid w:val="00890116"/>
    <w:rsid w:val="0089270A"/>
    <w:rsid w:val="00893AF6"/>
    <w:rsid w:val="008942F2"/>
    <w:rsid w:val="00894BC4"/>
    <w:rsid w:val="00895446"/>
    <w:rsid w:val="008A34B9"/>
    <w:rsid w:val="008A5B32"/>
    <w:rsid w:val="008B196F"/>
    <w:rsid w:val="008B2EE4"/>
    <w:rsid w:val="008B4D3D"/>
    <w:rsid w:val="008B5492"/>
    <w:rsid w:val="008B57C7"/>
    <w:rsid w:val="008C0C11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E0BC4"/>
    <w:rsid w:val="008E3DE6"/>
    <w:rsid w:val="008E4376"/>
    <w:rsid w:val="008E7014"/>
    <w:rsid w:val="008E7A0A"/>
    <w:rsid w:val="008E7D83"/>
    <w:rsid w:val="008F6310"/>
    <w:rsid w:val="00900719"/>
    <w:rsid w:val="009017AC"/>
    <w:rsid w:val="00902954"/>
    <w:rsid w:val="0090439C"/>
    <w:rsid w:val="009049E3"/>
    <w:rsid w:val="00904A1C"/>
    <w:rsid w:val="00905030"/>
    <w:rsid w:val="00905ACD"/>
    <w:rsid w:val="00906490"/>
    <w:rsid w:val="00907708"/>
    <w:rsid w:val="009078A5"/>
    <w:rsid w:val="009111B2"/>
    <w:rsid w:val="009127E2"/>
    <w:rsid w:val="00913378"/>
    <w:rsid w:val="0091337E"/>
    <w:rsid w:val="00921B54"/>
    <w:rsid w:val="00924AE1"/>
    <w:rsid w:val="009267C3"/>
    <w:rsid w:val="009269B1"/>
    <w:rsid w:val="0092703C"/>
    <w:rsid w:val="0092724D"/>
    <w:rsid w:val="0092734C"/>
    <w:rsid w:val="00927FD8"/>
    <w:rsid w:val="00935947"/>
    <w:rsid w:val="00937BD9"/>
    <w:rsid w:val="0094137B"/>
    <w:rsid w:val="00941ECB"/>
    <w:rsid w:val="00943C63"/>
    <w:rsid w:val="00950E2C"/>
    <w:rsid w:val="00951B3A"/>
    <w:rsid w:val="00951D03"/>
    <w:rsid w:val="00951D50"/>
    <w:rsid w:val="009525EB"/>
    <w:rsid w:val="00953F76"/>
    <w:rsid w:val="00954874"/>
    <w:rsid w:val="009548CF"/>
    <w:rsid w:val="00957B36"/>
    <w:rsid w:val="00957D13"/>
    <w:rsid w:val="00960432"/>
    <w:rsid w:val="009606A4"/>
    <w:rsid w:val="00961400"/>
    <w:rsid w:val="00963646"/>
    <w:rsid w:val="00966D3D"/>
    <w:rsid w:val="0097071E"/>
    <w:rsid w:val="0097295E"/>
    <w:rsid w:val="009734B8"/>
    <w:rsid w:val="00974468"/>
    <w:rsid w:val="009749E0"/>
    <w:rsid w:val="00980F68"/>
    <w:rsid w:val="009812A1"/>
    <w:rsid w:val="00982E19"/>
    <w:rsid w:val="009837A2"/>
    <w:rsid w:val="009853E1"/>
    <w:rsid w:val="0098582B"/>
    <w:rsid w:val="00986E6B"/>
    <w:rsid w:val="00991769"/>
    <w:rsid w:val="00993E09"/>
    <w:rsid w:val="00994386"/>
    <w:rsid w:val="00996739"/>
    <w:rsid w:val="00997DEA"/>
    <w:rsid w:val="009A05DC"/>
    <w:rsid w:val="009A13D8"/>
    <w:rsid w:val="009A279E"/>
    <w:rsid w:val="009A555F"/>
    <w:rsid w:val="009A583D"/>
    <w:rsid w:val="009B0A6F"/>
    <w:rsid w:val="009B0A94"/>
    <w:rsid w:val="009B0BEB"/>
    <w:rsid w:val="009B1F17"/>
    <w:rsid w:val="009B2282"/>
    <w:rsid w:val="009B29C4"/>
    <w:rsid w:val="009B59E9"/>
    <w:rsid w:val="009B70AA"/>
    <w:rsid w:val="009B71A9"/>
    <w:rsid w:val="009B7BD6"/>
    <w:rsid w:val="009C1E79"/>
    <w:rsid w:val="009C1F61"/>
    <w:rsid w:val="009C4353"/>
    <w:rsid w:val="009C4AC8"/>
    <w:rsid w:val="009C7A7E"/>
    <w:rsid w:val="009D02E8"/>
    <w:rsid w:val="009D46E2"/>
    <w:rsid w:val="009D51D0"/>
    <w:rsid w:val="009D70A4"/>
    <w:rsid w:val="009D78B8"/>
    <w:rsid w:val="009E08D1"/>
    <w:rsid w:val="009E1B95"/>
    <w:rsid w:val="009E4481"/>
    <w:rsid w:val="009E496F"/>
    <w:rsid w:val="009E4B0D"/>
    <w:rsid w:val="009E6957"/>
    <w:rsid w:val="009E7ECE"/>
    <w:rsid w:val="009E7F92"/>
    <w:rsid w:val="009F02A3"/>
    <w:rsid w:val="009F0421"/>
    <w:rsid w:val="009F2F27"/>
    <w:rsid w:val="009F34AA"/>
    <w:rsid w:val="009F6BCB"/>
    <w:rsid w:val="009F7B78"/>
    <w:rsid w:val="009F7D3A"/>
    <w:rsid w:val="00A0057A"/>
    <w:rsid w:val="00A04142"/>
    <w:rsid w:val="00A042A8"/>
    <w:rsid w:val="00A067C4"/>
    <w:rsid w:val="00A10346"/>
    <w:rsid w:val="00A109A1"/>
    <w:rsid w:val="00A11421"/>
    <w:rsid w:val="00A14493"/>
    <w:rsid w:val="00A145BC"/>
    <w:rsid w:val="00A148F8"/>
    <w:rsid w:val="00A157A2"/>
    <w:rsid w:val="00A157B1"/>
    <w:rsid w:val="00A16490"/>
    <w:rsid w:val="00A2124E"/>
    <w:rsid w:val="00A2133A"/>
    <w:rsid w:val="00A21AF3"/>
    <w:rsid w:val="00A22229"/>
    <w:rsid w:val="00A2331B"/>
    <w:rsid w:val="00A265B9"/>
    <w:rsid w:val="00A312FC"/>
    <w:rsid w:val="00A37518"/>
    <w:rsid w:val="00A42C3C"/>
    <w:rsid w:val="00A42E5F"/>
    <w:rsid w:val="00A44882"/>
    <w:rsid w:val="00A45D65"/>
    <w:rsid w:val="00A54715"/>
    <w:rsid w:val="00A57348"/>
    <w:rsid w:val="00A6061C"/>
    <w:rsid w:val="00A62D44"/>
    <w:rsid w:val="00A67263"/>
    <w:rsid w:val="00A675DC"/>
    <w:rsid w:val="00A70F00"/>
    <w:rsid w:val="00A7161C"/>
    <w:rsid w:val="00A71E36"/>
    <w:rsid w:val="00A77AA3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BF3"/>
    <w:rsid w:val="00A96E65"/>
    <w:rsid w:val="00A97C72"/>
    <w:rsid w:val="00AA005D"/>
    <w:rsid w:val="00AA2BD9"/>
    <w:rsid w:val="00AA3A54"/>
    <w:rsid w:val="00AA63D4"/>
    <w:rsid w:val="00AB06E8"/>
    <w:rsid w:val="00AB1CD3"/>
    <w:rsid w:val="00AB352F"/>
    <w:rsid w:val="00AB6D6A"/>
    <w:rsid w:val="00AB7E2A"/>
    <w:rsid w:val="00AC149A"/>
    <w:rsid w:val="00AC274B"/>
    <w:rsid w:val="00AC2831"/>
    <w:rsid w:val="00AC44C7"/>
    <w:rsid w:val="00AC4764"/>
    <w:rsid w:val="00AC5FE6"/>
    <w:rsid w:val="00AC6D36"/>
    <w:rsid w:val="00AC71EE"/>
    <w:rsid w:val="00AD0CBA"/>
    <w:rsid w:val="00AD23CC"/>
    <w:rsid w:val="00AD26E2"/>
    <w:rsid w:val="00AD572E"/>
    <w:rsid w:val="00AD6DFD"/>
    <w:rsid w:val="00AD784C"/>
    <w:rsid w:val="00AE126A"/>
    <w:rsid w:val="00AE3005"/>
    <w:rsid w:val="00AE3830"/>
    <w:rsid w:val="00AE3BD5"/>
    <w:rsid w:val="00AE3EBD"/>
    <w:rsid w:val="00AE59A0"/>
    <w:rsid w:val="00AE5C05"/>
    <w:rsid w:val="00AE6661"/>
    <w:rsid w:val="00AE7780"/>
    <w:rsid w:val="00AE7E40"/>
    <w:rsid w:val="00AF0C57"/>
    <w:rsid w:val="00AF26F3"/>
    <w:rsid w:val="00AF3B2A"/>
    <w:rsid w:val="00AF3EE3"/>
    <w:rsid w:val="00AF5F04"/>
    <w:rsid w:val="00B00672"/>
    <w:rsid w:val="00B01A91"/>
    <w:rsid w:val="00B01B4D"/>
    <w:rsid w:val="00B0221B"/>
    <w:rsid w:val="00B06571"/>
    <w:rsid w:val="00B068BA"/>
    <w:rsid w:val="00B070DE"/>
    <w:rsid w:val="00B07A86"/>
    <w:rsid w:val="00B07E6A"/>
    <w:rsid w:val="00B12390"/>
    <w:rsid w:val="00B133B3"/>
    <w:rsid w:val="00B13851"/>
    <w:rsid w:val="00B13B1C"/>
    <w:rsid w:val="00B16AC2"/>
    <w:rsid w:val="00B22291"/>
    <w:rsid w:val="00B23F9A"/>
    <w:rsid w:val="00B2417B"/>
    <w:rsid w:val="00B24E5A"/>
    <w:rsid w:val="00B24E6F"/>
    <w:rsid w:val="00B253E6"/>
    <w:rsid w:val="00B261FA"/>
    <w:rsid w:val="00B26CB5"/>
    <w:rsid w:val="00B27366"/>
    <w:rsid w:val="00B2752E"/>
    <w:rsid w:val="00B3038F"/>
    <w:rsid w:val="00B307CC"/>
    <w:rsid w:val="00B326B7"/>
    <w:rsid w:val="00B36209"/>
    <w:rsid w:val="00B4062D"/>
    <w:rsid w:val="00B40B67"/>
    <w:rsid w:val="00B41F0D"/>
    <w:rsid w:val="00B4306B"/>
    <w:rsid w:val="00B431E8"/>
    <w:rsid w:val="00B45141"/>
    <w:rsid w:val="00B47874"/>
    <w:rsid w:val="00B5051D"/>
    <w:rsid w:val="00B512DC"/>
    <w:rsid w:val="00B51E47"/>
    <w:rsid w:val="00B5273A"/>
    <w:rsid w:val="00B557B3"/>
    <w:rsid w:val="00B57329"/>
    <w:rsid w:val="00B60F02"/>
    <w:rsid w:val="00B62B50"/>
    <w:rsid w:val="00B635B7"/>
    <w:rsid w:val="00B63AE8"/>
    <w:rsid w:val="00B65950"/>
    <w:rsid w:val="00B66BB1"/>
    <w:rsid w:val="00B66D83"/>
    <w:rsid w:val="00B672C0"/>
    <w:rsid w:val="00B7060E"/>
    <w:rsid w:val="00B70F18"/>
    <w:rsid w:val="00B727B5"/>
    <w:rsid w:val="00B72BD0"/>
    <w:rsid w:val="00B741F1"/>
    <w:rsid w:val="00B75646"/>
    <w:rsid w:val="00B83212"/>
    <w:rsid w:val="00B83EE7"/>
    <w:rsid w:val="00B84869"/>
    <w:rsid w:val="00B865D4"/>
    <w:rsid w:val="00B90729"/>
    <w:rsid w:val="00B907DA"/>
    <w:rsid w:val="00B9267F"/>
    <w:rsid w:val="00B950BC"/>
    <w:rsid w:val="00B95FC2"/>
    <w:rsid w:val="00B96926"/>
    <w:rsid w:val="00B96D44"/>
    <w:rsid w:val="00B9714C"/>
    <w:rsid w:val="00BA2004"/>
    <w:rsid w:val="00BA2221"/>
    <w:rsid w:val="00BA3271"/>
    <w:rsid w:val="00BA3F8D"/>
    <w:rsid w:val="00BA657E"/>
    <w:rsid w:val="00BB0E10"/>
    <w:rsid w:val="00BB1707"/>
    <w:rsid w:val="00BB634E"/>
    <w:rsid w:val="00BB7A10"/>
    <w:rsid w:val="00BC0EB4"/>
    <w:rsid w:val="00BC1222"/>
    <w:rsid w:val="00BC1D7E"/>
    <w:rsid w:val="00BC30D6"/>
    <w:rsid w:val="00BC53B0"/>
    <w:rsid w:val="00BC7468"/>
    <w:rsid w:val="00BC7D4F"/>
    <w:rsid w:val="00BC7ED7"/>
    <w:rsid w:val="00BD22B4"/>
    <w:rsid w:val="00BD2850"/>
    <w:rsid w:val="00BD3038"/>
    <w:rsid w:val="00BE0008"/>
    <w:rsid w:val="00BE02E8"/>
    <w:rsid w:val="00BE26A4"/>
    <w:rsid w:val="00BE28D2"/>
    <w:rsid w:val="00BE2AE7"/>
    <w:rsid w:val="00BE3D00"/>
    <w:rsid w:val="00BE4A64"/>
    <w:rsid w:val="00BE7BD2"/>
    <w:rsid w:val="00BF3750"/>
    <w:rsid w:val="00BF4F09"/>
    <w:rsid w:val="00BF5033"/>
    <w:rsid w:val="00BF5B5A"/>
    <w:rsid w:val="00BF625A"/>
    <w:rsid w:val="00BF7082"/>
    <w:rsid w:val="00BF7F58"/>
    <w:rsid w:val="00C00A61"/>
    <w:rsid w:val="00C01381"/>
    <w:rsid w:val="00C018CB"/>
    <w:rsid w:val="00C079B8"/>
    <w:rsid w:val="00C10241"/>
    <w:rsid w:val="00C123EA"/>
    <w:rsid w:val="00C12627"/>
    <w:rsid w:val="00C12A49"/>
    <w:rsid w:val="00C13014"/>
    <w:rsid w:val="00C133EE"/>
    <w:rsid w:val="00C141A6"/>
    <w:rsid w:val="00C21F3C"/>
    <w:rsid w:val="00C22247"/>
    <w:rsid w:val="00C23778"/>
    <w:rsid w:val="00C24857"/>
    <w:rsid w:val="00C27B36"/>
    <w:rsid w:val="00C27DE9"/>
    <w:rsid w:val="00C27F00"/>
    <w:rsid w:val="00C31756"/>
    <w:rsid w:val="00C31A1F"/>
    <w:rsid w:val="00C31FDF"/>
    <w:rsid w:val="00C326AB"/>
    <w:rsid w:val="00C33388"/>
    <w:rsid w:val="00C33DBB"/>
    <w:rsid w:val="00C35484"/>
    <w:rsid w:val="00C35F0F"/>
    <w:rsid w:val="00C36663"/>
    <w:rsid w:val="00C4173A"/>
    <w:rsid w:val="00C451B2"/>
    <w:rsid w:val="00C452F7"/>
    <w:rsid w:val="00C45BAF"/>
    <w:rsid w:val="00C46181"/>
    <w:rsid w:val="00C503EE"/>
    <w:rsid w:val="00C51F6F"/>
    <w:rsid w:val="00C521C2"/>
    <w:rsid w:val="00C54BFE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682F"/>
    <w:rsid w:val="00C67713"/>
    <w:rsid w:val="00C7112E"/>
    <w:rsid w:val="00C7275E"/>
    <w:rsid w:val="00C73278"/>
    <w:rsid w:val="00C73872"/>
    <w:rsid w:val="00C74560"/>
    <w:rsid w:val="00C74C5D"/>
    <w:rsid w:val="00C77776"/>
    <w:rsid w:val="00C81531"/>
    <w:rsid w:val="00C83DB7"/>
    <w:rsid w:val="00C83EFF"/>
    <w:rsid w:val="00C85824"/>
    <w:rsid w:val="00C86362"/>
    <w:rsid w:val="00C863C4"/>
    <w:rsid w:val="00C932B4"/>
    <w:rsid w:val="00C93C3E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3285"/>
    <w:rsid w:val="00CC0C72"/>
    <w:rsid w:val="00CC28DF"/>
    <w:rsid w:val="00CC2BFD"/>
    <w:rsid w:val="00CC4707"/>
    <w:rsid w:val="00CC7229"/>
    <w:rsid w:val="00CD3476"/>
    <w:rsid w:val="00CD3E30"/>
    <w:rsid w:val="00CD5FA5"/>
    <w:rsid w:val="00CD64DF"/>
    <w:rsid w:val="00CE00CB"/>
    <w:rsid w:val="00CE367F"/>
    <w:rsid w:val="00CE3DE2"/>
    <w:rsid w:val="00CF269F"/>
    <w:rsid w:val="00CF2F50"/>
    <w:rsid w:val="00CF6745"/>
    <w:rsid w:val="00CF7BE1"/>
    <w:rsid w:val="00D00770"/>
    <w:rsid w:val="00D02919"/>
    <w:rsid w:val="00D03EA4"/>
    <w:rsid w:val="00D04C61"/>
    <w:rsid w:val="00D05B8D"/>
    <w:rsid w:val="00D065A2"/>
    <w:rsid w:val="00D0674A"/>
    <w:rsid w:val="00D07F00"/>
    <w:rsid w:val="00D137D3"/>
    <w:rsid w:val="00D150DB"/>
    <w:rsid w:val="00D1623F"/>
    <w:rsid w:val="00D17B72"/>
    <w:rsid w:val="00D22A86"/>
    <w:rsid w:val="00D25425"/>
    <w:rsid w:val="00D25EA3"/>
    <w:rsid w:val="00D27129"/>
    <w:rsid w:val="00D302E1"/>
    <w:rsid w:val="00D3185C"/>
    <w:rsid w:val="00D32937"/>
    <w:rsid w:val="00D33E72"/>
    <w:rsid w:val="00D35BD6"/>
    <w:rsid w:val="00D361B5"/>
    <w:rsid w:val="00D36A74"/>
    <w:rsid w:val="00D37049"/>
    <w:rsid w:val="00D411A2"/>
    <w:rsid w:val="00D4606D"/>
    <w:rsid w:val="00D472E4"/>
    <w:rsid w:val="00D47B94"/>
    <w:rsid w:val="00D505B7"/>
    <w:rsid w:val="00D50B9C"/>
    <w:rsid w:val="00D51C58"/>
    <w:rsid w:val="00D52D73"/>
    <w:rsid w:val="00D52E58"/>
    <w:rsid w:val="00D64701"/>
    <w:rsid w:val="00D64B21"/>
    <w:rsid w:val="00D67525"/>
    <w:rsid w:val="00D67F6E"/>
    <w:rsid w:val="00D705A4"/>
    <w:rsid w:val="00D714CC"/>
    <w:rsid w:val="00D719F0"/>
    <w:rsid w:val="00D71D17"/>
    <w:rsid w:val="00D729FA"/>
    <w:rsid w:val="00D745C5"/>
    <w:rsid w:val="00D75EA7"/>
    <w:rsid w:val="00D763A1"/>
    <w:rsid w:val="00D81DEF"/>
    <w:rsid w:val="00D81F21"/>
    <w:rsid w:val="00D86013"/>
    <w:rsid w:val="00D86FCF"/>
    <w:rsid w:val="00D95470"/>
    <w:rsid w:val="00D96D27"/>
    <w:rsid w:val="00D97C68"/>
    <w:rsid w:val="00DA08FE"/>
    <w:rsid w:val="00DA0AEC"/>
    <w:rsid w:val="00DA0BFF"/>
    <w:rsid w:val="00DA1DB8"/>
    <w:rsid w:val="00DA2619"/>
    <w:rsid w:val="00DA4239"/>
    <w:rsid w:val="00DA50D3"/>
    <w:rsid w:val="00DA6875"/>
    <w:rsid w:val="00DA77FB"/>
    <w:rsid w:val="00DB0B61"/>
    <w:rsid w:val="00DB2618"/>
    <w:rsid w:val="00DB37CD"/>
    <w:rsid w:val="00DB6DCA"/>
    <w:rsid w:val="00DC090B"/>
    <w:rsid w:val="00DC1200"/>
    <w:rsid w:val="00DC1679"/>
    <w:rsid w:val="00DC2CF1"/>
    <w:rsid w:val="00DC2EDF"/>
    <w:rsid w:val="00DC3A85"/>
    <w:rsid w:val="00DC43CF"/>
    <w:rsid w:val="00DC471C"/>
    <w:rsid w:val="00DC4FCF"/>
    <w:rsid w:val="00DC50E0"/>
    <w:rsid w:val="00DC6386"/>
    <w:rsid w:val="00DD0DE5"/>
    <w:rsid w:val="00DD1130"/>
    <w:rsid w:val="00DD1951"/>
    <w:rsid w:val="00DD3E6A"/>
    <w:rsid w:val="00DD41BD"/>
    <w:rsid w:val="00DD6628"/>
    <w:rsid w:val="00DD66F2"/>
    <w:rsid w:val="00DE02AB"/>
    <w:rsid w:val="00DE3250"/>
    <w:rsid w:val="00DE3D3D"/>
    <w:rsid w:val="00DE423F"/>
    <w:rsid w:val="00DE47F9"/>
    <w:rsid w:val="00DE5509"/>
    <w:rsid w:val="00DE5658"/>
    <w:rsid w:val="00DE6028"/>
    <w:rsid w:val="00DE61E7"/>
    <w:rsid w:val="00DE7309"/>
    <w:rsid w:val="00DE757A"/>
    <w:rsid w:val="00DE78A3"/>
    <w:rsid w:val="00DE7F0E"/>
    <w:rsid w:val="00DF1A71"/>
    <w:rsid w:val="00DF4749"/>
    <w:rsid w:val="00DF68C7"/>
    <w:rsid w:val="00DF6FE3"/>
    <w:rsid w:val="00DF731A"/>
    <w:rsid w:val="00E0027E"/>
    <w:rsid w:val="00E0463B"/>
    <w:rsid w:val="00E149AB"/>
    <w:rsid w:val="00E15372"/>
    <w:rsid w:val="00E16106"/>
    <w:rsid w:val="00E170DC"/>
    <w:rsid w:val="00E21C69"/>
    <w:rsid w:val="00E2354D"/>
    <w:rsid w:val="00E24B21"/>
    <w:rsid w:val="00E26818"/>
    <w:rsid w:val="00E27FFC"/>
    <w:rsid w:val="00E307E2"/>
    <w:rsid w:val="00E30B15"/>
    <w:rsid w:val="00E333A4"/>
    <w:rsid w:val="00E34FA2"/>
    <w:rsid w:val="00E361AD"/>
    <w:rsid w:val="00E361BD"/>
    <w:rsid w:val="00E37260"/>
    <w:rsid w:val="00E40181"/>
    <w:rsid w:val="00E40206"/>
    <w:rsid w:val="00E439D2"/>
    <w:rsid w:val="00E4430B"/>
    <w:rsid w:val="00E47BB6"/>
    <w:rsid w:val="00E508A0"/>
    <w:rsid w:val="00E516E3"/>
    <w:rsid w:val="00E52455"/>
    <w:rsid w:val="00E56A01"/>
    <w:rsid w:val="00E609C2"/>
    <w:rsid w:val="00E629A1"/>
    <w:rsid w:val="00E640A7"/>
    <w:rsid w:val="00E6794C"/>
    <w:rsid w:val="00E67DC5"/>
    <w:rsid w:val="00E70BAE"/>
    <w:rsid w:val="00E71319"/>
    <w:rsid w:val="00E71591"/>
    <w:rsid w:val="00E71BD0"/>
    <w:rsid w:val="00E723E2"/>
    <w:rsid w:val="00E76D14"/>
    <w:rsid w:val="00E76DEE"/>
    <w:rsid w:val="00E82C55"/>
    <w:rsid w:val="00E85B69"/>
    <w:rsid w:val="00E86A9A"/>
    <w:rsid w:val="00E92AC3"/>
    <w:rsid w:val="00E93642"/>
    <w:rsid w:val="00EA01BC"/>
    <w:rsid w:val="00EA0C53"/>
    <w:rsid w:val="00EB00E0"/>
    <w:rsid w:val="00EB147C"/>
    <w:rsid w:val="00EB2494"/>
    <w:rsid w:val="00EB5B92"/>
    <w:rsid w:val="00EC059F"/>
    <w:rsid w:val="00EC1F24"/>
    <w:rsid w:val="00EC22F6"/>
    <w:rsid w:val="00EC3F92"/>
    <w:rsid w:val="00ED0DC5"/>
    <w:rsid w:val="00ED1E7A"/>
    <w:rsid w:val="00ED35B0"/>
    <w:rsid w:val="00ED41D2"/>
    <w:rsid w:val="00ED5B9B"/>
    <w:rsid w:val="00ED6BAD"/>
    <w:rsid w:val="00ED7447"/>
    <w:rsid w:val="00EE1488"/>
    <w:rsid w:val="00EE22BF"/>
    <w:rsid w:val="00EE2C7F"/>
    <w:rsid w:val="00EE3D80"/>
    <w:rsid w:val="00EE4D5D"/>
    <w:rsid w:val="00EE5131"/>
    <w:rsid w:val="00EE6F6F"/>
    <w:rsid w:val="00EF109B"/>
    <w:rsid w:val="00EF1408"/>
    <w:rsid w:val="00EF36AF"/>
    <w:rsid w:val="00EF6942"/>
    <w:rsid w:val="00F005D9"/>
    <w:rsid w:val="00F00F9C"/>
    <w:rsid w:val="00F01E5F"/>
    <w:rsid w:val="00F02ABA"/>
    <w:rsid w:val="00F02C4A"/>
    <w:rsid w:val="00F02E81"/>
    <w:rsid w:val="00F0437A"/>
    <w:rsid w:val="00F05E47"/>
    <w:rsid w:val="00F0613A"/>
    <w:rsid w:val="00F11037"/>
    <w:rsid w:val="00F12D6A"/>
    <w:rsid w:val="00F13391"/>
    <w:rsid w:val="00F13BA0"/>
    <w:rsid w:val="00F15176"/>
    <w:rsid w:val="00F1531D"/>
    <w:rsid w:val="00F16F1B"/>
    <w:rsid w:val="00F17569"/>
    <w:rsid w:val="00F250A9"/>
    <w:rsid w:val="00F26EE5"/>
    <w:rsid w:val="00F30445"/>
    <w:rsid w:val="00F30FF4"/>
    <w:rsid w:val="00F3122E"/>
    <w:rsid w:val="00F331AD"/>
    <w:rsid w:val="00F3379A"/>
    <w:rsid w:val="00F35287"/>
    <w:rsid w:val="00F3670C"/>
    <w:rsid w:val="00F37CD4"/>
    <w:rsid w:val="00F37E5E"/>
    <w:rsid w:val="00F41957"/>
    <w:rsid w:val="00F43A37"/>
    <w:rsid w:val="00F447F6"/>
    <w:rsid w:val="00F45955"/>
    <w:rsid w:val="00F4641B"/>
    <w:rsid w:val="00F46EB8"/>
    <w:rsid w:val="00F50A7A"/>
    <w:rsid w:val="00F511E4"/>
    <w:rsid w:val="00F52270"/>
    <w:rsid w:val="00F52D09"/>
    <w:rsid w:val="00F52E08"/>
    <w:rsid w:val="00F53DD5"/>
    <w:rsid w:val="00F55B21"/>
    <w:rsid w:val="00F56EF6"/>
    <w:rsid w:val="00F60158"/>
    <w:rsid w:val="00F61A9F"/>
    <w:rsid w:val="00F64696"/>
    <w:rsid w:val="00F65AA9"/>
    <w:rsid w:val="00F66705"/>
    <w:rsid w:val="00F6768F"/>
    <w:rsid w:val="00F70103"/>
    <w:rsid w:val="00F7182B"/>
    <w:rsid w:val="00F72C26"/>
    <w:rsid w:val="00F72C2C"/>
    <w:rsid w:val="00F75DF9"/>
    <w:rsid w:val="00F76CAB"/>
    <w:rsid w:val="00F772C6"/>
    <w:rsid w:val="00F8076D"/>
    <w:rsid w:val="00F815B5"/>
    <w:rsid w:val="00F823CD"/>
    <w:rsid w:val="00F82710"/>
    <w:rsid w:val="00F8321D"/>
    <w:rsid w:val="00F83E91"/>
    <w:rsid w:val="00F85195"/>
    <w:rsid w:val="00F85594"/>
    <w:rsid w:val="00F938BA"/>
    <w:rsid w:val="00F94B0F"/>
    <w:rsid w:val="00F95B36"/>
    <w:rsid w:val="00F96EF2"/>
    <w:rsid w:val="00F9772F"/>
    <w:rsid w:val="00F97D78"/>
    <w:rsid w:val="00FA20DC"/>
    <w:rsid w:val="00FA2C46"/>
    <w:rsid w:val="00FA3525"/>
    <w:rsid w:val="00FA45B7"/>
    <w:rsid w:val="00FA5D1A"/>
    <w:rsid w:val="00FB317A"/>
    <w:rsid w:val="00FB3705"/>
    <w:rsid w:val="00FB41AB"/>
    <w:rsid w:val="00FB441C"/>
    <w:rsid w:val="00FB4769"/>
    <w:rsid w:val="00FB4CDA"/>
    <w:rsid w:val="00FB7F92"/>
    <w:rsid w:val="00FC0F81"/>
    <w:rsid w:val="00FC2079"/>
    <w:rsid w:val="00FC395C"/>
    <w:rsid w:val="00FC5BEB"/>
    <w:rsid w:val="00FC5F31"/>
    <w:rsid w:val="00FC61C7"/>
    <w:rsid w:val="00FC6934"/>
    <w:rsid w:val="00FD047A"/>
    <w:rsid w:val="00FD0DE0"/>
    <w:rsid w:val="00FD3766"/>
    <w:rsid w:val="00FD47C4"/>
    <w:rsid w:val="00FE2A5F"/>
    <w:rsid w:val="00FE2DCF"/>
    <w:rsid w:val="00FE4190"/>
    <w:rsid w:val="00FE4EB7"/>
    <w:rsid w:val="00FE674F"/>
    <w:rsid w:val="00FF1D7B"/>
    <w:rsid w:val="00FF1F52"/>
    <w:rsid w:val="00FF2FCE"/>
    <w:rsid w:val="00FF38D9"/>
    <w:rsid w:val="00FF3F41"/>
    <w:rsid w:val="00FF4920"/>
    <w:rsid w:val="00FF4F7D"/>
    <w:rsid w:val="00FF5B07"/>
    <w:rsid w:val="00FF65B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."/>
  <w:listSeparator w:val=","/>
  <w14:docId w14:val="17BBC1B1"/>
  <w15:docId w15:val="{834F6D4B-E2F9-42AB-88C6-6FBB31F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37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4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5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7"/>
      </w:numPr>
    </w:pPr>
  </w:style>
  <w:style w:type="numbering" w:customStyle="1" w:styleId="Numbers">
    <w:name w:val="Numbers"/>
    <w:rsid w:val="0039156E"/>
    <w:pPr>
      <w:numPr>
        <w:numId w:val="8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9"/>
      </w:numPr>
      <w:tabs>
        <w:tab w:val="clear" w:pos="720"/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10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about/news-and-events/hospitalcirculars" TargetMode="External"/><Relationship Id="rId18" Type="http://schemas.openxmlformats.org/officeDocument/2006/relationships/hyperlink" Target="https://bettersafercare.vic.gov.au/our-work/performance-and-safety-reporting/HOSdata" TargetMode="External"/><Relationship Id="rId3" Type="http://schemas.openxmlformats.org/officeDocument/2006/relationships/styles" Target="styles.xml"/><Relationship Id="rId21" Type="http://schemas.openxmlformats.org/officeDocument/2006/relationships/hyperlink" Target="mailto:HDSS.helpdesk@dhhs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alth.gov.au/internet/main/publishing.nsf/Content/health-phicirculars2019-index1" TargetMode="External"/><Relationship Id="rId17" Type="http://schemas.openxmlformats.org/officeDocument/2006/relationships/hyperlink" Target="mailto:HDSS.helpdesk@dhhs.vic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2.health.vic.gov.au/hospitals-and-health-services/data-reporting/health-data-standards-systems" TargetMode="External"/><Relationship Id="rId20" Type="http://schemas.openxmlformats.org/officeDocument/2006/relationships/hyperlink" Target="mailto:Hosdata.frontdesk@vahi.vic.gov.au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DSS.helpdesk@dhhs.vic.gov.au" TargetMode="Externa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Hosdata.frontdesk@vahi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healthcollect.vic.gov.au/" TargetMode="External"/><Relationship Id="rId22" Type="http://schemas.openxmlformats.org/officeDocument/2006/relationships/hyperlink" Target="https://www2.health.vic.gov.au/hospitals-and-health-services/data-reporting/health-data-standards-systems/hdss-communic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DDA9-DC8E-46AB-90AD-665035B8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03 Blue 2945.dot</Template>
  <TotalTime>3506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223</vt:lpstr>
    </vt:vector>
  </TitlesOfParts>
  <Company>Department of Health and Human Services</Company>
  <LinksUpToDate>false</LinksUpToDate>
  <CharactersWithSpaces>9466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223</dc:title>
  <dc:subject>HDSS Bulletin 223</dc:subject>
  <dc:creator>Customer Support Branch</dc:creator>
  <cp:keywords>HDSS, HDSS Bulletin 223</cp:keywords>
  <dc:description/>
  <cp:lastModifiedBy>Janet Cunningham (DHHS)</cp:lastModifiedBy>
  <cp:revision>135</cp:revision>
  <cp:lastPrinted>2019-06-28T00:06:00Z</cp:lastPrinted>
  <dcterms:created xsi:type="dcterms:W3CDTF">2018-10-08T01:02:00Z</dcterms:created>
  <dcterms:modified xsi:type="dcterms:W3CDTF">2019-06-28T00:57:00Z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