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11A7" w14:textId="77777777" w:rsidR="00002990" w:rsidRPr="003072C6" w:rsidRDefault="005D0305" w:rsidP="00A55989">
      <w:pPr>
        <w:pStyle w:val="DHHSbodynospace"/>
      </w:pPr>
      <w:r>
        <w:rPr>
          <w:noProof/>
          <w:lang w:eastAsia="en-AU"/>
        </w:rPr>
        <w:drawing>
          <wp:anchor distT="0" distB="0" distL="114300" distR="114300" simplePos="0" relativeHeight="251657216" behindDoc="1" locked="1" layoutInCell="0" allowOverlap="1" wp14:anchorId="4223AABA" wp14:editId="6D596F6B">
            <wp:simplePos x="0" y="0"/>
            <wp:positionH relativeFrom="page">
              <wp:posOffset>0</wp:posOffset>
            </wp:positionH>
            <wp:positionV relativeFrom="page">
              <wp:posOffset>0</wp:posOffset>
            </wp:positionV>
            <wp:extent cx="7563485" cy="10701655"/>
            <wp:effectExtent l="0" t="0" r="0" b="444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71" w:type="dxa"/>
        <w:tblInd w:w="113" w:type="dxa"/>
        <w:tblCellMar>
          <w:left w:w="0" w:type="dxa"/>
          <w:right w:w="0" w:type="dxa"/>
        </w:tblCellMar>
        <w:tblLook w:val="04A0" w:firstRow="1" w:lastRow="0" w:firstColumn="1" w:lastColumn="0" w:noHBand="0" w:noVBand="1"/>
      </w:tblPr>
      <w:tblGrid>
        <w:gridCol w:w="7371"/>
      </w:tblGrid>
      <w:tr w:rsidR="001817CD" w:rsidRPr="003072C6" w14:paraId="19C1BC73" w14:textId="77777777" w:rsidTr="00090E18">
        <w:trPr>
          <w:trHeight w:val="3988"/>
        </w:trPr>
        <w:tc>
          <w:tcPr>
            <w:tcW w:w="7938" w:type="dxa"/>
            <w:shd w:val="clear" w:color="auto" w:fill="auto"/>
          </w:tcPr>
          <w:p w14:paraId="397AFAC7" w14:textId="77777777" w:rsidR="00C416E1" w:rsidRPr="003072C6" w:rsidRDefault="00381428" w:rsidP="00E91933">
            <w:pPr>
              <w:pStyle w:val="DHHSreportmaintitlewhite"/>
            </w:pPr>
            <w:bookmarkStart w:id="0" w:name="_GoBack"/>
            <w:r w:rsidRPr="00381428">
              <w:t xml:space="preserve">Kilojoule </w:t>
            </w:r>
            <w:r w:rsidR="00EC1CEB">
              <w:t>l</w:t>
            </w:r>
            <w:r w:rsidRPr="00381428">
              <w:t xml:space="preserve">abelling </w:t>
            </w:r>
            <w:r w:rsidR="00EC1CEB">
              <w:t>s</w:t>
            </w:r>
            <w:r w:rsidRPr="00381428">
              <w:t>cheme Victoria</w:t>
            </w:r>
          </w:p>
          <w:bookmarkEnd w:id="0"/>
          <w:p w14:paraId="3DF3663B" w14:textId="77777777" w:rsidR="00444D82" w:rsidRDefault="00381428" w:rsidP="002A77DE">
            <w:pPr>
              <w:pStyle w:val="DHHSreportsubtitlewhite"/>
            </w:pPr>
            <w:r w:rsidRPr="00381428">
              <w:t>Sampling</w:t>
            </w:r>
            <w:r w:rsidR="002A77DE">
              <w:t xml:space="preserve">, </w:t>
            </w:r>
            <w:r w:rsidR="00D23CD4">
              <w:t>v</w:t>
            </w:r>
            <w:r w:rsidRPr="00381428">
              <w:t>erification</w:t>
            </w:r>
            <w:r w:rsidR="002A77DE">
              <w:t xml:space="preserve"> and </w:t>
            </w:r>
            <w:r w:rsidR="00D23CD4">
              <w:t>m</w:t>
            </w:r>
            <w:r w:rsidR="002A77DE">
              <w:t xml:space="preserve">enu </w:t>
            </w:r>
            <w:r w:rsidR="00D23CD4">
              <w:t>b</w:t>
            </w:r>
            <w:r w:rsidR="002A77DE">
              <w:t xml:space="preserve">oard </w:t>
            </w:r>
            <w:r w:rsidR="00D23CD4">
              <w:t>s</w:t>
            </w:r>
            <w:r w:rsidR="002A77DE">
              <w:t>urveillance</w:t>
            </w:r>
          </w:p>
          <w:p w14:paraId="3DA5B947" w14:textId="77777777" w:rsidR="002A77DE" w:rsidRPr="003072C6" w:rsidRDefault="002A77DE" w:rsidP="002A77DE">
            <w:pPr>
              <w:pStyle w:val="DHHSreportsubtitlewhite"/>
            </w:pPr>
            <w:r>
              <w:t>2018 / 2019</w:t>
            </w:r>
          </w:p>
        </w:tc>
      </w:tr>
      <w:tr w:rsidR="001817CD" w:rsidRPr="003072C6" w14:paraId="6EB197BE" w14:textId="77777777" w:rsidTr="00090E18">
        <w:trPr>
          <w:trHeight w:val="4664"/>
        </w:trPr>
        <w:tc>
          <w:tcPr>
            <w:tcW w:w="10252" w:type="dxa"/>
            <w:shd w:val="clear" w:color="auto" w:fill="auto"/>
          </w:tcPr>
          <w:p w14:paraId="38675195" w14:textId="77777777" w:rsidR="00BC01C1" w:rsidRPr="003072C6" w:rsidRDefault="00BC01C1" w:rsidP="004F3441">
            <w:pPr>
              <w:pStyle w:val="Coverinstructions"/>
            </w:pPr>
          </w:p>
        </w:tc>
      </w:tr>
    </w:tbl>
    <w:p w14:paraId="2E175354" w14:textId="77777777" w:rsidR="0069374A" w:rsidRPr="003072C6" w:rsidRDefault="0069374A" w:rsidP="00C2657D">
      <w:pPr>
        <w:pStyle w:val="DHHSbodynospace"/>
        <w:ind w:left="-454"/>
      </w:pPr>
    </w:p>
    <w:p w14:paraId="4FE4885E"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0D506999"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6C459FD2" w14:textId="77777777" w:rsidTr="00564E8F">
        <w:trPr>
          <w:trHeight w:val="4313"/>
        </w:trPr>
        <w:tc>
          <w:tcPr>
            <w:tcW w:w="9401" w:type="dxa"/>
          </w:tcPr>
          <w:p w14:paraId="60EFD830" w14:textId="77777777" w:rsidR="00564E8F" w:rsidRPr="00605B5B" w:rsidRDefault="00564E8F" w:rsidP="00031263">
            <w:pPr>
              <w:pStyle w:val="DHHSbody"/>
              <w:rPr>
                <w:i/>
                <w:color w:val="008950"/>
                <w:sz w:val="26"/>
                <w:szCs w:val="26"/>
              </w:rPr>
            </w:pPr>
          </w:p>
        </w:tc>
      </w:tr>
      <w:tr w:rsidR="00564E8F" w:rsidRPr="003072C6" w14:paraId="2ADE854B" w14:textId="77777777" w:rsidTr="001F09DC">
        <w:trPr>
          <w:trHeight w:val="6336"/>
        </w:trPr>
        <w:tc>
          <w:tcPr>
            <w:tcW w:w="9401" w:type="dxa"/>
            <w:vAlign w:val="bottom"/>
          </w:tcPr>
          <w:p w14:paraId="46113B31" w14:textId="30DB1D80"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Pr="00091727">
              <w:rPr>
                <w:rFonts w:ascii="Arial" w:eastAsia="Times" w:hAnsi="Arial"/>
                <w:sz w:val="24"/>
                <w:szCs w:val="19"/>
              </w:rPr>
              <w:t>&lt;</w:t>
            </w:r>
            <w:r w:rsidR="00091727" w:rsidRPr="00091727">
              <w:rPr>
                <w:rFonts w:ascii="Arial" w:eastAsia="Times" w:hAnsi="Arial"/>
                <w:sz w:val="24"/>
                <w:szCs w:val="19"/>
              </w:rPr>
              <w:t>1300 364 352</w:t>
            </w:r>
            <w:r w:rsidRPr="00091727">
              <w:rPr>
                <w:rFonts w:ascii="Arial" w:eastAsia="Times" w:hAnsi="Arial"/>
                <w:sz w:val="24"/>
                <w:szCs w:val="19"/>
              </w:rPr>
              <w:t>&gt;</w:t>
            </w:r>
            <w:r w:rsidRPr="00605B5B">
              <w:rPr>
                <w:rFonts w:ascii="Arial" w:eastAsia="Times" w:hAnsi="Arial"/>
                <w:sz w:val="24"/>
                <w:szCs w:val="19"/>
              </w:rPr>
              <w:t xml:space="preserve">, using the National Relay Service 13 36 77 if required, or </w:t>
            </w:r>
            <w:hyperlink r:id="rId9" w:history="1">
              <w:r w:rsidRPr="00730D50">
                <w:rPr>
                  <w:rStyle w:val="Hyperlink"/>
                  <w:rFonts w:ascii="Arial" w:eastAsia="Times" w:hAnsi="Arial"/>
                  <w:sz w:val="24"/>
                  <w:szCs w:val="19"/>
                </w:rPr>
                <w:t>email</w:t>
              </w:r>
            </w:hyperlink>
            <w:r w:rsidRPr="00605B5B">
              <w:rPr>
                <w:rFonts w:ascii="Arial" w:eastAsia="Times" w:hAnsi="Arial"/>
                <w:sz w:val="24"/>
                <w:szCs w:val="19"/>
              </w:rPr>
              <w:t xml:space="preserve"> </w:t>
            </w:r>
            <w:r w:rsidRPr="00091727">
              <w:rPr>
                <w:rFonts w:ascii="Arial" w:eastAsia="Times" w:hAnsi="Arial"/>
                <w:sz w:val="24"/>
                <w:szCs w:val="19"/>
              </w:rPr>
              <w:t>&lt;</w:t>
            </w:r>
            <w:r w:rsidR="00091727" w:rsidRPr="00091727">
              <w:rPr>
                <w:rFonts w:ascii="Arial" w:eastAsia="Times" w:hAnsi="Arial"/>
                <w:sz w:val="24"/>
                <w:szCs w:val="19"/>
              </w:rPr>
              <w:t>foodsafety@</w:t>
            </w:r>
            <w:r w:rsidR="0076432A">
              <w:rPr>
                <w:rFonts w:ascii="Arial" w:eastAsia="Times" w:hAnsi="Arial"/>
                <w:sz w:val="24"/>
                <w:szCs w:val="19"/>
              </w:rPr>
              <w:t>health</w:t>
            </w:r>
            <w:r w:rsidR="00091727" w:rsidRPr="00091727">
              <w:rPr>
                <w:rFonts w:ascii="Arial" w:eastAsia="Times" w:hAnsi="Arial"/>
                <w:sz w:val="24"/>
                <w:szCs w:val="19"/>
              </w:rPr>
              <w:t>.vic.go.au</w:t>
            </w:r>
            <w:r w:rsidRPr="00091727">
              <w:rPr>
                <w:rFonts w:ascii="Arial" w:eastAsia="Times" w:hAnsi="Arial"/>
                <w:sz w:val="24"/>
                <w:szCs w:val="19"/>
              </w:rPr>
              <w:t>&gt;</w:t>
            </w:r>
          </w:p>
          <w:p w14:paraId="1E18A30A"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3233811D" w14:textId="77777777"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Pr="00730D50">
              <w:rPr>
                <w:rFonts w:ascii="Arial" w:eastAsia="Times" w:hAnsi="Arial"/>
              </w:rPr>
              <w:t xml:space="preserve"> </w:t>
            </w:r>
            <w:r w:rsidR="00793AEA">
              <w:rPr>
                <w:rFonts w:ascii="Arial" w:eastAsia="Times" w:hAnsi="Arial"/>
              </w:rPr>
              <w:t>October 2020</w:t>
            </w:r>
            <w:r w:rsidRPr="00605B5B">
              <w:rPr>
                <w:rFonts w:ascii="Arial" w:eastAsia="Times" w:hAnsi="Arial"/>
              </w:rPr>
              <w:t>.</w:t>
            </w:r>
          </w:p>
          <w:p w14:paraId="7CECFE23" w14:textId="77777777" w:rsidR="00564E8F" w:rsidRPr="00730D50" w:rsidRDefault="00605B5B" w:rsidP="00730D50">
            <w:pPr>
              <w:spacing w:after="120" w:line="270" w:lineRule="atLeast"/>
              <w:rPr>
                <w:rFonts w:ascii="Arial" w:eastAsia="Times" w:hAnsi="Arial"/>
                <w:szCs w:val="19"/>
              </w:rPr>
            </w:pPr>
            <w:r w:rsidRPr="00605B5B">
              <w:rPr>
                <w:rFonts w:ascii="Arial" w:eastAsia="Times" w:hAnsi="Arial"/>
                <w:szCs w:val="19"/>
              </w:rPr>
              <w:t xml:space="preserve">Available </w:t>
            </w:r>
            <w:r w:rsidR="00730D50">
              <w:rPr>
                <w:rFonts w:ascii="Arial" w:eastAsia="Times" w:hAnsi="Arial"/>
                <w:szCs w:val="19"/>
              </w:rPr>
              <w:t>from the Food Safety Unit, Department of Health and Human Services</w:t>
            </w:r>
          </w:p>
        </w:tc>
      </w:tr>
      <w:tr w:rsidR="009906C7" w:rsidRPr="003072C6" w14:paraId="306179D7" w14:textId="77777777" w:rsidTr="009906C7">
        <w:tc>
          <w:tcPr>
            <w:tcW w:w="9401" w:type="dxa"/>
            <w:vAlign w:val="bottom"/>
          </w:tcPr>
          <w:p w14:paraId="35AC5C66" w14:textId="77777777" w:rsidR="009906C7" w:rsidRPr="003072C6" w:rsidRDefault="009906C7" w:rsidP="009906C7">
            <w:pPr>
              <w:pStyle w:val="DHHSbody"/>
            </w:pPr>
          </w:p>
        </w:tc>
      </w:tr>
    </w:tbl>
    <w:p w14:paraId="268BFD35" w14:textId="77777777" w:rsidR="00ED4D17" w:rsidRPr="003072C6" w:rsidRDefault="00ED4D17" w:rsidP="003072C6">
      <w:pPr>
        <w:pStyle w:val="DHHSbody"/>
      </w:pPr>
    </w:p>
    <w:p w14:paraId="637D9465" w14:textId="77777777" w:rsidR="00AC0C3B" w:rsidRPr="001E7A42" w:rsidRDefault="00AC0C3B" w:rsidP="004E1EDE">
      <w:pPr>
        <w:pStyle w:val="DHHSTOCheadingreport"/>
      </w:pPr>
      <w:r w:rsidRPr="001E7A42">
        <w:lastRenderedPageBreak/>
        <w:t>Contents</w:t>
      </w:r>
    </w:p>
    <w:p w14:paraId="4ECBBB9D" w14:textId="601416ED" w:rsidR="00815A66"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75278950" w:history="1">
        <w:r w:rsidR="00815A66" w:rsidRPr="009758B7">
          <w:rPr>
            <w:rStyle w:val="Hyperlink"/>
          </w:rPr>
          <w:t>1. Background on the kilojoule labelling scheme</w:t>
        </w:r>
        <w:r w:rsidR="00815A66">
          <w:rPr>
            <w:webHidden/>
          </w:rPr>
          <w:tab/>
        </w:r>
        <w:r w:rsidR="00815A66">
          <w:rPr>
            <w:webHidden/>
          </w:rPr>
          <w:fldChar w:fldCharType="begin"/>
        </w:r>
        <w:r w:rsidR="00815A66">
          <w:rPr>
            <w:webHidden/>
          </w:rPr>
          <w:instrText xml:space="preserve"> PAGEREF _Toc75278950 \h </w:instrText>
        </w:r>
        <w:r w:rsidR="00815A66">
          <w:rPr>
            <w:webHidden/>
          </w:rPr>
        </w:r>
        <w:r w:rsidR="00815A66">
          <w:rPr>
            <w:webHidden/>
          </w:rPr>
          <w:fldChar w:fldCharType="separate"/>
        </w:r>
        <w:r w:rsidR="00815A66">
          <w:rPr>
            <w:webHidden/>
          </w:rPr>
          <w:t>4</w:t>
        </w:r>
        <w:r w:rsidR="00815A66">
          <w:rPr>
            <w:webHidden/>
          </w:rPr>
          <w:fldChar w:fldCharType="end"/>
        </w:r>
      </w:hyperlink>
    </w:p>
    <w:p w14:paraId="78E95C9C" w14:textId="4DC49D45" w:rsidR="00815A66" w:rsidRDefault="00F16B00">
      <w:pPr>
        <w:pStyle w:val="TOC1"/>
        <w:rPr>
          <w:rFonts w:asciiTheme="minorHAnsi" w:eastAsiaTheme="minorEastAsia" w:hAnsiTheme="minorHAnsi" w:cstheme="minorBidi"/>
          <w:b w:val="0"/>
          <w:sz w:val="22"/>
          <w:szCs w:val="22"/>
          <w:lang w:eastAsia="en-AU"/>
        </w:rPr>
      </w:pPr>
      <w:hyperlink w:anchor="_Toc75278951" w:history="1">
        <w:r w:rsidR="00815A66" w:rsidRPr="009758B7">
          <w:rPr>
            <w:rStyle w:val="Hyperlink"/>
          </w:rPr>
          <w:t>2. Introduction</w:t>
        </w:r>
        <w:r w:rsidR="00815A66">
          <w:rPr>
            <w:webHidden/>
          </w:rPr>
          <w:tab/>
        </w:r>
        <w:r w:rsidR="00815A66">
          <w:rPr>
            <w:webHidden/>
          </w:rPr>
          <w:fldChar w:fldCharType="begin"/>
        </w:r>
        <w:r w:rsidR="00815A66">
          <w:rPr>
            <w:webHidden/>
          </w:rPr>
          <w:instrText xml:space="preserve"> PAGEREF _Toc75278951 \h </w:instrText>
        </w:r>
        <w:r w:rsidR="00815A66">
          <w:rPr>
            <w:webHidden/>
          </w:rPr>
        </w:r>
        <w:r w:rsidR="00815A66">
          <w:rPr>
            <w:webHidden/>
          </w:rPr>
          <w:fldChar w:fldCharType="separate"/>
        </w:r>
        <w:r w:rsidR="00815A66">
          <w:rPr>
            <w:webHidden/>
          </w:rPr>
          <w:t>4</w:t>
        </w:r>
        <w:r w:rsidR="00815A66">
          <w:rPr>
            <w:webHidden/>
          </w:rPr>
          <w:fldChar w:fldCharType="end"/>
        </w:r>
      </w:hyperlink>
    </w:p>
    <w:p w14:paraId="2B92C010" w14:textId="606C2D6C" w:rsidR="00815A66" w:rsidRDefault="00F16B00">
      <w:pPr>
        <w:pStyle w:val="TOC1"/>
        <w:rPr>
          <w:rFonts w:asciiTheme="minorHAnsi" w:eastAsiaTheme="minorEastAsia" w:hAnsiTheme="minorHAnsi" w:cstheme="minorBidi"/>
          <w:b w:val="0"/>
          <w:sz w:val="22"/>
          <w:szCs w:val="22"/>
          <w:lang w:eastAsia="en-AU"/>
        </w:rPr>
      </w:pPr>
      <w:hyperlink w:anchor="_Toc75278952" w:history="1">
        <w:r w:rsidR="00815A66" w:rsidRPr="009758B7">
          <w:rPr>
            <w:rStyle w:val="Hyperlink"/>
          </w:rPr>
          <w:t>3. Objectives of the kilojoule labelling scheme</w:t>
        </w:r>
        <w:r w:rsidR="00815A66">
          <w:rPr>
            <w:webHidden/>
          </w:rPr>
          <w:tab/>
        </w:r>
        <w:r w:rsidR="00815A66">
          <w:rPr>
            <w:webHidden/>
          </w:rPr>
          <w:fldChar w:fldCharType="begin"/>
        </w:r>
        <w:r w:rsidR="00815A66">
          <w:rPr>
            <w:webHidden/>
          </w:rPr>
          <w:instrText xml:space="preserve"> PAGEREF _Toc75278952 \h </w:instrText>
        </w:r>
        <w:r w:rsidR="00815A66">
          <w:rPr>
            <w:webHidden/>
          </w:rPr>
        </w:r>
        <w:r w:rsidR="00815A66">
          <w:rPr>
            <w:webHidden/>
          </w:rPr>
          <w:fldChar w:fldCharType="separate"/>
        </w:r>
        <w:r w:rsidR="00815A66">
          <w:rPr>
            <w:webHidden/>
          </w:rPr>
          <w:t>5</w:t>
        </w:r>
        <w:r w:rsidR="00815A66">
          <w:rPr>
            <w:webHidden/>
          </w:rPr>
          <w:fldChar w:fldCharType="end"/>
        </w:r>
      </w:hyperlink>
    </w:p>
    <w:p w14:paraId="37DEF52A" w14:textId="6D4A2E55" w:rsidR="00815A66" w:rsidRDefault="00F16B00">
      <w:pPr>
        <w:pStyle w:val="TOC1"/>
        <w:rPr>
          <w:rFonts w:asciiTheme="minorHAnsi" w:eastAsiaTheme="minorEastAsia" w:hAnsiTheme="minorHAnsi" w:cstheme="minorBidi"/>
          <w:b w:val="0"/>
          <w:sz w:val="22"/>
          <w:szCs w:val="22"/>
          <w:lang w:eastAsia="en-AU"/>
        </w:rPr>
      </w:pPr>
      <w:hyperlink w:anchor="_Toc75278953" w:history="1">
        <w:r w:rsidR="00815A66" w:rsidRPr="009758B7">
          <w:rPr>
            <w:rStyle w:val="Hyperlink"/>
          </w:rPr>
          <w:t>4. Businesses that must comply with the scheme</w:t>
        </w:r>
        <w:r w:rsidR="00815A66">
          <w:rPr>
            <w:webHidden/>
          </w:rPr>
          <w:tab/>
        </w:r>
        <w:r w:rsidR="00815A66">
          <w:rPr>
            <w:webHidden/>
          </w:rPr>
          <w:fldChar w:fldCharType="begin"/>
        </w:r>
        <w:r w:rsidR="00815A66">
          <w:rPr>
            <w:webHidden/>
          </w:rPr>
          <w:instrText xml:space="preserve"> PAGEREF _Toc75278953 \h </w:instrText>
        </w:r>
        <w:r w:rsidR="00815A66">
          <w:rPr>
            <w:webHidden/>
          </w:rPr>
        </w:r>
        <w:r w:rsidR="00815A66">
          <w:rPr>
            <w:webHidden/>
          </w:rPr>
          <w:fldChar w:fldCharType="separate"/>
        </w:r>
        <w:r w:rsidR="00815A66">
          <w:rPr>
            <w:webHidden/>
          </w:rPr>
          <w:t>5</w:t>
        </w:r>
        <w:r w:rsidR="00815A66">
          <w:rPr>
            <w:webHidden/>
          </w:rPr>
          <w:fldChar w:fldCharType="end"/>
        </w:r>
      </w:hyperlink>
    </w:p>
    <w:p w14:paraId="7F700D71" w14:textId="0E74A796" w:rsidR="00815A66" w:rsidRDefault="00F16B00">
      <w:pPr>
        <w:pStyle w:val="TOC1"/>
        <w:rPr>
          <w:rFonts w:asciiTheme="minorHAnsi" w:eastAsiaTheme="minorEastAsia" w:hAnsiTheme="minorHAnsi" w:cstheme="minorBidi"/>
          <w:b w:val="0"/>
          <w:sz w:val="22"/>
          <w:szCs w:val="22"/>
          <w:lang w:eastAsia="en-AU"/>
        </w:rPr>
      </w:pPr>
      <w:hyperlink w:anchor="_Toc75278954" w:history="1">
        <w:r w:rsidR="00815A66" w:rsidRPr="009758B7">
          <w:rPr>
            <w:rStyle w:val="Hyperlink"/>
          </w:rPr>
          <w:t>5. Kilojoule Sampling and Menu Surveillance Programs</w:t>
        </w:r>
        <w:r w:rsidR="00815A66">
          <w:rPr>
            <w:webHidden/>
          </w:rPr>
          <w:tab/>
        </w:r>
        <w:r w:rsidR="00815A66">
          <w:rPr>
            <w:webHidden/>
          </w:rPr>
          <w:fldChar w:fldCharType="begin"/>
        </w:r>
        <w:r w:rsidR="00815A66">
          <w:rPr>
            <w:webHidden/>
          </w:rPr>
          <w:instrText xml:space="preserve"> PAGEREF _Toc75278954 \h </w:instrText>
        </w:r>
        <w:r w:rsidR="00815A66">
          <w:rPr>
            <w:webHidden/>
          </w:rPr>
        </w:r>
        <w:r w:rsidR="00815A66">
          <w:rPr>
            <w:webHidden/>
          </w:rPr>
          <w:fldChar w:fldCharType="separate"/>
        </w:r>
        <w:r w:rsidR="00815A66">
          <w:rPr>
            <w:webHidden/>
          </w:rPr>
          <w:t>6</w:t>
        </w:r>
        <w:r w:rsidR="00815A66">
          <w:rPr>
            <w:webHidden/>
          </w:rPr>
          <w:fldChar w:fldCharType="end"/>
        </w:r>
      </w:hyperlink>
    </w:p>
    <w:p w14:paraId="08C0A94E" w14:textId="18426A06" w:rsidR="00815A66" w:rsidRDefault="00F16B00">
      <w:pPr>
        <w:pStyle w:val="TOC2"/>
        <w:rPr>
          <w:rFonts w:asciiTheme="minorHAnsi" w:eastAsiaTheme="minorEastAsia" w:hAnsiTheme="minorHAnsi" w:cstheme="minorBidi"/>
          <w:sz w:val="22"/>
          <w:szCs w:val="22"/>
          <w:lang w:eastAsia="en-AU"/>
        </w:rPr>
      </w:pPr>
      <w:hyperlink w:anchor="_Toc75278955" w:history="1">
        <w:r w:rsidR="00815A66" w:rsidRPr="009758B7">
          <w:rPr>
            <w:rStyle w:val="Hyperlink"/>
          </w:rPr>
          <w:t>5.1 Kilojoule Menu Board Surveillance Program</w:t>
        </w:r>
        <w:r w:rsidR="00815A66">
          <w:rPr>
            <w:webHidden/>
          </w:rPr>
          <w:tab/>
        </w:r>
        <w:r w:rsidR="00815A66">
          <w:rPr>
            <w:webHidden/>
          </w:rPr>
          <w:fldChar w:fldCharType="begin"/>
        </w:r>
        <w:r w:rsidR="00815A66">
          <w:rPr>
            <w:webHidden/>
          </w:rPr>
          <w:instrText xml:space="preserve"> PAGEREF _Toc75278955 \h </w:instrText>
        </w:r>
        <w:r w:rsidR="00815A66">
          <w:rPr>
            <w:webHidden/>
          </w:rPr>
        </w:r>
        <w:r w:rsidR="00815A66">
          <w:rPr>
            <w:webHidden/>
          </w:rPr>
          <w:fldChar w:fldCharType="separate"/>
        </w:r>
        <w:r w:rsidR="00815A66">
          <w:rPr>
            <w:webHidden/>
          </w:rPr>
          <w:t>6</w:t>
        </w:r>
        <w:r w:rsidR="00815A66">
          <w:rPr>
            <w:webHidden/>
          </w:rPr>
          <w:fldChar w:fldCharType="end"/>
        </w:r>
      </w:hyperlink>
    </w:p>
    <w:p w14:paraId="622BD58C" w14:textId="2A37B12E" w:rsidR="00815A66" w:rsidRDefault="00F16B00">
      <w:pPr>
        <w:pStyle w:val="TOC2"/>
        <w:rPr>
          <w:rFonts w:asciiTheme="minorHAnsi" w:eastAsiaTheme="minorEastAsia" w:hAnsiTheme="minorHAnsi" w:cstheme="minorBidi"/>
          <w:sz w:val="22"/>
          <w:szCs w:val="22"/>
          <w:lang w:eastAsia="en-AU"/>
        </w:rPr>
      </w:pPr>
      <w:hyperlink w:anchor="_Toc75278956" w:history="1">
        <w:r w:rsidR="00815A66" w:rsidRPr="009758B7">
          <w:rPr>
            <w:rStyle w:val="Hyperlink"/>
          </w:rPr>
          <w:t>Key points – kJ content on premises menus</w:t>
        </w:r>
        <w:r w:rsidR="00815A66">
          <w:rPr>
            <w:webHidden/>
          </w:rPr>
          <w:tab/>
        </w:r>
        <w:r w:rsidR="00815A66">
          <w:rPr>
            <w:webHidden/>
          </w:rPr>
          <w:fldChar w:fldCharType="begin"/>
        </w:r>
        <w:r w:rsidR="00815A66">
          <w:rPr>
            <w:webHidden/>
          </w:rPr>
          <w:instrText xml:space="preserve"> PAGEREF _Toc75278956 \h </w:instrText>
        </w:r>
        <w:r w:rsidR="00815A66">
          <w:rPr>
            <w:webHidden/>
          </w:rPr>
        </w:r>
        <w:r w:rsidR="00815A66">
          <w:rPr>
            <w:webHidden/>
          </w:rPr>
          <w:fldChar w:fldCharType="separate"/>
        </w:r>
        <w:r w:rsidR="00815A66">
          <w:rPr>
            <w:webHidden/>
          </w:rPr>
          <w:t>9</w:t>
        </w:r>
        <w:r w:rsidR="00815A66">
          <w:rPr>
            <w:webHidden/>
          </w:rPr>
          <w:fldChar w:fldCharType="end"/>
        </w:r>
      </w:hyperlink>
    </w:p>
    <w:p w14:paraId="46AC4F40" w14:textId="4AE87FF0" w:rsidR="00815A66" w:rsidRDefault="00F16B00">
      <w:pPr>
        <w:pStyle w:val="TOC2"/>
        <w:rPr>
          <w:rFonts w:asciiTheme="minorHAnsi" w:eastAsiaTheme="minorEastAsia" w:hAnsiTheme="minorHAnsi" w:cstheme="minorBidi"/>
          <w:sz w:val="22"/>
          <w:szCs w:val="22"/>
          <w:lang w:eastAsia="en-AU"/>
        </w:rPr>
      </w:pPr>
      <w:hyperlink w:anchor="_Toc75278957" w:history="1">
        <w:r w:rsidR="00815A66" w:rsidRPr="009758B7">
          <w:rPr>
            <w:rStyle w:val="Hyperlink"/>
          </w:rPr>
          <w:t>Key points – 8700 kJ reference statement in premises</w:t>
        </w:r>
        <w:r w:rsidR="00815A66">
          <w:rPr>
            <w:webHidden/>
          </w:rPr>
          <w:tab/>
        </w:r>
        <w:r w:rsidR="00815A66">
          <w:rPr>
            <w:webHidden/>
          </w:rPr>
          <w:fldChar w:fldCharType="begin"/>
        </w:r>
        <w:r w:rsidR="00815A66">
          <w:rPr>
            <w:webHidden/>
          </w:rPr>
          <w:instrText xml:space="preserve"> PAGEREF _Toc75278957 \h </w:instrText>
        </w:r>
        <w:r w:rsidR="00815A66">
          <w:rPr>
            <w:webHidden/>
          </w:rPr>
        </w:r>
        <w:r w:rsidR="00815A66">
          <w:rPr>
            <w:webHidden/>
          </w:rPr>
          <w:fldChar w:fldCharType="separate"/>
        </w:r>
        <w:r w:rsidR="00815A66">
          <w:rPr>
            <w:webHidden/>
          </w:rPr>
          <w:t>12</w:t>
        </w:r>
        <w:r w:rsidR="00815A66">
          <w:rPr>
            <w:webHidden/>
          </w:rPr>
          <w:fldChar w:fldCharType="end"/>
        </w:r>
      </w:hyperlink>
    </w:p>
    <w:p w14:paraId="5B691999" w14:textId="295F9383" w:rsidR="00815A66" w:rsidRDefault="00F16B00">
      <w:pPr>
        <w:pStyle w:val="TOC2"/>
        <w:rPr>
          <w:rFonts w:asciiTheme="minorHAnsi" w:eastAsiaTheme="minorEastAsia" w:hAnsiTheme="minorHAnsi" w:cstheme="minorBidi"/>
          <w:sz w:val="22"/>
          <w:szCs w:val="22"/>
          <w:lang w:eastAsia="en-AU"/>
        </w:rPr>
      </w:pPr>
      <w:hyperlink w:anchor="_Toc75278958" w:history="1">
        <w:r w:rsidR="00815A66" w:rsidRPr="009758B7">
          <w:rPr>
            <w:rStyle w:val="Hyperlink"/>
          </w:rPr>
          <w:t>Online menu compliance checks</w:t>
        </w:r>
        <w:r w:rsidR="00815A66">
          <w:rPr>
            <w:webHidden/>
          </w:rPr>
          <w:tab/>
        </w:r>
        <w:r w:rsidR="00815A66">
          <w:rPr>
            <w:webHidden/>
          </w:rPr>
          <w:fldChar w:fldCharType="begin"/>
        </w:r>
        <w:r w:rsidR="00815A66">
          <w:rPr>
            <w:webHidden/>
          </w:rPr>
          <w:instrText xml:space="preserve"> PAGEREF _Toc75278958 \h </w:instrText>
        </w:r>
        <w:r w:rsidR="00815A66">
          <w:rPr>
            <w:webHidden/>
          </w:rPr>
        </w:r>
        <w:r w:rsidR="00815A66">
          <w:rPr>
            <w:webHidden/>
          </w:rPr>
          <w:fldChar w:fldCharType="separate"/>
        </w:r>
        <w:r w:rsidR="00815A66">
          <w:rPr>
            <w:webHidden/>
          </w:rPr>
          <w:t>12</w:t>
        </w:r>
        <w:r w:rsidR="00815A66">
          <w:rPr>
            <w:webHidden/>
          </w:rPr>
          <w:fldChar w:fldCharType="end"/>
        </w:r>
      </w:hyperlink>
    </w:p>
    <w:p w14:paraId="6A07EA21" w14:textId="3FA398E8" w:rsidR="00815A66" w:rsidRDefault="00F16B00">
      <w:pPr>
        <w:pStyle w:val="TOC2"/>
        <w:rPr>
          <w:rFonts w:asciiTheme="minorHAnsi" w:eastAsiaTheme="minorEastAsia" w:hAnsiTheme="minorHAnsi" w:cstheme="minorBidi"/>
          <w:sz w:val="22"/>
          <w:szCs w:val="22"/>
          <w:lang w:eastAsia="en-AU"/>
        </w:rPr>
      </w:pPr>
      <w:hyperlink w:anchor="_Toc75278959" w:history="1">
        <w:r w:rsidR="00815A66" w:rsidRPr="009758B7">
          <w:rPr>
            <w:rStyle w:val="Hyperlink"/>
          </w:rPr>
          <w:t>Key points – online menu compliance checks</w:t>
        </w:r>
        <w:r w:rsidR="00815A66">
          <w:rPr>
            <w:webHidden/>
          </w:rPr>
          <w:tab/>
        </w:r>
        <w:r w:rsidR="00815A66">
          <w:rPr>
            <w:webHidden/>
          </w:rPr>
          <w:fldChar w:fldCharType="begin"/>
        </w:r>
        <w:r w:rsidR="00815A66">
          <w:rPr>
            <w:webHidden/>
          </w:rPr>
          <w:instrText xml:space="preserve"> PAGEREF _Toc75278959 \h </w:instrText>
        </w:r>
        <w:r w:rsidR="00815A66">
          <w:rPr>
            <w:webHidden/>
          </w:rPr>
        </w:r>
        <w:r w:rsidR="00815A66">
          <w:rPr>
            <w:webHidden/>
          </w:rPr>
          <w:fldChar w:fldCharType="separate"/>
        </w:r>
        <w:r w:rsidR="00815A66">
          <w:rPr>
            <w:webHidden/>
          </w:rPr>
          <w:t>15</w:t>
        </w:r>
        <w:r w:rsidR="00815A66">
          <w:rPr>
            <w:webHidden/>
          </w:rPr>
          <w:fldChar w:fldCharType="end"/>
        </w:r>
      </w:hyperlink>
    </w:p>
    <w:p w14:paraId="4CADF53D" w14:textId="74140B11" w:rsidR="00815A66" w:rsidRDefault="00F16B00">
      <w:pPr>
        <w:pStyle w:val="TOC2"/>
        <w:rPr>
          <w:rFonts w:asciiTheme="minorHAnsi" w:eastAsiaTheme="minorEastAsia" w:hAnsiTheme="minorHAnsi" w:cstheme="minorBidi"/>
          <w:sz w:val="22"/>
          <w:szCs w:val="22"/>
          <w:lang w:eastAsia="en-AU"/>
        </w:rPr>
      </w:pPr>
      <w:hyperlink w:anchor="_Toc75278960" w:history="1">
        <w:r w:rsidR="00815A66" w:rsidRPr="009758B7">
          <w:rPr>
            <w:rStyle w:val="Hyperlink"/>
          </w:rPr>
          <w:t>5.2 Kilojoule Sampling and Verification Program</w:t>
        </w:r>
        <w:r w:rsidR="00815A66">
          <w:rPr>
            <w:webHidden/>
          </w:rPr>
          <w:tab/>
        </w:r>
        <w:r w:rsidR="00815A66">
          <w:rPr>
            <w:webHidden/>
          </w:rPr>
          <w:fldChar w:fldCharType="begin"/>
        </w:r>
        <w:r w:rsidR="00815A66">
          <w:rPr>
            <w:webHidden/>
          </w:rPr>
          <w:instrText xml:space="preserve"> PAGEREF _Toc75278960 \h </w:instrText>
        </w:r>
        <w:r w:rsidR="00815A66">
          <w:rPr>
            <w:webHidden/>
          </w:rPr>
        </w:r>
        <w:r w:rsidR="00815A66">
          <w:rPr>
            <w:webHidden/>
          </w:rPr>
          <w:fldChar w:fldCharType="separate"/>
        </w:r>
        <w:r w:rsidR="00815A66">
          <w:rPr>
            <w:webHidden/>
          </w:rPr>
          <w:t>16</w:t>
        </w:r>
        <w:r w:rsidR="00815A66">
          <w:rPr>
            <w:webHidden/>
          </w:rPr>
          <w:fldChar w:fldCharType="end"/>
        </w:r>
      </w:hyperlink>
    </w:p>
    <w:p w14:paraId="48A60BA9" w14:textId="1A9EE485" w:rsidR="00815A66" w:rsidRDefault="00F16B00">
      <w:pPr>
        <w:pStyle w:val="TOC1"/>
        <w:rPr>
          <w:rFonts w:asciiTheme="minorHAnsi" w:eastAsiaTheme="minorEastAsia" w:hAnsiTheme="minorHAnsi" w:cstheme="minorBidi"/>
          <w:b w:val="0"/>
          <w:sz w:val="22"/>
          <w:szCs w:val="22"/>
          <w:lang w:eastAsia="en-AU"/>
        </w:rPr>
      </w:pPr>
      <w:hyperlink w:anchor="_Toc75278961" w:history="1">
        <w:r w:rsidR="00815A66" w:rsidRPr="009758B7">
          <w:rPr>
            <w:rStyle w:val="Hyperlink"/>
          </w:rPr>
          <w:t>6. Results</w:t>
        </w:r>
        <w:r w:rsidR="00815A66">
          <w:rPr>
            <w:webHidden/>
          </w:rPr>
          <w:tab/>
        </w:r>
        <w:r w:rsidR="00815A66">
          <w:rPr>
            <w:webHidden/>
          </w:rPr>
          <w:fldChar w:fldCharType="begin"/>
        </w:r>
        <w:r w:rsidR="00815A66">
          <w:rPr>
            <w:webHidden/>
          </w:rPr>
          <w:instrText xml:space="preserve"> PAGEREF _Toc75278961 \h </w:instrText>
        </w:r>
        <w:r w:rsidR="00815A66">
          <w:rPr>
            <w:webHidden/>
          </w:rPr>
        </w:r>
        <w:r w:rsidR="00815A66">
          <w:rPr>
            <w:webHidden/>
          </w:rPr>
          <w:fldChar w:fldCharType="separate"/>
        </w:r>
        <w:r w:rsidR="00815A66">
          <w:rPr>
            <w:webHidden/>
          </w:rPr>
          <w:t>17</w:t>
        </w:r>
        <w:r w:rsidR="00815A66">
          <w:rPr>
            <w:webHidden/>
          </w:rPr>
          <w:fldChar w:fldCharType="end"/>
        </w:r>
      </w:hyperlink>
    </w:p>
    <w:p w14:paraId="251A3ED1" w14:textId="1831BCBE" w:rsidR="00815A66" w:rsidRDefault="00F16B00">
      <w:pPr>
        <w:pStyle w:val="TOC2"/>
        <w:rPr>
          <w:rFonts w:asciiTheme="minorHAnsi" w:eastAsiaTheme="minorEastAsia" w:hAnsiTheme="minorHAnsi" w:cstheme="minorBidi"/>
          <w:sz w:val="22"/>
          <w:szCs w:val="22"/>
          <w:lang w:eastAsia="en-AU"/>
        </w:rPr>
      </w:pPr>
      <w:hyperlink w:anchor="_Toc75278962" w:history="1">
        <w:r w:rsidR="00815A66" w:rsidRPr="009758B7">
          <w:rPr>
            <w:rStyle w:val="Hyperlink"/>
          </w:rPr>
          <w:t>6.1 Analysis of testing results</w:t>
        </w:r>
        <w:r w:rsidR="00815A66">
          <w:rPr>
            <w:webHidden/>
          </w:rPr>
          <w:tab/>
        </w:r>
        <w:r w:rsidR="00815A66">
          <w:rPr>
            <w:webHidden/>
          </w:rPr>
          <w:fldChar w:fldCharType="begin"/>
        </w:r>
        <w:r w:rsidR="00815A66">
          <w:rPr>
            <w:webHidden/>
          </w:rPr>
          <w:instrText xml:space="preserve"> PAGEREF _Toc75278962 \h </w:instrText>
        </w:r>
        <w:r w:rsidR="00815A66">
          <w:rPr>
            <w:webHidden/>
          </w:rPr>
        </w:r>
        <w:r w:rsidR="00815A66">
          <w:rPr>
            <w:webHidden/>
          </w:rPr>
          <w:fldChar w:fldCharType="separate"/>
        </w:r>
        <w:r w:rsidR="00815A66">
          <w:rPr>
            <w:webHidden/>
          </w:rPr>
          <w:t>17</w:t>
        </w:r>
        <w:r w:rsidR="00815A66">
          <w:rPr>
            <w:webHidden/>
          </w:rPr>
          <w:fldChar w:fldCharType="end"/>
        </w:r>
      </w:hyperlink>
    </w:p>
    <w:p w14:paraId="7AE8AB65" w14:textId="0318640C" w:rsidR="00815A66" w:rsidRDefault="00F16B00">
      <w:pPr>
        <w:pStyle w:val="TOC2"/>
        <w:rPr>
          <w:rFonts w:asciiTheme="minorHAnsi" w:eastAsiaTheme="minorEastAsia" w:hAnsiTheme="minorHAnsi" w:cstheme="minorBidi"/>
          <w:sz w:val="22"/>
          <w:szCs w:val="22"/>
          <w:lang w:eastAsia="en-AU"/>
        </w:rPr>
      </w:pPr>
      <w:hyperlink w:anchor="_Toc75278963" w:history="1">
        <w:r w:rsidR="00815A66" w:rsidRPr="009758B7">
          <w:rPr>
            <w:rStyle w:val="Hyperlink"/>
          </w:rPr>
          <w:t>6.2 Analysis of kilojoule results and key findings</w:t>
        </w:r>
        <w:r w:rsidR="00815A66">
          <w:rPr>
            <w:webHidden/>
          </w:rPr>
          <w:tab/>
        </w:r>
        <w:r w:rsidR="00815A66">
          <w:rPr>
            <w:webHidden/>
          </w:rPr>
          <w:fldChar w:fldCharType="begin"/>
        </w:r>
        <w:r w:rsidR="00815A66">
          <w:rPr>
            <w:webHidden/>
          </w:rPr>
          <w:instrText xml:space="preserve"> PAGEREF _Toc75278963 \h </w:instrText>
        </w:r>
        <w:r w:rsidR="00815A66">
          <w:rPr>
            <w:webHidden/>
          </w:rPr>
        </w:r>
        <w:r w:rsidR="00815A66">
          <w:rPr>
            <w:webHidden/>
          </w:rPr>
          <w:fldChar w:fldCharType="separate"/>
        </w:r>
        <w:r w:rsidR="00815A66">
          <w:rPr>
            <w:webHidden/>
          </w:rPr>
          <w:t>18</w:t>
        </w:r>
        <w:r w:rsidR="00815A66">
          <w:rPr>
            <w:webHidden/>
          </w:rPr>
          <w:fldChar w:fldCharType="end"/>
        </w:r>
      </w:hyperlink>
    </w:p>
    <w:p w14:paraId="4B0428DE" w14:textId="60BB25FC" w:rsidR="00815A66" w:rsidRDefault="00F16B00">
      <w:pPr>
        <w:pStyle w:val="TOC1"/>
        <w:rPr>
          <w:rFonts w:asciiTheme="minorHAnsi" w:eastAsiaTheme="minorEastAsia" w:hAnsiTheme="minorHAnsi" w:cstheme="minorBidi"/>
          <w:b w:val="0"/>
          <w:sz w:val="22"/>
          <w:szCs w:val="22"/>
          <w:lang w:eastAsia="en-AU"/>
        </w:rPr>
      </w:pPr>
      <w:hyperlink w:anchor="_Toc75278964" w:history="1">
        <w:r w:rsidR="00815A66" w:rsidRPr="009758B7">
          <w:rPr>
            <w:rStyle w:val="Hyperlink"/>
          </w:rPr>
          <w:t>7. Conclusions</w:t>
        </w:r>
        <w:r w:rsidR="00815A66">
          <w:rPr>
            <w:webHidden/>
          </w:rPr>
          <w:tab/>
        </w:r>
        <w:r w:rsidR="00815A66">
          <w:rPr>
            <w:webHidden/>
          </w:rPr>
          <w:fldChar w:fldCharType="begin"/>
        </w:r>
        <w:r w:rsidR="00815A66">
          <w:rPr>
            <w:webHidden/>
          </w:rPr>
          <w:instrText xml:space="preserve"> PAGEREF _Toc75278964 \h </w:instrText>
        </w:r>
        <w:r w:rsidR="00815A66">
          <w:rPr>
            <w:webHidden/>
          </w:rPr>
        </w:r>
        <w:r w:rsidR="00815A66">
          <w:rPr>
            <w:webHidden/>
          </w:rPr>
          <w:fldChar w:fldCharType="separate"/>
        </w:r>
        <w:r w:rsidR="00815A66">
          <w:rPr>
            <w:webHidden/>
          </w:rPr>
          <w:t>19</w:t>
        </w:r>
        <w:r w:rsidR="00815A66">
          <w:rPr>
            <w:webHidden/>
          </w:rPr>
          <w:fldChar w:fldCharType="end"/>
        </w:r>
      </w:hyperlink>
    </w:p>
    <w:p w14:paraId="0A10583F" w14:textId="79A0AB21" w:rsidR="003E2E12" w:rsidRPr="003072C6" w:rsidRDefault="00E15DA9" w:rsidP="00213772">
      <w:pPr>
        <w:pStyle w:val="TOC2"/>
        <w:rPr>
          <w:noProof w:val="0"/>
        </w:rPr>
      </w:pPr>
      <w:r w:rsidRPr="003072C6">
        <w:rPr>
          <w:noProof w:val="0"/>
        </w:rPr>
        <w:fldChar w:fldCharType="end"/>
      </w:r>
      <w:r w:rsidR="00885621">
        <w:rPr>
          <w:noProof w:val="0"/>
        </w:rPr>
        <w:t xml:space="preserve"> </w:t>
      </w:r>
    </w:p>
    <w:p w14:paraId="30162C66" w14:textId="77777777" w:rsidR="00AC0C3B" w:rsidRPr="003072C6" w:rsidRDefault="003E2E12" w:rsidP="00E91933">
      <w:pPr>
        <w:pStyle w:val="DHHSbody"/>
      </w:pPr>
      <w:r w:rsidRPr="003072C6">
        <w:br w:type="page"/>
      </w:r>
    </w:p>
    <w:p w14:paraId="5DB211C8"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1360FF80" w14:textId="77777777" w:rsidR="00730D50" w:rsidRPr="00991349" w:rsidRDefault="00730D50" w:rsidP="00991349">
      <w:pPr>
        <w:pStyle w:val="Heading1"/>
        <w:spacing w:before="0"/>
      </w:pPr>
      <w:bookmarkStart w:id="1" w:name="_Toc75278950"/>
      <w:r w:rsidRPr="00991349">
        <w:lastRenderedPageBreak/>
        <w:t>1.</w:t>
      </w:r>
      <w:r w:rsidR="00FC37A6" w:rsidRPr="00991349">
        <w:t xml:space="preserve"> </w:t>
      </w:r>
      <w:r w:rsidRPr="00991349">
        <w:t xml:space="preserve">Background on the </w:t>
      </w:r>
      <w:r w:rsidR="00D23CD4" w:rsidRPr="00991349">
        <w:t>k</w:t>
      </w:r>
      <w:r w:rsidRPr="00991349">
        <w:t xml:space="preserve">ilojoule </w:t>
      </w:r>
      <w:r w:rsidR="00EC1CEB" w:rsidRPr="00991349">
        <w:t>l</w:t>
      </w:r>
      <w:r w:rsidRPr="00991349">
        <w:t xml:space="preserve">abelling </w:t>
      </w:r>
      <w:r w:rsidR="00EC1CEB" w:rsidRPr="00991349">
        <w:t>s</w:t>
      </w:r>
      <w:r w:rsidRPr="00991349">
        <w:t>cheme</w:t>
      </w:r>
      <w:bookmarkEnd w:id="1"/>
    </w:p>
    <w:p w14:paraId="0B367CD0" w14:textId="77777777" w:rsidR="00730D50" w:rsidRDefault="00730D50" w:rsidP="00BB7164">
      <w:pPr>
        <w:pStyle w:val="DHHSbody"/>
      </w:pPr>
      <w:r>
        <w:t xml:space="preserve">The </w:t>
      </w:r>
      <w:r w:rsidR="00D23CD4">
        <w:t>k</w:t>
      </w:r>
      <w:r>
        <w:t xml:space="preserve">ilojoule </w:t>
      </w:r>
      <w:r w:rsidR="0009064B">
        <w:t>l</w:t>
      </w:r>
      <w:r>
        <w:t xml:space="preserve">abelling </w:t>
      </w:r>
      <w:r w:rsidR="0009064B">
        <w:t>s</w:t>
      </w:r>
      <w:r>
        <w:t xml:space="preserve">cheme came into effect on 1 May 2018 </w:t>
      </w:r>
      <w:r w:rsidR="00741CC3">
        <w:t>following</w:t>
      </w:r>
      <w:r>
        <w:t xml:space="preserve"> changes to the </w:t>
      </w:r>
      <w:r w:rsidRPr="00730D50">
        <w:rPr>
          <w:color w:val="000000"/>
        </w:rPr>
        <w:t xml:space="preserve">Victorian </w:t>
      </w:r>
      <w:r w:rsidRPr="00730D50">
        <w:rPr>
          <w:i/>
          <w:color w:val="000000"/>
        </w:rPr>
        <w:t>Food Act 1984</w:t>
      </w:r>
      <w:r w:rsidRPr="00730D50">
        <w:rPr>
          <w:color w:val="000000"/>
        </w:rPr>
        <w:t xml:space="preserve"> (the Act). These </w:t>
      </w:r>
      <w:r>
        <w:t xml:space="preserve">new legislative requirements </w:t>
      </w:r>
      <w:r w:rsidR="0009064B">
        <w:t>are</w:t>
      </w:r>
      <w:r>
        <w:t xml:space="preserve"> in </w:t>
      </w:r>
      <w:r w:rsidRPr="00E626FF">
        <w:t xml:space="preserve">Part </w:t>
      </w:r>
      <w:r w:rsidRPr="00642CC8">
        <w:rPr>
          <w:rFonts w:ascii="Calibri" w:hAnsi="Calibri"/>
          <w:sz w:val="24"/>
          <w:szCs w:val="24"/>
        </w:rPr>
        <w:t>ІІ</w:t>
      </w:r>
      <w:r w:rsidRPr="00E626FF">
        <w:t>A of the Act</w:t>
      </w:r>
      <w:r>
        <w:t xml:space="preserve"> </w:t>
      </w:r>
      <w:r w:rsidRPr="00E626FF">
        <w:t>-</w:t>
      </w:r>
      <w:r>
        <w:t xml:space="preserve"> </w:t>
      </w:r>
      <w:r w:rsidR="00D23CD4">
        <w:t>k</w:t>
      </w:r>
      <w:r w:rsidRPr="00E626FF">
        <w:t>ilojoule labelling scheme</w:t>
      </w:r>
      <w:r w:rsidR="00EC1CEB">
        <w:t xml:space="preserve"> (the scheme)</w:t>
      </w:r>
      <w:r>
        <w:t>.</w:t>
      </w:r>
      <w:r w:rsidR="00FC37A6">
        <w:t xml:space="preserve"> </w:t>
      </w:r>
    </w:p>
    <w:p w14:paraId="445EEA97" w14:textId="5239D096" w:rsidR="00733E81" w:rsidRDefault="00730D50" w:rsidP="00BB7164">
      <w:pPr>
        <w:pStyle w:val="DHHSbody"/>
      </w:pPr>
      <w:r>
        <w:t xml:space="preserve">The Victorian Government introduced these new requirements into the Act </w:t>
      </w:r>
      <w:r w:rsidR="00CE17DF">
        <w:t>to</w:t>
      </w:r>
      <w:r>
        <w:t xml:space="preserve"> empower Victorian consumers to improve their health and enable them to compare the </w:t>
      </w:r>
      <w:r w:rsidR="00CE17DF">
        <w:t>kilojoule (</w:t>
      </w:r>
      <w:r>
        <w:t>kJ</w:t>
      </w:r>
      <w:r w:rsidR="00CE17DF">
        <w:t>)</w:t>
      </w:r>
      <w:r>
        <w:t xml:space="preserve"> content of meals within</w:t>
      </w:r>
      <w:r w:rsidR="00CE17DF">
        <w:t>,</w:t>
      </w:r>
      <w:r>
        <w:t xml:space="preserve"> and between</w:t>
      </w:r>
      <w:r w:rsidR="00CE17DF">
        <w:t>,</w:t>
      </w:r>
      <w:r>
        <w:t xml:space="preserve"> large chain food outlets and to monitor and adjust their overall daily energy intake. The legislation relies heavily on the evidence and evaluation of the NSW kJ scheme. The NSW </w:t>
      </w:r>
      <w:r w:rsidR="00CE17DF">
        <w:t>k</w:t>
      </w:r>
      <w:r>
        <w:t xml:space="preserve">J labelling scheme was </w:t>
      </w:r>
      <w:r w:rsidR="002C42A9">
        <w:t>introduced</w:t>
      </w:r>
      <w:r w:rsidR="008537D9">
        <w:t xml:space="preserve"> </w:t>
      </w:r>
      <w:r>
        <w:t>in 2011.</w:t>
      </w:r>
      <w:r w:rsidR="00B6580C">
        <w:t xml:space="preserve"> </w:t>
      </w:r>
    </w:p>
    <w:p w14:paraId="085A7116" w14:textId="77777777" w:rsidR="00730D50" w:rsidRPr="00733E81" w:rsidRDefault="00733E81" w:rsidP="00991349">
      <w:pPr>
        <w:pStyle w:val="Heading1"/>
      </w:pPr>
      <w:bookmarkStart w:id="2" w:name="_Toc75278951"/>
      <w:r w:rsidRPr="00733E81">
        <w:t>2. Introduction</w:t>
      </w:r>
      <w:bookmarkEnd w:id="2"/>
      <w:r w:rsidRPr="00733E81">
        <w:t xml:space="preserve"> </w:t>
      </w:r>
    </w:p>
    <w:p w14:paraId="10B0FE62" w14:textId="252D0D9A" w:rsidR="00730D50" w:rsidRPr="00730D50" w:rsidRDefault="00766E8D" w:rsidP="00BB7164">
      <w:pPr>
        <w:pStyle w:val="DHHSbody"/>
        <w:rPr>
          <w:color w:val="000000"/>
        </w:rPr>
      </w:pPr>
      <w:r w:rsidRPr="00730D50">
        <w:rPr>
          <w:color w:val="000000"/>
        </w:rPr>
        <w:t>Kilojoule</w:t>
      </w:r>
      <w:r w:rsidR="00730D50" w:rsidRPr="00730D50">
        <w:rPr>
          <w:color w:val="000000"/>
        </w:rPr>
        <w:t xml:space="preserve"> labelling is a cost effective and practical health scheme </w:t>
      </w:r>
      <w:r w:rsidR="00FC37A6">
        <w:rPr>
          <w:color w:val="000000"/>
        </w:rPr>
        <w:t>that</w:t>
      </w:r>
      <w:r w:rsidR="00730D50" w:rsidRPr="00730D50">
        <w:rPr>
          <w:color w:val="000000"/>
        </w:rPr>
        <w:t xml:space="preserve"> complement</w:t>
      </w:r>
      <w:r w:rsidR="00FC37A6">
        <w:rPr>
          <w:color w:val="000000"/>
        </w:rPr>
        <w:t>s</w:t>
      </w:r>
      <w:r w:rsidR="00730D50" w:rsidRPr="00730D50">
        <w:rPr>
          <w:color w:val="000000"/>
        </w:rPr>
        <w:t xml:space="preserve"> a range of Victorian Government initiatives to combat preventable chronic diseases such as obesity, heart disease, diabetes, thrombosis, cholesterol, high blood pressure and some cancers.</w:t>
      </w:r>
      <w:r w:rsidR="00FC37A6">
        <w:rPr>
          <w:color w:val="000000"/>
        </w:rPr>
        <w:t xml:space="preserve"> </w:t>
      </w:r>
      <w:r w:rsidR="00730D50" w:rsidRPr="00730D50">
        <w:rPr>
          <w:color w:val="000000"/>
        </w:rPr>
        <w:t>Contributing to this disease burden are increased consumption of energy-dense foods (high kJ) and reduced physical activity.</w:t>
      </w:r>
      <w:r w:rsidR="008537D9">
        <w:rPr>
          <w:color w:val="000000"/>
        </w:rPr>
        <w:t xml:space="preserve"> </w:t>
      </w:r>
    </w:p>
    <w:p w14:paraId="711BC194" w14:textId="2232B29C" w:rsidR="00730D50" w:rsidRPr="00730D50" w:rsidRDefault="00730D50" w:rsidP="00BB7164">
      <w:pPr>
        <w:pStyle w:val="DHHSbody"/>
        <w:rPr>
          <w:color w:val="000000"/>
        </w:rPr>
      </w:pPr>
      <w:r w:rsidRPr="00730D50">
        <w:rPr>
          <w:color w:val="000000"/>
        </w:rPr>
        <w:t xml:space="preserve">Approximately two-thirds of Victorians are either obese or overweight. Obesity </w:t>
      </w:r>
      <w:r w:rsidR="00C01F63">
        <w:rPr>
          <w:color w:val="000000"/>
        </w:rPr>
        <w:t>is</w:t>
      </w:r>
      <w:r w:rsidRPr="00730D50">
        <w:rPr>
          <w:color w:val="000000"/>
        </w:rPr>
        <w:t xml:space="preserve"> estimated to cost Victoria $14.4 billion a year when economic and social factors are considered. </w:t>
      </w:r>
      <w:r w:rsidR="00C01F63" w:rsidRPr="00730D50">
        <w:rPr>
          <w:color w:val="000000"/>
        </w:rPr>
        <w:t>The scheme will assist in address</w:t>
      </w:r>
      <w:r w:rsidR="00C01F63">
        <w:rPr>
          <w:color w:val="000000"/>
        </w:rPr>
        <w:t>ing</w:t>
      </w:r>
      <w:r w:rsidR="00C01F63" w:rsidRPr="00730D50">
        <w:rPr>
          <w:color w:val="000000"/>
        </w:rPr>
        <w:t xml:space="preserve"> </w:t>
      </w:r>
      <w:r w:rsidR="00C01F63">
        <w:rPr>
          <w:color w:val="000000"/>
        </w:rPr>
        <w:t>this</w:t>
      </w:r>
      <w:r w:rsidR="00C01F63" w:rsidRPr="00730D50">
        <w:rPr>
          <w:color w:val="000000"/>
        </w:rPr>
        <w:t xml:space="preserve"> significant public health issue in Victoria</w:t>
      </w:r>
      <w:r w:rsidR="005F2718">
        <w:rPr>
          <w:color w:val="000000"/>
        </w:rPr>
        <w:t xml:space="preserve"> and </w:t>
      </w:r>
      <w:r w:rsidR="005F2718" w:rsidRPr="00730D50">
        <w:rPr>
          <w:color w:val="000000"/>
        </w:rPr>
        <w:t xml:space="preserve">will be a significant addition to the efforts underway through the </w:t>
      </w:r>
      <w:hyperlink r:id="rId10" w:history="1">
        <w:r w:rsidR="005F2718" w:rsidRPr="008537D9">
          <w:rPr>
            <w:rStyle w:val="Hyperlink"/>
          </w:rPr>
          <w:t>Victorian Healthy Choices initiative</w:t>
        </w:r>
      </w:hyperlink>
      <w:r w:rsidR="008537D9">
        <w:rPr>
          <w:color w:val="000000"/>
        </w:rPr>
        <w:t xml:space="preserve"> &lt;</w:t>
      </w:r>
      <w:r w:rsidR="008537D9" w:rsidRPr="008537D9">
        <w:rPr>
          <w:color w:val="000000"/>
        </w:rPr>
        <w:t>https://www2.health.vic.gov.au/public-health/preventive-health/nutrition/healthy-choices-for-retail-outlets-vending-machines-catering</w:t>
      </w:r>
      <w:r w:rsidR="008537D9">
        <w:rPr>
          <w:color w:val="000000"/>
        </w:rPr>
        <w:t>&gt;</w:t>
      </w:r>
      <w:r w:rsidR="005F2718" w:rsidRPr="00730D50">
        <w:rPr>
          <w:color w:val="000000"/>
        </w:rPr>
        <w:t>.</w:t>
      </w:r>
      <w:r w:rsidRPr="00730D50">
        <w:rPr>
          <w:color w:val="000000"/>
        </w:rPr>
        <w:t xml:space="preserve"> </w:t>
      </w:r>
    </w:p>
    <w:p w14:paraId="50DE2BA6" w14:textId="77777777" w:rsidR="00730D50" w:rsidRPr="00730D50" w:rsidRDefault="00730D50" w:rsidP="00BB7164">
      <w:pPr>
        <w:pStyle w:val="DHHSbody"/>
        <w:rPr>
          <w:color w:val="000000"/>
        </w:rPr>
      </w:pPr>
      <w:r w:rsidRPr="00730D50">
        <w:rPr>
          <w:color w:val="000000"/>
        </w:rPr>
        <w:t xml:space="preserve">Kilojoule labelling aims to promote healthy food and drink options in places where people tend to spend their time. Many people are unaware that a single fast-food meal may contain most of an adult’s recommended daily kJ intake. </w:t>
      </w:r>
    </w:p>
    <w:p w14:paraId="763D53E5" w14:textId="77777777" w:rsidR="00730D50" w:rsidRPr="00730D50" w:rsidRDefault="00730D50" w:rsidP="00BB7164">
      <w:pPr>
        <w:pStyle w:val="DHHSbody"/>
        <w:rPr>
          <w:color w:val="000000"/>
        </w:rPr>
      </w:pPr>
      <w:r w:rsidRPr="00730D50">
        <w:rPr>
          <w:color w:val="000000"/>
        </w:rPr>
        <w:t>Implementation of the scheme has resulted in approximately 3000 Victorian chain food businesses, in addition to approximately 570 supermarkets, be</w:t>
      </w:r>
      <w:r w:rsidR="003A4D0A">
        <w:rPr>
          <w:color w:val="000000"/>
        </w:rPr>
        <w:t>ing</w:t>
      </w:r>
      <w:r w:rsidRPr="00730D50">
        <w:rPr>
          <w:color w:val="000000"/>
        </w:rPr>
        <w:t xml:space="preserve"> captured by the scheme and required to display kJ information. </w:t>
      </w:r>
    </w:p>
    <w:p w14:paraId="29C87B2B" w14:textId="77777777" w:rsidR="00730D50" w:rsidRDefault="00730D50" w:rsidP="00BB7164">
      <w:pPr>
        <w:pStyle w:val="DHHSbody"/>
      </w:pPr>
      <w:r>
        <w:t xml:space="preserve">Proprietors of food premises </w:t>
      </w:r>
      <w:r w:rsidR="00FD5794">
        <w:t>are</w:t>
      </w:r>
      <w:r>
        <w:t xml:space="preserve"> responsib</w:t>
      </w:r>
      <w:r w:rsidR="00FD5794">
        <w:t>le</w:t>
      </w:r>
      <w:r>
        <w:t xml:space="preserve"> for determining whether their business is subject to the scheme, and if any of their food products require</w:t>
      </w:r>
      <w:r w:rsidR="006871BE">
        <w:t xml:space="preserve"> </w:t>
      </w:r>
      <w:r>
        <w:t xml:space="preserve">kJ labelling. </w:t>
      </w:r>
    </w:p>
    <w:p w14:paraId="0B29E795" w14:textId="0DFAC4D2" w:rsidR="00730D50" w:rsidRDefault="00730D50" w:rsidP="00BB7164">
      <w:pPr>
        <w:pStyle w:val="DHHSbody"/>
      </w:pPr>
      <w:r>
        <w:t>The scheme requires large chain food outlets/restaurants and large chain supermarkets to display:</w:t>
      </w:r>
    </w:p>
    <w:p w14:paraId="61A5F321" w14:textId="77777777" w:rsidR="00730D50" w:rsidRDefault="00730D50" w:rsidP="00BB7164">
      <w:pPr>
        <w:pStyle w:val="DHHSbullet1"/>
      </w:pPr>
      <w:r>
        <w:t>the average kJ content of standardised, ready</w:t>
      </w:r>
      <w:r w:rsidR="006871BE">
        <w:t>-</w:t>
      </w:r>
      <w:r>
        <w:t>to</w:t>
      </w:r>
      <w:r w:rsidR="006871BE">
        <w:t>-</w:t>
      </w:r>
      <w:r>
        <w:t>eat food and non-alcoholic drinks on menus, menu boards, posters, food labels and price tags</w:t>
      </w:r>
    </w:p>
    <w:p w14:paraId="366D1513" w14:textId="77777777" w:rsidR="00730D50" w:rsidRDefault="00730D50" w:rsidP="00BB7164">
      <w:pPr>
        <w:pStyle w:val="DHHSbullet1lastline"/>
      </w:pPr>
      <w:r>
        <w:t xml:space="preserve">the statement </w:t>
      </w:r>
      <w:r w:rsidRPr="00835BEC">
        <w:t>‘The average adult daily energy intake is 8</w:t>
      </w:r>
      <w:r w:rsidR="00BB7164">
        <w:t>,</w:t>
      </w:r>
      <w:r w:rsidRPr="00835BEC">
        <w:t>700kJ’</w:t>
      </w:r>
      <w:r>
        <w:t xml:space="preserve"> on menus, menu boards and display cabinets where food is displayed for sale. </w:t>
      </w:r>
    </w:p>
    <w:p w14:paraId="11CE5CD0" w14:textId="77777777" w:rsidR="00730D50" w:rsidRDefault="00730D50" w:rsidP="00BB7164">
      <w:pPr>
        <w:pStyle w:val="DHHSbody"/>
      </w:pPr>
      <w:r>
        <w:t>The definition of a ‘</w:t>
      </w:r>
      <w:r w:rsidRPr="006228EF">
        <w:t>standardised food item</w:t>
      </w:r>
      <w:r>
        <w:t xml:space="preserve">’ is </w:t>
      </w:r>
      <w:r w:rsidR="00442328">
        <w:t>‘</w:t>
      </w:r>
      <w:r>
        <w:t xml:space="preserve">a food item standardised for size and content across two or more outlets in the chain </w:t>
      </w:r>
      <w:r w:rsidRPr="0034419D">
        <w:rPr>
          <w:u w:val="single"/>
        </w:rPr>
        <w:t>and</w:t>
      </w:r>
      <w:r>
        <w:t xml:space="preserve"> sold at more than one outlet in the chain</w:t>
      </w:r>
      <w:r w:rsidR="00442328">
        <w:t>’</w:t>
      </w:r>
      <w:r>
        <w:t xml:space="preserve">. </w:t>
      </w:r>
      <w:r w:rsidR="00442328">
        <w:t>A</w:t>
      </w:r>
      <w:r>
        <w:t xml:space="preserve"> standard food item must be prepared from a standard recipe and sold in standard serve sizes. </w:t>
      </w:r>
    </w:p>
    <w:p w14:paraId="34CB420C" w14:textId="77777777" w:rsidR="002C297F" w:rsidRPr="003C0134" w:rsidRDefault="00A35C2D" w:rsidP="00991349">
      <w:pPr>
        <w:pStyle w:val="Heading1"/>
      </w:pPr>
      <w:bookmarkStart w:id="3" w:name="_Toc75278952"/>
      <w:r w:rsidRPr="003C0134">
        <w:lastRenderedPageBreak/>
        <w:t xml:space="preserve">3. Objectives of the </w:t>
      </w:r>
      <w:r w:rsidR="00D23CD4">
        <w:t>k</w:t>
      </w:r>
      <w:r w:rsidRPr="003C0134">
        <w:t xml:space="preserve">ilojoule </w:t>
      </w:r>
      <w:r w:rsidR="00D23CD4">
        <w:t>l</w:t>
      </w:r>
      <w:r w:rsidRPr="003C0134">
        <w:t xml:space="preserve">abelling </w:t>
      </w:r>
      <w:r w:rsidR="00D23CD4">
        <w:t>s</w:t>
      </w:r>
      <w:r w:rsidRPr="003C0134">
        <w:t>cheme</w:t>
      </w:r>
      <w:bookmarkEnd w:id="3"/>
    </w:p>
    <w:p w14:paraId="74B19FD2" w14:textId="77777777" w:rsidR="00A35C2D" w:rsidRPr="00E10C18" w:rsidRDefault="00E10C18" w:rsidP="00E10C18">
      <w:pPr>
        <w:pStyle w:val="DHHSbody"/>
        <w:spacing w:after="80"/>
        <w:rPr>
          <w:color w:val="000000" w:themeColor="text1"/>
        </w:rPr>
      </w:pPr>
      <w:r w:rsidRPr="00E10C18">
        <w:rPr>
          <w:color w:val="000000" w:themeColor="text1"/>
        </w:rPr>
        <w:t xml:space="preserve">The following are the key objectives of the scheme: </w:t>
      </w:r>
    </w:p>
    <w:p w14:paraId="5D4D36D8" w14:textId="685D5DF7" w:rsidR="00E10C18" w:rsidRDefault="00E10C18" w:rsidP="00E10C18">
      <w:pPr>
        <w:pStyle w:val="DHHSbullet1"/>
        <w:spacing w:after="80"/>
      </w:pPr>
      <w:r>
        <w:t>provide consumers with consistent and transparent kilojoule information about food and drinks at point of sale in qualifying chain food outlets</w:t>
      </w:r>
    </w:p>
    <w:p w14:paraId="763DEA89" w14:textId="5C2DC435" w:rsidR="00E10C18" w:rsidRDefault="00E10C18" w:rsidP="00E10C18">
      <w:pPr>
        <w:pStyle w:val="DHHSbullet1"/>
        <w:spacing w:after="80"/>
      </w:pPr>
      <w:r>
        <w:t>allow consumers to compare relative kilojoule content of food and drinks for sale in qualifying chain food service outlets and between qualifying outlets</w:t>
      </w:r>
    </w:p>
    <w:p w14:paraId="405B8374" w14:textId="77777777" w:rsidR="00E10C18" w:rsidRDefault="00E10C18" w:rsidP="00C550D3">
      <w:pPr>
        <w:pStyle w:val="DHHSbullet1lastline"/>
      </w:pPr>
      <w:r>
        <w:t xml:space="preserve">improve consumers’ general awareness about the recommended daily kilojoule intake and how this contributes to maintaining a healthy weight. </w:t>
      </w:r>
    </w:p>
    <w:p w14:paraId="11CED262" w14:textId="77777777" w:rsidR="00730D50" w:rsidRPr="00991349" w:rsidRDefault="00C550D3" w:rsidP="00991349">
      <w:pPr>
        <w:pStyle w:val="Heading1"/>
      </w:pPr>
      <w:bookmarkStart w:id="4" w:name="_Toc75278953"/>
      <w:r w:rsidRPr="00991349">
        <w:t>4</w:t>
      </w:r>
      <w:r w:rsidR="00730D50" w:rsidRPr="00991349">
        <w:t>.</w:t>
      </w:r>
      <w:r w:rsidR="00FC37A6" w:rsidRPr="00991349">
        <w:t xml:space="preserve"> </w:t>
      </w:r>
      <w:r w:rsidR="00BB7164" w:rsidRPr="00991349">
        <w:t>B</w:t>
      </w:r>
      <w:r w:rsidR="00730D50" w:rsidRPr="00991349">
        <w:t xml:space="preserve">usinesses </w:t>
      </w:r>
      <w:r w:rsidR="00BB7164" w:rsidRPr="00991349">
        <w:t>that must comply with the scheme</w:t>
      </w:r>
      <w:bookmarkEnd w:id="4"/>
      <w:r w:rsidR="00C25E84" w:rsidRPr="00991349">
        <w:t xml:space="preserve"> </w:t>
      </w:r>
    </w:p>
    <w:p w14:paraId="4669B9E4" w14:textId="77777777" w:rsidR="00730D50" w:rsidRPr="00730D50" w:rsidRDefault="00730D50" w:rsidP="00BB7164">
      <w:pPr>
        <w:pStyle w:val="DHHSbody"/>
      </w:pPr>
      <w:r>
        <w:t xml:space="preserve">The scheme only applies to large ‘chain food premises’ and ‘large chain supermarkets’ that have </w:t>
      </w:r>
      <w:r w:rsidRPr="00730D50">
        <w:t>at least 20 registered outlets in Victoria or 50 outlets nationally with at least one outlet in Victoria.</w:t>
      </w:r>
    </w:p>
    <w:p w14:paraId="610D33D2" w14:textId="77777777" w:rsidR="00730D50" w:rsidRPr="00730D50" w:rsidRDefault="00730D50" w:rsidP="00BB7164">
      <w:pPr>
        <w:pStyle w:val="DHHSbody"/>
      </w:pPr>
      <w:r w:rsidRPr="00730D50">
        <w:t>These are chain food businesses and large chain supermarkets operating under:</w:t>
      </w:r>
    </w:p>
    <w:p w14:paraId="5289F0E1" w14:textId="77777777" w:rsidR="00442328" w:rsidRDefault="00730D50" w:rsidP="00BB7164">
      <w:pPr>
        <w:pStyle w:val="DHHSbullet1"/>
      </w:pPr>
      <w:r w:rsidRPr="00730D50">
        <w:t>franchise arrangements with a parent business</w:t>
      </w:r>
    </w:p>
    <w:p w14:paraId="10EACFAB" w14:textId="60EAB6FA" w:rsidR="00730D50" w:rsidRPr="00730D50" w:rsidRDefault="00730D50" w:rsidP="00BB7164">
      <w:pPr>
        <w:pStyle w:val="DHHSbullet1"/>
      </w:pPr>
      <w:r w:rsidRPr="00730D50">
        <w:t>the same trading name, brand or trademark</w:t>
      </w:r>
    </w:p>
    <w:p w14:paraId="1B2D8420" w14:textId="77777777" w:rsidR="00730D50" w:rsidRPr="00730D50" w:rsidRDefault="00730D50" w:rsidP="00BB7164">
      <w:pPr>
        <w:pStyle w:val="DHHSbullet1lastline"/>
      </w:pPr>
      <w:r w:rsidRPr="00730D50">
        <w:t xml:space="preserve">common ownership or control. </w:t>
      </w:r>
    </w:p>
    <w:p w14:paraId="3C329186" w14:textId="77777777" w:rsidR="00730D50" w:rsidRDefault="00730D50" w:rsidP="00520A9C">
      <w:pPr>
        <w:pStyle w:val="DHHSbody"/>
        <w:spacing w:after="80"/>
      </w:pPr>
      <w:r w:rsidRPr="004D4FE7">
        <w:t xml:space="preserve">In addition to the above, </w:t>
      </w:r>
      <w:r>
        <w:t xml:space="preserve">supermarket chains must have a floor area greater than 1,000 square metres. </w:t>
      </w:r>
    </w:p>
    <w:p w14:paraId="7B05899C" w14:textId="6F37984F" w:rsidR="00730D50" w:rsidRPr="00730D50" w:rsidRDefault="008D3D3D" w:rsidP="00A66E7E">
      <w:pPr>
        <w:pStyle w:val="DHHSbody"/>
        <w:spacing w:after="80"/>
        <w:rPr>
          <w:color w:val="000000"/>
        </w:rPr>
      </w:pPr>
      <w:r>
        <w:rPr>
          <w:color w:val="000000"/>
        </w:rPr>
        <w:t>U</w:t>
      </w:r>
      <w:r w:rsidRPr="00730D50">
        <w:rPr>
          <w:color w:val="000000"/>
        </w:rPr>
        <w:t xml:space="preserve">nder </w:t>
      </w:r>
      <w:r w:rsidR="00730D50" w:rsidRPr="00730D50">
        <w:rPr>
          <w:color w:val="000000"/>
        </w:rPr>
        <w:t>Section 18 of the Act</w:t>
      </w:r>
      <w:r>
        <w:rPr>
          <w:color w:val="000000"/>
        </w:rPr>
        <w:t>, the following categories of businesses are exempt from the scheme</w:t>
      </w:r>
      <w:r w:rsidR="00903ADF">
        <w:rPr>
          <w:color w:val="000000"/>
        </w:rPr>
        <w:t>:</w:t>
      </w:r>
      <w:r w:rsidR="008537D9">
        <w:rPr>
          <w:color w:val="000000"/>
        </w:rPr>
        <w:t xml:space="preserve"> </w:t>
      </w:r>
    </w:p>
    <w:p w14:paraId="1E7D0DE6" w14:textId="77777777" w:rsidR="00730D50" w:rsidRPr="00730D50" w:rsidRDefault="00730D50" w:rsidP="00BB7164">
      <w:pPr>
        <w:pStyle w:val="DHHSbullet1"/>
      </w:pPr>
      <w:r w:rsidRPr="00730D50">
        <w:t>any supermarket with a floor area of 1,000 square metres or less</w:t>
      </w:r>
    </w:p>
    <w:p w14:paraId="3E8AFD82" w14:textId="77777777" w:rsidR="00730D50" w:rsidRPr="00730D50" w:rsidRDefault="008D3D3D" w:rsidP="00BB7164">
      <w:pPr>
        <w:pStyle w:val="DHHSbullet1"/>
      </w:pPr>
      <w:r>
        <w:t>cinema candy bars</w:t>
      </w:r>
    </w:p>
    <w:p w14:paraId="752C2C9B" w14:textId="77777777" w:rsidR="00730D50" w:rsidRPr="00730D50" w:rsidRDefault="008D3D3D" w:rsidP="00BB7164">
      <w:pPr>
        <w:pStyle w:val="DHHSbullet1"/>
      </w:pPr>
      <w:r>
        <w:t>food catering services</w:t>
      </w:r>
    </w:p>
    <w:p w14:paraId="3AB821FB" w14:textId="77777777" w:rsidR="00730D50" w:rsidRPr="00730D50" w:rsidRDefault="008D3D3D" w:rsidP="00BB7164">
      <w:pPr>
        <w:pStyle w:val="DHHSbullet1"/>
      </w:pPr>
      <w:r>
        <w:t>temporary food businesses</w:t>
      </w:r>
    </w:p>
    <w:p w14:paraId="44FC74C6" w14:textId="77777777" w:rsidR="00730D50" w:rsidRPr="00730D50" w:rsidRDefault="008D3D3D" w:rsidP="00BB7164">
      <w:pPr>
        <w:pStyle w:val="DHHSbullet1"/>
      </w:pPr>
      <w:r>
        <w:t>mobile food businesses</w:t>
      </w:r>
    </w:p>
    <w:p w14:paraId="24189A8F" w14:textId="77777777" w:rsidR="00730D50" w:rsidRPr="00730D50" w:rsidRDefault="00730D50" w:rsidP="00BB7164">
      <w:pPr>
        <w:pStyle w:val="DHHSbullet1"/>
      </w:pPr>
      <w:r w:rsidRPr="00730D50">
        <w:t>service stations selling fue</w:t>
      </w:r>
      <w:r w:rsidR="008D3D3D">
        <w:t>l for motor vehicles</w:t>
      </w:r>
    </w:p>
    <w:p w14:paraId="5EEE367D" w14:textId="77777777" w:rsidR="00730D50" w:rsidRPr="00730D50" w:rsidRDefault="00730D50" w:rsidP="00BB7164">
      <w:pPr>
        <w:pStyle w:val="DHHSbullet1lastline"/>
      </w:pPr>
      <w:r w:rsidRPr="00730D50">
        <w:t xml:space="preserve">not-for-profit home delivery services, such as ‘meals on wheels’ services. </w:t>
      </w:r>
    </w:p>
    <w:p w14:paraId="73AD51BE" w14:textId="77777777" w:rsidR="00730D50" w:rsidRPr="00730D50" w:rsidRDefault="00730D50" w:rsidP="008D3D3D">
      <w:pPr>
        <w:pStyle w:val="DHHSbody"/>
      </w:pPr>
      <w:r w:rsidRPr="00730D50">
        <w:t xml:space="preserve">The following food items/categories are specifically excluded from displaying kJ information under sub-section 18C (2) of the Act: </w:t>
      </w:r>
    </w:p>
    <w:p w14:paraId="5B25DB49" w14:textId="77777777" w:rsidR="00730D50" w:rsidRPr="00730D50" w:rsidRDefault="00730D50" w:rsidP="008C5AC5">
      <w:pPr>
        <w:pStyle w:val="DHHSbullet1"/>
        <w:spacing w:before="40"/>
      </w:pPr>
      <w:r w:rsidRPr="00730D50">
        <w:t>nuts in the shell, or raw fruit and vegetables that are usually washed, p</w:t>
      </w:r>
      <w:r w:rsidR="008D3D3D">
        <w:t>eeled or hulled by the consumer</w:t>
      </w:r>
    </w:p>
    <w:p w14:paraId="565A63B3" w14:textId="77777777" w:rsidR="00730D50" w:rsidRPr="00730D50" w:rsidRDefault="008D3D3D" w:rsidP="008C5AC5">
      <w:pPr>
        <w:pStyle w:val="DHHSbullet1"/>
        <w:spacing w:before="40"/>
      </w:pPr>
      <w:r>
        <w:t>alcoholic beverages</w:t>
      </w:r>
    </w:p>
    <w:p w14:paraId="64AF9E3F" w14:textId="77777777" w:rsidR="00730D50" w:rsidRPr="00730D50" w:rsidRDefault="00730D50" w:rsidP="008C5AC5">
      <w:pPr>
        <w:pStyle w:val="DHHSbullet1"/>
        <w:spacing w:before="40"/>
      </w:pPr>
      <w:r w:rsidRPr="00730D50">
        <w:t>food that is available in a package on which there is a nutrition information panel within the mea</w:t>
      </w:r>
      <w:r w:rsidR="008D3D3D">
        <w:t>ning of the Australia New Zealand Food Standards Code</w:t>
      </w:r>
      <w:r w:rsidR="000D4658">
        <w:t xml:space="preserve"> (the Code)</w:t>
      </w:r>
    </w:p>
    <w:p w14:paraId="4056B705" w14:textId="77777777" w:rsidR="00730D50" w:rsidRPr="00730D50" w:rsidRDefault="00730D50" w:rsidP="008C5AC5">
      <w:pPr>
        <w:pStyle w:val="DHHSbullet1lastline"/>
        <w:spacing w:before="40" w:after="40"/>
      </w:pPr>
      <w:r w:rsidRPr="00730D50">
        <w:t xml:space="preserve">trial or promotional food items that are available for sale for 60 days or less, available only at five or less outlets, and which have not been offered previously. </w:t>
      </w:r>
    </w:p>
    <w:p w14:paraId="59B81661" w14:textId="77777777" w:rsidR="00730D50" w:rsidRPr="00991349" w:rsidRDefault="009C3D4B" w:rsidP="00991349">
      <w:pPr>
        <w:pStyle w:val="Heading1"/>
      </w:pPr>
      <w:bookmarkStart w:id="5" w:name="_Toc75278954"/>
      <w:r w:rsidRPr="00991349">
        <w:t>5</w:t>
      </w:r>
      <w:r w:rsidR="00730D50" w:rsidRPr="00991349">
        <w:t>.</w:t>
      </w:r>
      <w:r w:rsidR="00FC37A6" w:rsidRPr="00991349">
        <w:t xml:space="preserve"> </w:t>
      </w:r>
      <w:r w:rsidR="00730D50" w:rsidRPr="00991349">
        <w:t xml:space="preserve">Kilojoule </w:t>
      </w:r>
      <w:r w:rsidR="0034468F">
        <w:t>S</w:t>
      </w:r>
      <w:r w:rsidR="00730D50" w:rsidRPr="00991349">
        <w:t>ampling</w:t>
      </w:r>
      <w:r w:rsidR="004A5921" w:rsidRPr="00991349">
        <w:t xml:space="preserve"> </w:t>
      </w:r>
      <w:r w:rsidR="00730D50" w:rsidRPr="00991349">
        <w:t xml:space="preserve">and </w:t>
      </w:r>
      <w:r w:rsidR="00B87848" w:rsidRPr="00991349">
        <w:t xml:space="preserve">Menu </w:t>
      </w:r>
      <w:r w:rsidR="004A5921" w:rsidRPr="00991349">
        <w:t xml:space="preserve">Surveillance </w:t>
      </w:r>
      <w:r w:rsidR="00730D50" w:rsidRPr="00991349">
        <w:t>Program</w:t>
      </w:r>
      <w:r w:rsidR="004A5921" w:rsidRPr="00991349">
        <w:t>s</w:t>
      </w:r>
      <w:bookmarkEnd w:id="5"/>
    </w:p>
    <w:p w14:paraId="063F5FBC" w14:textId="77777777" w:rsidR="00574937" w:rsidRDefault="00574937" w:rsidP="0035449D">
      <w:pPr>
        <w:pStyle w:val="DHHSbody"/>
      </w:pPr>
      <w:r>
        <w:t xml:space="preserve">The Department of Health and Human Services (the </w:t>
      </w:r>
      <w:r w:rsidR="0034468F">
        <w:t>d</w:t>
      </w:r>
      <w:r>
        <w:t xml:space="preserve">epartment) is responsible for enforcing the scheme together with local councils. </w:t>
      </w:r>
    </w:p>
    <w:p w14:paraId="48485044" w14:textId="277A8464" w:rsidR="00574937" w:rsidRDefault="00EF7DCF" w:rsidP="0035449D">
      <w:pPr>
        <w:pStyle w:val="DHHSbody"/>
      </w:pPr>
      <w:r>
        <w:t xml:space="preserve">The </w:t>
      </w:r>
      <w:r w:rsidR="002C42A9">
        <w:t>d</w:t>
      </w:r>
      <w:r>
        <w:t xml:space="preserve">epartment ran two surveillance programs in parallel over the period of 2018 to 2019. These were the </w:t>
      </w:r>
      <w:r>
        <w:rPr>
          <w:b/>
        </w:rPr>
        <w:t xml:space="preserve">Kilojoule Sampling and Verification Program </w:t>
      </w:r>
      <w:r>
        <w:t xml:space="preserve">and the </w:t>
      </w:r>
      <w:r w:rsidRPr="00EF7DCF">
        <w:rPr>
          <w:b/>
        </w:rPr>
        <w:t>Kilojoule Menu Board Surveillance Program</w:t>
      </w:r>
      <w:r>
        <w:t xml:space="preserve">. </w:t>
      </w:r>
      <w:r w:rsidR="00614F04">
        <w:t xml:space="preserve">Both of these programs are explained in detail below. </w:t>
      </w:r>
    </w:p>
    <w:p w14:paraId="193C178C" w14:textId="77777777" w:rsidR="007816F6" w:rsidRPr="00991349" w:rsidRDefault="00332F8C" w:rsidP="00991349">
      <w:pPr>
        <w:pStyle w:val="Heading2"/>
      </w:pPr>
      <w:bookmarkStart w:id="6" w:name="_Toc75278955"/>
      <w:r w:rsidRPr="00991349">
        <w:t>5</w:t>
      </w:r>
      <w:r w:rsidR="00C00B52" w:rsidRPr="00991349">
        <w:t>.1</w:t>
      </w:r>
      <w:r w:rsidRPr="00991349">
        <w:t xml:space="preserve"> </w:t>
      </w:r>
      <w:r w:rsidR="007816F6" w:rsidRPr="00991349">
        <w:t xml:space="preserve">Kilojoule Menu </w:t>
      </w:r>
      <w:r w:rsidR="00F70944" w:rsidRPr="00991349">
        <w:t xml:space="preserve">Board </w:t>
      </w:r>
      <w:r w:rsidR="007816F6" w:rsidRPr="00991349">
        <w:t>Surveillance</w:t>
      </w:r>
      <w:r w:rsidRPr="00991349">
        <w:t xml:space="preserve"> </w:t>
      </w:r>
      <w:r w:rsidR="007816F6" w:rsidRPr="00991349">
        <w:t>Program</w:t>
      </w:r>
      <w:bookmarkEnd w:id="6"/>
    </w:p>
    <w:p w14:paraId="31601D58" w14:textId="21A29EAF" w:rsidR="007816F6" w:rsidRDefault="007816F6" w:rsidP="007816F6">
      <w:pPr>
        <w:pStyle w:val="DHHSbody"/>
      </w:pPr>
      <w:r>
        <w:t xml:space="preserve">The Kilojoule Menu Labelling Surveillance Program (the surveillance program) undertook an evaluation of the scheme in May and June 2018. This involved conducting surveillance at food businesses captured by the scheme, in addition to other businesses that display kJ information voluntarily. The evaluation was to determine a baseline level of compliance with the scheme since </w:t>
      </w:r>
      <w:r w:rsidR="00C36E0C">
        <w:t xml:space="preserve">its </w:t>
      </w:r>
      <w:r>
        <w:t>implementation</w:t>
      </w:r>
      <w:r w:rsidR="00844F0C">
        <w:t xml:space="preserve"> </w:t>
      </w:r>
      <w:r>
        <w:t>on 1</w:t>
      </w:r>
      <w:r w:rsidR="003F31B7">
        <w:t xml:space="preserve"> </w:t>
      </w:r>
      <w:r>
        <w:t xml:space="preserve">May 2018. </w:t>
      </w:r>
    </w:p>
    <w:p w14:paraId="4F527762" w14:textId="77777777" w:rsidR="00844F0C" w:rsidRPr="00D223FD" w:rsidRDefault="00844F0C" w:rsidP="007816F6">
      <w:pPr>
        <w:pStyle w:val="DHHSbody"/>
        <w:rPr>
          <w:color w:val="000000" w:themeColor="text1"/>
        </w:rPr>
      </w:pPr>
      <w:r w:rsidRPr="00D223FD">
        <w:rPr>
          <w:color w:val="000000" w:themeColor="text1"/>
        </w:rPr>
        <w:t xml:space="preserve">Further surveillance was conducted one year after the inception of the scheme to evaluate </w:t>
      </w:r>
      <w:r w:rsidR="00D3644C" w:rsidRPr="00D223FD">
        <w:rPr>
          <w:color w:val="000000" w:themeColor="text1"/>
        </w:rPr>
        <w:t xml:space="preserve">the compliance rate against the baseline data collected in the </w:t>
      </w:r>
      <w:r w:rsidR="005509AE" w:rsidRPr="00D223FD">
        <w:rPr>
          <w:color w:val="000000" w:themeColor="text1"/>
        </w:rPr>
        <w:t xml:space="preserve">first year. </w:t>
      </w:r>
      <w:r w:rsidR="004335FB" w:rsidRPr="00D223FD">
        <w:rPr>
          <w:color w:val="000000" w:themeColor="text1"/>
        </w:rPr>
        <w:t xml:space="preserve">Surveillance took place over the period between March and May 2019. </w:t>
      </w:r>
    </w:p>
    <w:p w14:paraId="29BAD035" w14:textId="77777777" w:rsidR="007816F6" w:rsidRDefault="007816F6" w:rsidP="007816F6">
      <w:pPr>
        <w:pStyle w:val="DHHSbody"/>
      </w:pPr>
      <w:r>
        <w:t>The surveillance program included checking that the kJ content for standard food items was being displayed correctly and checking that the statement</w:t>
      </w:r>
      <w:r w:rsidR="002F4DBA">
        <w:t>;</w:t>
      </w:r>
      <w:r w:rsidR="00BA2F9D">
        <w:t xml:space="preserve"> </w:t>
      </w:r>
      <w:r w:rsidR="00BA2F9D" w:rsidRPr="00A52F63">
        <w:t>‘T</w:t>
      </w:r>
      <w:r w:rsidRPr="00A52F63">
        <w:t>he average adult daily energy intake is 8,700 kJ’</w:t>
      </w:r>
      <w:r w:rsidR="00A52F63">
        <w:t xml:space="preserve"> </w:t>
      </w:r>
      <w:r>
        <w:t xml:space="preserve">was also being displayed correctly in the premises. </w:t>
      </w:r>
    </w:p>
    <w:p w14:paraId="7ED2406A" w14:textId="77777777" w:rsidR="007816F6" w:rsidRPr="003F3DBE" w:rsidRDefault="007816F6" w:rsidP="00991349">
      <w:pPr>
        <w:pStyle w:val="Heading3"/>
      </w:pPr>
      <w:r w:rsidRPr="003F3DBE">
        <w:t xml:space="preserve">How does the average kJ </w:t>
      </w:r>
      <w:r w:rsidRPr="00721FB7">
        <w:t>content</w:t>
      </w:r>
      <w:r w:rsidRPr="003F3DBE">
        <w:t xml:space="preserve"> for a standard food item need to be displayed?</w:t>
      </w:r>
    </w:p>
    <w:p w14:paraId="62FE276E" w14:textId="77777777" w:rsidR="007816F6" w:rsidRDefault="007816F6" w:rsidP="007816F6">
      <w:pPr>
        <w:pStyle w:val="DHHSbody"/>
      </w:pPr>
      <w:r>
        <w:t>kJ information must be:</w:t>
      </w:r>
    </w:p>
    <w:p w14:paraId="4B3B89CA" w14:textId="77777777" w:rsidR="007816F6" w:rsidRDefault="007816F6" w:rsidP="007816F6">
      <w:pPr>
        <w:pStyle w:val="DHHSbullet1"/>
      </w:pPr>
      <w:r>
        <w:t>expressed as kJ per item (but supermarkets can choose to display it as either per serve/item or per 100g)</w:t>
      </w:r>
    </w:p>
    <w:p w14:paraId="4621FAA0" w14:textId="77777777" w:rsidR="007816F6" w:rsidRDefault="007816F6" w:rsidP="007816F6">
      <w:pPr>
        <w:pStyle w:val="DHHSbullet1"/>
      </w:pPr>
      <w:r>
        <w:t>clearly legible</w:t>
      </w:r>
    </w:p>
    <w:p w14:paraId="2098A9B6" w14:textId="77777777" w:rsidR="007816F6" w:rsidRDefault="007816F6" w:rsidP="007816F6">
      <w:pPr>
        <w:pStyle w:val="DHHSbullet1"/>
      </w:pPr>
      <w:r>
        <w:t>displayed adjacent to, or in close proximity, to the name or price of the item</w:t>
      </w:r>
    </w:p>
    <w:p w14:paraId="1BB37FF0" w14:textId="77777777" w:rsidR="007816F6" w:rsidRDefault="007816F6" w:rsidP="007816F6">
      <w:pPr>
        <w:pStyle w:val="DHHSbullet1lastline"/>
      </w:pPr>
      <w:r>
        <w:t>displayed in at least the same font size as the price, or if no price is displayed, then as the name of the food item.</w:t>
      </w:r>
    </w:p>
    <w:p w14:paraId="503FE557" w14:textId="77777777" w:rsidR="007816F6" w:rsidRPr="003F3DBE" w:rsidRDefault="007816F6" w:rsidP="00991349">
      <w:pPr>
        <w:pStyle w:val="Heading3"/>
      </w:pPr>
      <w:r w:rsidRPr="003F3DBE">
        <w:t xml:space="preserve">How must the </w:t>
      </w:r>
      <w:proofErr w:type="gramStart"/>
      <w:r w:rsidRPr="003F3DBE">
        <w:t>8,700 kJ</w:t>
      </w:r>
      <w:proofErr w:type="gramEnd"/>
      <w:r w:rsidRPr="003F3DBE">
        <w:t xml:space="preserve"> </w:t>
      </w:r>
      <w:r w:rsidRPr="00721FB7">
        <w:t>reference</w:t>
      </w:r>
      <w:r w:rsidRPr="003F3DBE">
        <w:t xml:space="preserve"> statement be displayed? </w:t>
      </w:r>
    </w:p>
    <w:p w14:paraId="3E4E1B90" w14:textId="77777777" w:rsidR="007816F6" w:rsidRDefault="007816F6" w:rsidP="00721FB7">
      <w:pPr>
        <w:pStyle w:val="DHHSbody"/>
      </w:pPr>
      <w:r>
        <w:t xml:space="preserve">The reference statement must be: </w:t>
      </w:r>
    </w:p>
    <w:p w14:paraId="55843ECD" w14:textId="77777777" w:rsidR="007816F6" w:rsidRDefault="007816F6" w:rsidP="007816F6">
      <w:pPr>
        <w:pStyle w:val="DHHSbullet1"/>
      </w:pPr>
      <w:r>
        <w:t>clearly legible</w:t>
      </w:r>
    </w:p>
    <w:p w14:paraId="4D6A0FFF" w14:textId="77777777" w:rsidR="007816F6" w:rsidRDefault="007816F6" w:rsidP="007816F6">
      <w:pPr>
        <w:pStyle w:val="DHHSbullet1lastline"/>
      </w:pPr>
      <w:r>
        <w:t xml:space="preserve">in at least the same font size as the name of the standard food item with the largest font, or if no name is displayed, as the price of the item. </w:t>
      </w:r>
    </w:p>
    <w:p w14:paraId="78F47516" w14:textId="77777777" w:rsidR="007816F6" w:rsidRDefault="007816F6" w:rsidP="007816F6">
      <w:pPr>
        <w:pStyle w:val="DHHSbody"/>
      </w:pPr>
      <w:r>
        <w:t xml:space="preserve">The displayed reference statement must be: </w:t>
      </w:r>
    </w:p>
    <w:p w14:paraId="553CC9D2" w14:textId="77777777" w:rsidR="007816F6" w:rsidRDefault="007816F6" w:rsidP="003F3DBE">
      <w:pPr>
        <w:pStyle w:val="DHHSbullet1"/>
        <w:spacing w:after="120"/>
      </w:pPr>
      <w:r>
        <w:t>at least once in a prominent place on each menu that lists the standard food items</w:t>
      </w:r>
    </w:p>
    <w:p w14:paraId="18176ECF" w14:textId="77777777" w:rsidR="007816F6" w:rsidRDefault="007816F6" w:rsidP="007E0D22">
      <w:pPr>
        <w:pStyle w:val="DHHSbullet1"/>
        <w:spacing w:after="0"/>
      </w:pPr>
      <w:r>
        <w:t>for standard food items labelled and displayed in a cabinet, stand or area, in a prominent place, at least once, in or on that cabinet, stand or display area, so as to be clearly associated with the item(s).</w:t>
      </w:r>
      <w:r w:rsidR="000C0D0D">
        <w:t xml:space="preserve"> </w:t>
      </w:r>
    </w:p>
    <w:p w14:paraId="5602B5CB" w14:textId="19B90FB1" w:rsidR="009B1E6E" w:rsidRDefault="009B1E6E" w:rsidP="00907908">
      <w:pPr>
        <w:pStyle w:val="DHHSbullet1"/>
        <w:numPr>
          <w:ilvl w:val="0"/>
          <w:numId w:val="0"/>
        </w:numPr>
        <w:spacing w:before="120" w:after="120"/>
      </w:pPr>
      <w:r>
        <w:t xml:space="preserve">Assessments were conducted at food premises by officers of the department’s </w:t>
      </w:r>
      <w:r w:rsidR="00C36E0C">
        <w:t>S</w:t>
      </w:r>
      <w:r>
        <w:t xml:space="preserve">urveillance </w:t>
      </w:r>
      <w:r w:rsidR="00C36E0C">
        <w:t>P</w:t>
      </w:r>
      <w:r>
        <w:t xml:space="preserve">rogram (a part of the Food Safety Unit) and included checking menu boards, printed menus, food tags, food labels, posters, leaflets, price tickets within the store and take away menus. The surveillance program assessed the level of compliance with the scheme and identified whether there were any particular issues. </w:t>
      </w:r>
    </w:p>
    <w:p w14:paraId="4105083C" w14:textId="5EAB8360" w:rsidR="009B1E6E" w:rsidRDefault="00501D73" w:rsidP="00907908">
      <w:pPr>
        <w:pStyle w:val="DHHSbullet1"/>
        <w:numPr>
          <w:ilvl w:val="0"/>
          <w:numId w:val="0"/>
        </w:numPr>
        <w:spacing w:after="120"/>
      </w:pPr>
      <w:r>
        <w:t xml:space="preserve">Officers </w:t>
      </w:r>
      <w:r w:rsidR="00A17204">
        <w:t xml:space="preserve">visited 32 </w:t>
      </w:r>
      <w:r w:rsidR="00195C27">
        <w:t xml:space="preserve">different food business chains or franchises captured by the scheme over the 2018/2019 period. </w:t>
      </w:r>
      <w:r w:rsidR="00D0712A">
        <w:t xml:space="preserve">Businesses displaying kJ information voluntarily were not assessed and are therefore not within the scope of this report. </w:t>
      </w:r>
    </w:p>
    <w:p w14:paraId="7919B751" w14:textId="77777777" w:rsidR="00A918DE" w:rsidRDefault="00254CBD" w:rsidP="00D00E62">
      <w:pPr>
        <w:pStyle w:val="DHHSbullet1"/>
        <w:spacing w:after="80"/>
      </w:pPr>
      <w:r>
        <w:t xml:space="preserve">In the period between May and June 2018, a total of 48 food premises were </w:t>
      </w:r>
      <w:r w:rsidR="00F32283">
        <w:t xml:space="preserve">visited </w:t>
      </w:r>
      <w:r w:rsidR="00A918DE">
        <w:t>for kJ labelling assessment</w:t>
      </w:r>
      <w:r w:rsidR="00143870">
        <w:t>.</w:t>
      </w:r>
    </w:p>
    <w:p w14:paraId="6A9A903D" w14:textId="77777777" w:rsidR="009B1E6E" w:rsidRDefault="00A918DE" w:rsidP="00D00E62">
      <w:pPr>
        <w:pStyle w:val="DHHSbullet1"/>
        <w:spacing w:before="120" w:after="120"/>
      </w:pPr>
      <w:r>
        <w:t xml:space="preserve">In the period between </w:t>
      </w:r>
      <w:r w:rsidR="00530614" w:rsidRPr="00530614">
        <w:rPr>
          <w:color w:val="000000" w:themeColor="text1"/>
        </w:rPr>
        <w:t>March and May 2019,</w:t>
      </w:r>
      <w:r w:rsidR="00530614">
        <w:rPr>
          <w:color w:val="000000" w:themeColor="text1"/>
        </w:rPr>
        <w:t xml:space="preserve"> a total of 62 </w:t>
      </w:r>
      <w:r w:rsidR="00530614">
        <w:t xml:space="preserve">food premises were visited for kJ labelling assessment. </w:t>
      </w:r>
    </w:p>
    <w:p w14:paraId="469C7111" w14:textId="77777777" w:rsidR="008C5F24" w:rsidRDefault="008C5F24" w:rsidP="00E436BE">
      <w:pPr>
        <w:pStyle w:val="DHHSbullet1"/>
        <w:numPr>
          <w:ilvl w:val="0"/>
          <w:numId w:val="0"/>
        </w:numPr>
        <w:spacing w:before="240" w:after="240"/>
      </w:pPr>
      <w:r>
        <w:t xml:space="preserve">The following tables include the compliance rates for displaying the </w:t>
      </w:r>
      <w:r w:rsidRPr="00CB5C1D">
        <w:rPr>
          <w:b/>
        </w:rPr>
        <w:t>kJ content for standard food items</w:t>
      </w:r>
      <w:r>
        <w:t xml:space="preserve"> in food premises captured by the scheme. </w:t>
      </w:r>
    </w:p>
    <w:p w14:paraId="7AAA6B25" w14:textId="77777777" w:rsidR="00903FD9" w:rsidRPr="00BD6066" w:rsidRDefault="00903FD9" w:rsidP="00991349">
      <w:pPr>
        <w:pStyle w:val="Heading3"/>
      </w:pPr>
      <w:r w:rsidRPr="00BD6066">
        <w:t>Menu – kJ content in premises</w:t>
      </w:r>
    </w:p>
    <w:p w14:paraId="76DD5FB3" w14:textId="414C3B31" w:rsidR="00903FD9" w:rsidRPr="00474933" w:rsidRDefault="00C706B6" w:rsidP="00474933">
      <w:pPr>
        <w:pStyle w:val="DHHStablecaption"/>
      </w:pPr>
      <w:r>
        <w:t xml:space="preserve">Table 1: </w:t>
      </w:r>
      <w:r w:rsidR="00903FD9" w:rsidRPr="00474933">
        <w:t>Menu board – percentage complied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143870" w:rsidRPr="00C75F1B" w14:paraId="2F030616" w14:textId="77777777" w:rsidTr="002E3033">
        <w:trPr>
          <w:trHeight w:val="567"/>
        </w:trPr>
        <w:tc>
          <w:tcPr>
            <w:tcW w:w="1134" w:type="dxa"/>
            <w:shd w:val="clear" w:color="auto" w:fill="201547"/>
            <w:vAlign w:val="center"/>
          </w:tcPr>
          <w:p w14:paraId="25AD6092" w14:textId="77777777" w:rsidR="00CF285C" w:rsidRPr="00C75F1B" w:rsidRDefault="00CF285C" w:rsidP="00CF285C">
            <w:pPr>
              <w:pStyle w:val="DHHStablecolhead"/>
              <w:rPr>
                <w:color w:val="FFFFFF" w:themeColor="background1"/>
              </w:rPr>
            </w:pPr>
            <w:r>
              <w:rPr>
                <w:color w:val="FFFFFF" w:themeColor="background1"/>
              </w:rPr>
              <w:t>Year</w:t>
            </w:r>
          </w:p>
        </w:tc>
        <w:tc>
          <w:tcPr>
            <w:tcW w:w="1701" w:type="dxa"/>
            <w:shd w:val="clear" w:color="auto" w:fill="201547"/>
            <w:vAlign w:val="center"/>
          </w:tcPr>
          <w:p w14:paraId="075E9556" w14:textId="77777777" w:rsidR="00CF285C" w:rsidRPr="00C75F1B" w:rsidRDefault="00CF285C" w:rsidP="00143870">
            <w:pPr>
              <w:pStyle w:val="DHHStablecolhead"/>
              <w:jc w:val="center"/>
              <w:rPr>
                <w:color w:val="FFFFFF" w:themeColor="background1"/>
              </w:rPr>
            </w:pPr>
            <w:r w:rsidRPr="00C75F1B">
              <w:rPr>
                <w:color w:val="FFFFFF" w:themeColor="background1"/>
              </w:rPr>
              <w:t>Displayed</w:t>
            </w:r>
          </w:p>
        </w:tc>
        <w:tc>
          <w:tcPr>
            <w:tcW w:w="1701" w:type="dxa"/>
            <w:shd w:val="clear" w:color="auto" w:fill="201547"/>
            <w:vAlign w:val="center"/>
          </w:tcPr>
          <w:p w14:paraId="5293C4FB" w14:textId="77777777" w:rsidR="00CF285C" w:rsidRPr="00C75F1B" w:rsidRDefault="00CF285C" w:rsidP="00143870">
            <w:pPr>
              <w:pStyle w:val="DHHStablecolhead"/>
              <w:jc w:val="center"/>
              <w:rPr>
                <w:color w:val="FFFFFF" w:themeColor="background1"/>
              </w:rPr>
            </w:pPr>
            <w:r w:rsidRPr="00C75F1B">
              <w:rPr>
                <w:color w:val="FFFFFF" w:themeColor="background1"/>
              </w:rPr>
              <w:t>Legible</w:t>
            </w:r>
          </w:p>
        </w:tc>
        <w:tc>
          <w:tcPr>
            <w:tcW w:w="1701" w:type="dxa"/>
            <w:shd w:val="clear" w:color="auto" w:fill="201547"/>
            <w:vAlign w:val="center"/>
          </w:tcPr>
          <w:p w14:paraId="09F8A8A1" w14:textId="77777777" w:rsidR="00CF285C" w:rsidRPr="00C75F1B" w:rsidRDefault="00CF285C" w:rsidP="00143870">
            <w:pPr>
              <w:pStyle w:val="DHHStablecolhead"/>
              <w:jc w:val="center"/>
              <w:rPr>
                <w:color w:val="FFFFFF" w:themeColor="background1"/>
              </w:rPr>
            </w:pPr>
            <w:r w:rsidRPr="00C75F1B">
              <w:rPr>
                <w:color w:val="FFFFFF" w:themeColor="background1"/>
              </w:rPr>
              <w:t>Numerals &amp; kJ</w:t>
            </w:r>
          </w:p>
        </w:tc>
        <w:tc>
          <w:tcPr>
            <w:tcW w:w="1701" w:type="dxa"/>
            <w:shd w:val="clear" w:color="auto" w:fill="201547"/>
            <w:vAlign w:val="center"/>
          </w:tcPr>
          <w:p w14:paraId="2369DAFE" w14:textId="77777777" w:rsidR="00CF285C" w:rsidRPr="00C75F1B" w:rsidRDefault="00CF285C" w:rsidP="00143870">
            <w:pPr>
              <w:pStyle w:val="DHHStablecolhead"/>
              <w:jc w:val="center"/>
              <w:rPr>
                <w:color w:val="FFFFFF" w:themeColor="background1"/>
              </w:rPr>
            </w:pPr>
            <w:r w:rsidRPr="00C75F1B">
              <w:rPr>
                <w:color w:val="FFFFFF" w:themeColor="background1"/>
              </w:rPr>
              <w:t>Font size</w:t>
            </w:r>
          </w:p>
        </w:tc>
      </w:tr>
      <w:tr w:rsidR="00143870" w:rsidRPr="00BD1C0E" w14:paraId="03C45D66" w14:textId="77777777" w:rsidTr="002E3033">
        <w:trPr>
          <w:trHeight w:val="567"/>
        </w:trPr>
        <w:tc>
          <w:tcPr>
            <w:tcW w:w="1134" w:type="dxa"/>
            <w:vAlign w:val="center"/>
          </w:tcPr>
          <w:p w14:paraId="220D3C3B" w14:textId="77777777" w:rsidR="00CF285C" w:rsidRPr="00BD1C0E" w:rsidRDefault="00CF285C" w:rsidP="00CF285C">
            <w:pPr>
              <w:rPr>
                <w:rFonts w:ascii="Arial" w:hAnsi="Arial" w:cs="Arial"/>
                <w:b/>
                <w:bCs/>
                <w:color w:val="000000"/>
              </w:rPr>
            </w:pPr>
            <w:r>
              <w:rPr>
                <w:rFonts w:ascii="Arial" w:hAnsi="Arial" w:cs="Arial"/>
                <w:b/>
                <w:bCs/>
                <w:color w:val="000000"/>
              </w:rPr>
              <w:t>2018</w:t>
            </w:r>
          </w:p>
        </w:tc>
        <w:tc>
          <w:tcPr>
            <w:tcW w:w="1701" w:type="dxa"/>
            <w:vAlign w:val="center"/>
          </w:tcPr>
          <w:p w14:paraId="70CC6CC9" w14:textId="77777777" w:rsidR="00CF285C" w:rsidRPr="009E0B0F" w:rsidRDefault="00CF285C" w:rsidP="00CF285C">
            <w:pPr>
              <w:jc w:val="center"/>
              <w:rPr>
                <w:rFonts w:ascii="Arial" w:hAnsi="Arial" w:cs="Arial"/>
                <w:color w:val="000000"/>
              </w:rPr>
            </w:pPr>
            <w:r w:rsidRPr="009E0B0F">
              <w:rPr>
                <w:rFonts w:ascii="Arial" w:hAnsi="Arial" w:cs="Arial"/>
                <w:color w:val="000000"/>
              </w:rPr>
              <w:t>82.1</w:t>
            </w:r>
          </w:p>
        </w:tc>
        <w:tc>
          <w:tcPr>
            <w:tcW w:w="1701" w:type="dxa"/>
            <w:vAlign w:val="center"/>
          </w:tcPr>
          <w:p w14:paraId="6D76548D" w14:textId="77777777" w:rsidR="00CF285C" w:rsidRPr="009E0B0F" w:rsidRDefault="00CF285C" w:rsidP="00CF285C">
            <w:pPr>
              <w:jc w:val="center"/>
              <w:rPr>
                <w:rFonts w:ascii="Arial" w:hAnsi="Arial" w:cs="Arial"/>
                <w:color w:val="000000"/>
              </w:rPr>
            </w:pPr>
            <w:r w:rsidRPr="009E0B0F">
              <w:rPr>
                <w:rFonts w:ascii="Arial" w:hAnsi="Arial" w:cs="Arial"/>
                <w:color w:val="000000"/>
              </w:rPr>
              <w:t>100.0</w:t>
            </w:r>
          </w:p>
        </w:tc>
        <w:tc>
          <w:tcPr>
            <w:tcW w:w="1701" w:type="dxa"/>
            <w:vAlign w:val="center"/>
          </w:tcPr>
          <w:p w14:paraId="6F969709" w14:textId="77777777" w:rsidR="00CF285C" w:rsidRPr="009E0B0F" w:rsidRDefault="00CF285C" w:rsidP="00CF285C">
            <w:pPr>
              <w:jc w:val="center"/>
              <w:rPr>
                <w:rFonts w:ascii="Arial" w:hAnsi="Arial" w:cs="Arial"/>
                <w:color w:val="000000"/>
              </w:rPr>
            </w:pPr>
            <w:r w:rsidRPr="009E0B0F">
              <w:rPr>
                <w:rFonts w:ascii="Arial" w:hAnsi="Arial" w:cs="Arial"/>
                <w:color w:val="000000"/>
              </w:rPr>
              <w:t>100.0</w:t>
            </w:r>
          </w:p>
        </w:tc>
        <w:tc>
          <w:tcPr>
            <w:tcW w:w="1701" w:type="dxa"/>
            <w:vAlign w:val="center"/>
          </w:tcPr>
          <w:p w14:paraId="7F2D312C" w14:textId="77777777" w:rsidR="00CF285C" w:rsidRPr="009E0B0F" w:rsidRDefault="00CF285C" w:rsidP="00CF285C">
            <w:pPr>
              <w:jc w:val="center"/>
              <w:rPr>
                <w:rFonts w:ascii="Arial" w:hAnsi="Arial" w:cs="Arial"/>
                <w:color w:val="000000"/>
              </w:rPr>
            </w:pPr>
            <w:r w:rsidRPr="009E0B0F">
              <w:rPr>
                <w:rFonts w:ascii="Arial" w:hAnsi="Arial" w:cs="Arial"/>
                <w:color w:val="000000"/>
              </w:rPr>
              <w:t>74.0</w:t>
            </w:r>
          </w:p>
        </w:tc>
      </w:tr>
      <w:tr w:rsidR="00143870" w:rsidRPr="00BD1C0E" w14:paraId="246686AB" w14:textId="77777777" w:rsidTr="002E3033">
        <w:trPr>
          <w:trHeight w:val="567"/>
        </w:trPr>
        <w:tc>
          <w:tcPr>
            <w:tcW w:w="1134" w:type="dxa"/>
            <w:vAlign w:val="center"/>
          </w:tcPr>
          <w:p w14:paraId="1F3FC1A3" w14:textId="77777777" w:rsidR="00CF285C" w:rsidRDefault="00CF285C" w:rsidP="00CF285C">
            <w:pPr>
              <w:rPr>
                <w:rFonts w:ascii="Arial" w:hAnsi="Arial" w:cs="Arial"/>
                <w:b/>
                <w:bCs/>
                <w:color w:val="000000"/>
              </w:rPr>
            </w:pPr>
            <w:r>
              <w:rPr>
                <w:rFonts w:ascii="Arial" w:hAnsi="Arial" w:cs="Arial"/>
                <w:b/>
                <w:bCs/>
                <w:color w:val="000000"/>
              </w:rPr>
              <w:t>2019</w:t>
            </w:r>
          </w:p>
        </w:tc>
        <w:tc>
          <w:tcPr>
            <w:tcW w:w="1701" w:type="dxa"/>
            <w:vAlign w:val="center"/>
          </w:tcPr>
          <w:p w14:paraId="6BF44ACD" w14:textId="77777777" w:rsidR="00CF285C" w:rsidRPr="009E0B0F" w:rsidRDefault="00CF285C" w:rsidP="00CF285C">
            <w:pPr>
              <w:jc w:val="center"/>
              <w:rPr>
                <w:rFonts w:ascii="Arial" w:hAnsi="Arial" w:cs="Arial"/>
                <w:color w:val="000000"/>
              </w:rPr>
            </w:pPr>
            <w:r w:rsidRPr="009E0B0F">
              <w:rPr>
                <w:rFonts w:ascii="Arial" w:hAnsi="Arial" w:cs="Arial"/>
                <w:color w:val="000000"/>
              </w:rPr>
              <w:t>100.0</w:t>
            </w:r>
          </w:p>
        </w:tc>
        <w:tc>
          <w:tcPr>
            <w:tcW w:w="1701" w:type="dxa"/>
            <w:vAlign w:val="center"/>
          </w:tcPr>
          <w:p w14:paraId="15E68A58" w14:textId="77777777" w:rsidR="00CF285C" w:rsidRPr="009E0B0F" w:rsidRDefault="00CF285C" w:rsidP="00CF285C">
            <w:pPr>
              <w:jc w:val="center"/>
              <w:rPr>
                <w:rFonts w:ascii="Arial" w:hAnsi="Arial" w:cs="Arial"/>
                <w:color w:val="000000"/>
              </w:rPr>
            </w:pPr>
            <w:r w:rsidRPr="009E0B0F">
              <w:rPr>
                <w:rFonts w:ascii="Arial" w:hAnsi="Arial" w:cs="Arial"/>
                <w:color w:val="000000"/>
              </w:rPr>
              <w:t>95.2</w:t>
            </w:r>
          </w:p>
        </w:tc>
        <w:tc>
          <w:tcPr>
            <w:tcW w:w="1701" w:type="dxa"/>
            <w:vAlign w:val="center"/>
          </w:tcPr>
          <w:p w14:paraId="48560CCA" w14:textId="77777777" w:rsidR="00CF285C" w:rsidRPr="009E0B0F" w:rsidRDefault="00CF285C" w:rsidP="00CF285C">
            <w:pPr>
              <w:jc w:val="center"/>
              <w:rPr>
                <w:rFonts w:ascii="Arial" w:hAnsi="Arial" w:cs="Arial"/>
                <w:color w:val="000000"/>
              </w:rPr>
            </w:pPr>
            <w:r w:rsidRPr="009E0B0F">
              <w:rPr>
                <w:rFonts w:ascii="Arial" w:hAnsi="Arial" w:cs="Arial"/>
                <w:color w:val="000000"/>
              </w:rPr>
              <w:t>90.5</w:t>
            </w:r>
          </w:p>
        </w:tc>
        <w:tc>
          <w:tcPr>
            <w:tcW w:w="1701" w:type="dxa"/>
            <w:vAlign w:val="center"/>
          </w:tcPr>
          <w:p w14:paraId="28356B6A" w14:textId="77777777" w:rsidR="00CF285C" w:rsidRPr="009E0B0F" w:rsidRDefault="00CF285C" w:rsidP="00CF285C">
            <w:pPr>
              <w:jc w:val="center"/>
              <w:rPr>
                <w:rFonts w:ascii="Arial" w:hAnsi="Arial" w:cs="Arial"/>
                <w:color w:val="000000"/>
              </w:rPr>
            </w:pPr>
            <w:r w:rsidRPr="009E0B0F">
              <w:rPr>
                <w:rFonts w:ascii="Arial" w:hAnsi="Arial" w:cs="Arial"/>
                <w:color w:val="000000"/>
              </w:rPr>
              <w:t>76.2</w:t>
            </w:r>
          </w:p>
        </w:tc>
      </w:tr>
    </w:tbl>
    <w:p w14:paraId="4C3EA4F6" w14:textId="52B4AED2" w:rsidR="00C706B6" w:rsidRDefault="00C706B6" w:rsidP="00C706B6">
      <w:pPr>
        <w:pStyle w:val="DHHSbullet1"/>
        <w:numPr>
          <w:ilvl w:val="0"/>
          <w:numId w:val="0"/>
        </w:numPr>
        <w:spacing w:before="120" w:after="120"/>
      </w:pPr>
      <w:r>
        <w:rPr>
          <w:noProof/>
        </w:rPr>
        <w:drawing>
          <wp:inline distT="0" distB="0" distL="0" distR="0" wp14:anchorId="78A37F22" wp14:editId="57639824">
            <wp:extent cx="5364480" cy="2639568"/>
            <wp:effectExtent l="0" t="0" r="7620" b="889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1"/>
                    <a:stretch>
                      <a:fillRect/>
                    </a:stretch>
                  </pic:blipFill>
                  <pic:spPr>
                    <a:xfrm>
                      <a:off x="0" y="0"/>
                      <a:ext cx="5364480" cy="2639568"/>
                    </a:xfrm>
                    <a:prstGeom prst="rect">
                      <a:avLst/>
                    </a:prstGeom>
                  </pic:spPr>
                </pic:pic>
              </a:graphicData>
            </a:graphic>
          </wp:inline>
        </w:drawing>
      </w:r>
    </w:p>
    <w:p w14:paraId="5DA05460" w14:textId="31E24F3C" w:rsidR="00436D72" w:rsidRPr="00474933" w:rsidRDefault="00C706B6" w:rsidP="00474933">
      <w:pPr>
        <w:pStyle w:val="DHHStablecaption"/>
      </w:pPr>
      <w:r>
        <w:t xml:space="preserve">Table 2: </w:t>
      </w:r>
      <w:r w:rsidR="00436D72" w:rsidRPr="00474933">
        <w:t>Menu printed – percentage complied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CF285C" w:rsidRPr="002F7E07" w14:paraId="3EA83454" w14:textId="77777777" w:rsidTr="002E3033">
        <w:trPr>
          <w:trHeight w:val="567"/>
          <w:tblHeader/>
        </w:trPr>
        <w:tc>
          <w:tcPr>
            <w:tcW w:w="1134" w:type="dxa"/>
            <w:shd w:val="clear" w:color="auto" w:fill="201547"/>
            <w:vAlign w:val="center"/>
          </w:tcPr>
          <w:p w14:paraId="6AD1BF83" w14:textId="77777777" w:rsidR="00CF285C" w:rsidRPr="002F7E07" w:rsidRDefault="00CF285C" w:rsidP="00143870">
            <w:pPr>
              <w:pStyle w:val="DHHStablecolhead"/>
              <w:rPr>
                <w:color w:val="FFFFFF" w:themeColor="background1"/>
              </w:rPr>
            </w:pPr>
            <w:r>
              <w:rPr>
                <w:color w:val="FFFFFF" w:themeColor="background1"/>
              </w:rPr>
              <w:t>Year</w:t>
            </w:r>
          </w:p>
        </w:tc>
        <w:tc>
          <w:tcPr>
            <w:tcW w:w="1701" w:type="dxa"/>
            <w:shd w:val="clear" w:color="auto" w:fill="201547"/>
            <w:vAlign w:val="center"/>
          </w:tcPr>
          <w:p w14:paraId="0BAD003A" w14:textId="77777777" w:rsidR="00CF285C" w:rsidRPr="002F7E07" w:rsidRDefault="00CF285C" w:rsidP="00143870">
            <w:pPr>
              <w:pStyle w:val="DHHStablecolhead"/>
              <w:jc w:val="center"/>
              <w:rPr>
                <w:color w:val="FFFFFF" w:themeColor="background1"/>
              </w:rPr>
            </w:pPr>
            <w:r w:rsidRPr="002F7E07">
              <w:rPr>
                <w:color w:val="FFFFFF" w:themeColor="background1"/>
              </w:rPr>
              <w:t>Displayed</w:t>
            </w:r>
          </w:p>
        </w:tc>
        <w:tc>
          <w:tcPr>
            <w:tcW w:w="1701" w:type="dxa"/>
            <w:shd w:val="clear" w:color="auto" w:fill="201547"/>
            <w:vAlign w:val="center"/>
          </w:tcPr>
          <w:p w14:paraId="06EE5976" w14:textId="77777777" w:rsidR="00CF285C" w:rsidRPr="002F7E07" w:rsidRDefault="00CF285C" w:rsidP="00143870">
            <w:pPr>
              <w:pStyle w:val="DHHStablecolhead"/>
              <w:jc w:val="center"/>
              <w:rPr>
                <w:color w:val="FFFFFF" w:themeColor="background1"/>
              </w:rPr>
            </w:pPr>
            <w:r w:rsidRPr="002F7E07">
              <w:rPr>
                <w:color w:val="FFFFFF" w:themeColor="background1"/>
              </w:rPr>
              <w:t>Legible</w:t>
            </w:r>
          </w:p>
        </w:tc>
        <w:tc>
          <w:tcPr>
            <w:tcW w:w="1701" w:type="dxa"/>
            <w:shd w:val="clear" w:color="auto" w:fill="201547"/>
            <w:vAlign w:val="center"/>
          </w:tcPr>
          <w:p w14:paraId="00EAB3AD" w14:textId="77777777" w:rsidR="00CF285C" w:rsidRPr="002F7E07" w:rsidRDefault="00CF285C" w:rsidP="00143870">
            <w:pPr>
              <w:pStyle w:val="DHHStablecolhead"/>
              <w:jc w:val="center"/>
              <w:rPr>
                <w:color w:val="FFFFFF" w:themeColor="background1"/>
              </w:rPr>
            </w:pPr>
            <w:r w:rsidRPr="002F7E07">
              <w:rPr>
                <w:color w:val="FFFFFF" w:themeColor="background1"/>
              </w:rPr>
              <w:t>Numerals &amp; kJ</w:t>
            </w:r>
          </w:p>
        </w:tc>
        <w:tc>
          <w:tcPr>
            <w:tcW w:w="1701" w:type="dxa"/>
            <w:shd w:val="clear" w:color="auto" w:fill="201547"/>
            <w:vAlign w:val="center"/>
          </w:tcPr>
          <w:p w14:paraId="46FBA2FA" w14:textId="77777777" w:rsidR="00CF285C" w:rsidRPr="002F7E07" w:rsidRDefault="00CF285C" w:rsidP="00143870">
            <w:pPr>
              <w:pStyle w:val="DHHStablecolhead"/>
              <w:jc w:val="center"/>
              <w:rPr>
                <w:color w:val="FFFFFF" w:themeColor="background1"/>
              </w:rPr>
            </w:pPr>
            <w:r w:rsidRPr="002F7E07">
              <w:rPr>
                <w:color w:val="FFFFFF" w:themeColor="background1"/>
              </w:rPr>
              <w:t>Font size</w:t>
            </w:r>
          </w:p>
        </w:tc>
      </w:tr>
      <w:tr w:rsidR="00CF285C" w:rsidRPr="00BD1C0E" w14:paraId="0D48535D" w14:textId="77777777" w:rsidTr="00143870">
        <w:trPr>
          <w:trHeight w:val="567"/>
        </w:trPr>
        <w:tc>
          <w:tcPr>
            <w:tcW w:w="1134" w:type="dxa"/>
            <w:vAlign w:val="center"/>
          </w:tcPr>
          <w:p w14:paraId="55EC41D9" w14:textId="77777777" w:rsidR="00CF285C" w:rsidRPr="00BD1C0E" w:rsidRDefault="00CF285C" w:rsidP="00143870">
            <w:pPr>
              <w:pStyle w:val="DHHStabletext6pt"/>
              <w:rPr>
                <w:rFonts w:cs="Arial"/>
                <w:b/>
                <w:bCs/>
                <w:color w:val="000000"/>
              </w:rPr>
            </w:pPr>
            <w:r>
              <w:rPr>
                <w:rFonts w:cs="Arial"/>
                <w:b/>
                <w:bCs/>
                <w:color w:val="000000"/>
              </w:rPr>
              <w:t>2018</w:t>
            </w:r>
          </w:p>
        </w:tc>
        <w:tc>
          <w:tcPr>
            <w:tcW w:w="1701" w:type="dxa"/>
            <w:vAlign w:val="center"/>
          </w:tcPr>
          <w:p w14:paraId="63A6F8AC" w14:textId="77777777" w:rsidR="00CF285C" w:rsidRPr="009E0B0F" w:rsidRDefault="00CF285C" w:rsidP="00143870">
            <w:pPr>
              <w:pStyle w:val="DHHStabletext6pt"/>
              <w:jc w:val="center"/>
              <w:rPr>
                <w:rFonts w:cs="Arial"/>
                <w:color w:val="000000"/>
              </w:rPr>
            </w:pPr>
            <w:r w:rsidRPr="009E0B0F">
              <w:rPr>
                <w:rFonts w:cs="Arial"/>
                <w:color w:val="000000"/>
              </w:rPr>
              <w:t>75.0</w:t>
            </w:r>
          </w:p>
        </w:tc>
        <w:tc>
          <w:tcPr>
            <w:tcW w:w="1701" w:type="dxa"/>
            <w:vAlign w:val="center"/>
          </w:tcPr>
          <w:p w14:paraId="179ECC55" w14:textId="77777777" w:rsidR="00CF285C" w:rsidRPr="009E0B0F" w:rsidRDefault="00CF285C" w:rsidP="00143870">
            <w:pPr>
              <w:pStyle w:val="DHHStabletext6pt"/>
              <w:jc w:val="center"/>
              <w:rPr>
                <w:rFonts w:cs="Arial"/>
                <w:color w:val="000000"/>
              </w:rPr>
            </w:pPr>
            <w:r w:rsidRPr="009E0B0F">
              <w:rPr>
                <w:rFonts w:cs="Arial"/>
                <w:color w:val="000000"/>
              </w:rPr>
              <w:t>100.0</w:t>
            </w:r>
          </w:p>
        </w:tc>
        <w:tc>
          <w:tcPr>
            <w:tcW w:w="1701" w:type="dxa"/>
            <w:vAlign w:val="center"/>
          </w:tcPr>
          <w:p w14:paraId="4211974B" w14:textId="77777777" w:rsidR="00CF285C" w:rsidRPr="009E0B0F" w:rsidRDefault="00CF285C" w:rsidP="00143870">
            <w:pPr>
              <w:pStyle w:val="DHHStabletext6pt"/>
              <w:jc w:val="center"/>
              <w:rPr>
                <w:rFonts w:cs="Arial"/>
                <w:color w:val="000000"/>
              </w:rPr>
            </w:pPr>
            <w:r w:rsidRPr="009E0B0F">
              <w:rPr>
                <w:rFonts w:cs="Arial"/>
                <w:color w:val="000000"/>
              </w:rPr>
              <w:t>100.0</w:t>
            </w:r>
          </w:p>
        </w:tc>
        <w:tc>
          <w:tcPr>
            <w:tcW w:w="1701" w:type="dxa"/>
            <w:vAlign w:val="center"/>
          </w:tcPr>
          <w:p w14:paraId="37E5FDDA" w14:textId="77777777" w:rsidR="00CF285C" w:rsidRPr="009E0B0F" w:rsidRDefault="00CF285C" w:rsidP="00143870">
            <w:pPr>
              <w:pStyle w:val="DHHStabletext6pt"/>
              <w:jc w:val="center"/>
              <w:rPr>
                <w:rFonts w:cs="Arial"/>
                <w:color w:val="000000"/>
              </w:rPr>
            </w:pPr>
            <w:r w:rsidRPr="009E0B0F">
              <w:rPr>
                <w:rFonts w:cs="Arial"/>
                <w:color w:val="000000"/>
              </w:rPr>
              <w:t>100.0</w:t>
            </w:r>
          </w:p>
        </w:tc>
      </w:tr>
      <w:tr w:rsidR="00CF285C" w:rsidRPr="00BD1C0E" w14:paraId="7F1EE023" w14:textId="77777777" w:rsidTr="00143870">
        <w:trPr>
          <w:trHeight w:val="567"/>
        </w:trPr>
        <w:tc>
          <w:tcPr>
            <w:tcW w:w="1134" w:type="dxa"/>
            <w:vAlign w:val="center"/>
          </w:tcPr>
          <w:p w14:paraId="2AB2CEFC" w14:textId="77777777" w:rsidR="00CF285C" w:rsidRPr="00BD1C0E" w:rsidRDefault="00CF285C" w:rsidP="00143870">
            <w:pPr>
              <w:pStyle w:val="DHHStabletext6pt"/>
              <w:rPr>
                <w:rFonts w:cs="Arial"/>
                <w:b/>
                <w:bCs/>
                <w:color w:val="000000"/>
              </w:rPr>
            </w:pPr>
            <w:r>
              <w:rPr>
                <w:rFonts w:cs="Arial"/>
                <w:b/>
                <w:bCs/>
                <w:color w:val="000000"/>
              </w:rPr>
              <w:t>2019</w:t>
            </w:r>
          </w:p>
        </w:tc>
        <w:tc>
          <w:tcPr>
            <w:tcW w:w="1701" w:type="dxa"/>
            <w:vAlign w:val="center"/>
          </w:tcPr>
          <w:p w14:paraId="28BB55DE" w14:textId="77777777" w:rsidR="00CF285C" w:rsidRPr="009E0B0F" w:rsidRDefault="00CF285C" w:rsidP="00143870">
            <w:pPr>
              <w:pStyle w:val="DHHStabletext6pt"/>
              <w:jc w:val="center"/>
              <w:rPr>
                <w:rFonts w:cs="Arial"/>
                <w:color w:val="000000"/>
              </w:rPr>
            </w:pPr>
            <w:r w:rsidRPr="009E0B0F">
              <w:rPr>
                <w:rFonts w:cs="Arial"/>
                <w:color w:val="000000"/>
              </w:rPr>
              <w:t>100.0</w:t>
            </w:r>
          </w:p>
        </w:tc>
        <w:tc>
          <w:tcPr>
            <w:tcW w:w="1701" w:type="dxa"/>
            <w:vAlign w:val="center"/>
          </w:tcPr>
          <w:p w14:paraId="35D9E198" w14:textId="77777777" w:rsidR="00CF285C" w:rsidRPr="009E0B0F" w:rsidRDefault="00CF285C" w:rsidP="00143870">
            <w:pPr>
              <w:pStyle w:val="DHHStabletext6pt"/>
              <w:jc w:val="center"/>
              <w:rPr>
                <w:rFonts w:cs="Arial"/>
                <w:color w:val="000000"/>
              </w:rPr>
            </w:pPr>
            <w:r w:rsidRPr="009E0B0F">
              <w:rPr>
                <w:rFonts w:cs="Arial"/>
                <w:color w:val="000000"/>
              </w:rPr>
              <w:t>100.0</w:t>
            </w:r>
          </w:p>
        </w:tc>
        <w:tc>
          <w:tcPr>
            <w:tcW w:w="1701" w:type="dxa"/>
            <w:vAlign w:val="center"/>
          </w:tcPr>
          <w:p w14:paraId="02B043B0" w14:textId="77777777" w:rsidR="00CF285C" w:rsidRPr="009E0B0F" w:rsidRDefault="00CF285C" w:rsidP="00143870">
            <w:pPr>
              <w:pStyle w:val="DHHStabletext6pt"/>
              <w:jc w:val="center"/>
              <w:rPr>
                <w:rFonts w:cs="Arial"/>
                <w:color w:val="000000"/>
              </w:rPr>
            </w:pPr>
            <w:r w:rsidRPr="009E0B0F">
              <w:rPr>
                <w:rFonts w:cs="Arial"/>
                <w:color w:val="000000"/>
              </w:rPr>
              <w:t>100.0</w:t>
            </w:r>
          </w:p>
        </w:tc>
        <w:tc>
          <w:tcPr>
            <w:tcW w:w="1701" w:type="dxa"/>
            <w:vAlign w:val="center"/>
          </w:tcPr>
          <w:p w14:paraId="3F2164A5" w14:textId="77777777" w:rsidR="00CF285C" w:rsidRPr="009E0B0F" w:rsidRDefault="00CF285C" w:rsidP="00143870">
            <w:pPr>
              <w:pStyle w:val="DHHStabletext6pt"/>
              <w:jc w:val="center"/>
              <w:rPr>
                <w:rFonts w:cs="Arial"/>
                <w:color w:val="000000"/>
              </w:rPr>
            </w:pPr>
            <w:r w:rsidRPr="009E0B0F">
              <w:rPr>
                <w:rFonts w:cs="Arial"/>
                <w:color w:val="000000"/>
              </w:rPr>
              <w:t>100.0</w:t>
            </w:r>
          </w:p>
        </w:tc>
      </w:tr>
    </w:tbl>
    <w:p w14:paraId="5E899985" w14:textId="2771CE3E" w:rsidR="00474933" w:rsidRDefault="006A5A9B">
      <w:r>
        <w:rPr>
          <w:noProof/>
        </w:rPr>
        <w:drawing>
          <wp:inline distT="0" distB="0" distL="0" distR="0" wp14:anchorId="5401E741" wp14:editId="7372E3B5">
            <wp:extent cx="5371042" cy="2975106"/>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a:stretch>
                      <a:fillRect/>
                    </a:stretch>
                  </pic:blipFill>
                  <pic:spPr>
                    <a:xfrm>
                      <a:off x="0" y="0"/>
                      <a:ext cx="5371042" cy="2975106"/>
                    </a:xfrm>
                    <a:prstGeom prst="rect">
                      <a:avLst/>
                    </a:prstGeom>
                  </pic:spPr>
                </pic:pic>
              </a:graphicData>
            </a:graphic>
          </wp:inline>
        </w:drawing>
      </w:r>
    </w:p>
    <w:p w14:paraId="4EBFEA21" w14:textId="656428FF" w:rsidR="002348A6" w:rsidRPr="00474933" w:rsidRDefault="006A5A9B" w:rsidP="00474933">
      <w:pPr>
        <w:pStyle w:val="DHHStablecaption"/>
      </w:pPr>
      <w:r>
        <w:t>Table</w:t>
      </w:r>
      <w:r w:rsidR="00C706B6">
        <w:t xml:space="preserve"> 3: </w:t>
      </w:r>
      <w:r w:rsidR="002348A6" w:rsidRPr="00474933">
        <w:t>Menu poster – percentage complie</w:t>
      </w:r>
      <w:r w:rsidR="003E17FC">
        <w:t>d</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34"/>
        <w:gridCol w:w="1701"/>
        <w:gridCol w:w="1701"/>
        <w:gridCol w:w="1701"/>
        <w:gridCol w:w="1701"/>
      </w:tblGrid>
      <w:tr w:rsidR="00CF285C" w:rsidRPr="0031717D" w14:paraId="265009B3" w14:textId="77777777" w:rsidTr="002E3033">
        <w:trPr>
          <w:trHeight w:val="567"/>
        </w:trPr>
        <w:tc>
          <w:tcPr>
            <w:tcW w:w="1134" w:type="dxa"/>
            <w:shd w:val="clear" w:color="auto" w:fill="201547"/>
            <w:vAlign w:val="center"/>
          </w:tcPr>
          <w:p w14:paraId="3385C97C" w14:textId="77777777" w:rsidR="00CF285C" w:rsidRPr="0031717D" w:rsidRDefault="00CF285C" w:rsidP="00143870">
            <w:pPr>
              <w:pStyle w:val="DHHStablecolhead"/>
              <w:rPr>
                <w:color w:val="FFFFFF"/>
              </w:rPr>
            </w:pPr>
            <w:r>
              <w:rPr>
                <w:color w:val="FFFFFF"/>
              </w:rPr>
              <w:t>Year</w:t>
            </w:r>
          </w:p>
        </w:tc>
        <w:tc>
          <w:tcPr>
            <w:tcW w:w="1701" w:type="dxa"/>
            <w:shd w:val="clear" w:color="auto" w:fill="201547"/>
            <w:vAlign w:val="center"/>
          </w:tcPr>
          <w:p w14:paraId="2E8F5731" w14:textId="77777777" w:rsidR="00CF285C" w:rsidRPr="0031717D" w:rsidRDefault="00CF285C" w:rsidP="00832E0A">
            <w:pPr>
              <w:pStyle w:val="DHHStablecolhead"/>
              <w:jc w:val="center"/>
              <w:rPr>
                <w:color w:val="FFFFFF"/>
              </w:rPr>
            </w:pPr>
            <w:r w:rsidRPr="0031717D">
              <w:rPr>
                <w:color w:val="FFFFFF"/>
              </w:rPr>
              <w:t>Displayed</w:t>
            </w:r>
          </w:p>
        </w:tc>
        <w:tc>
          <w:tcPr>
            <w:tcW w:w="1701" w:type="dxa"/>
            <w:shd w:val="clear" w:color="auto" w:fill="201547"/>
            <w:vAlign w:val="center"/>
          </w:tcPr>
          <w:p w14:paraId="4C10AEAB" w14:textId="77777777" w:rsidR="00CF285C" w:rsidRPr="0031717D" w:rsidRDefault="00CF285C" w:rsidP="00832E0A">
            <w:pPr>
              <w:pStyle w:val="DHHStablecolhead"/>
              <w:jc w:val="center"/>
              <w:rPr>
                <w:color w:val="FFFFFF"/>
              </w:rPr>
            </w:pPr>
            <w:r w:rsidRPr="0031717D">
              <w:rPr>
                <w:color w:val="FFFFFF"/>
              </w:rPr>
              <w:t>Legible</w:t>
            </w:r>
          </w:p>
        </w:tc>
        <w:tc>
          <w:tcPr>
            <w:tcW w:w="1701" w:type="dxa"/>
            <w:shd w:val="clear" w:color="auto" w:fill="201547"/>
            <w:vAlign w:val="center"/>
          </w:tcPr>
          <w:p w14:paraId="3709B4FB" w14:textId="77777777" w:rsidR="00CF285C" w:rsidRPr="0031717D" w:rsidRDefault="00CF285C" w:rsidP="00832E0A">
            <w:pPr>
              <w:pStyle w:val="DHHStablecolhead"/>
              <w:jc w:val="center"/>
              <w:rPr>
                <w:color w:val="FFFFFF"/>
              </w:rPr>
            </w:pPr>
            <w:r w:rsidRPr="0031717D">
              <w:rPr>
                <w:color w:val="FFFFFF"/>
              </w:rPr>
              <w:t>Numerals &amp; kJ</w:t>
            </w:r>
          </w:p>
        </w:tc>
        <w:tc>
          <w:tcPr>
            <w:tcW w:w="1701" w:type="dxa"/>
            <w:shd w:val="clear" w:color="auto" w:fill="201547"/>
            <w:vAlign w:val="center"/>
          </w:tcPr>
          <w:p w14:paraId="0A70D961" w14:textId="77777777" w:rsidR="00CF285C" w:rsidRPr="0031717D" w:rsidRDefault="00CF285C" w:rsidP="00832E0A">
            <w:pPr>
              <w:pStyle w:val="DHHStablecolhead"/>
              <w:jc w:val="center"/>
              <w:rPr>
                <w:color w:val="FFFFFF"/>
              </w:rPr>
            </w:pPr>
            <w:r w:rsidRPr="0031717D">
              <w:rPr>
                <w:color w:val="FFFFFF"/>
              </w:rPr>
              <w:t>Font size</w:t>
            </w:r>
          </w:p>
        </w:tc>
      </w:tr>
      <w:tr w:rsidR="00CF285C" w:rsidRPr="00BD1C0E" w14:paraId="0E702298" w14:textId="77777777" w:rsidTr="002E3033">
        <w:trPr>
          <w:trHeight w:val="567"/>
        </w:trPr>
        <w:tc>
          <w:tcPr>
            <w:tcW w:w="1134" w:type="dxa"/>
            <w:vAlign w:val="center"/>
          </w:tcPr>
          <w:p w14:paraId="6790D8FD" w14:textId="77777777" w:rsidR="00CF285C" w:rsidRPr="00E31C99" w:rsidRDefault="00CF285C" w:rsidP="00143870">
            <w:pPr>
              <w:pStyle w:val="DHHStabletext6pt"/>
              <w:rPr>
                <w:rFonts w:cs="Arial"/>
                <w:b/>
                <w:bCs/>
                <w:color w:val="000000"/>
              </w:rPr>
            </w:pPr>
            <w:r>
              <w:rPr>
                <w:rFonts w:cs="Arial"/>
                <w:b/>
                <w:bCs/>
                <w:color w:val="000000"/>
              </w:rPr>
              <w:t>2018</w:t>
            </w:r>
          </w:p>
        </w:tc>
        <w:tc>
          <w:tcPr>
            <w:tcW w:w="1701" w:type="dxa"/>
            <w:vAlign w:val="center"/>
          </w:tcPr>
          <w:p w14:paraId="3AE14E42" w14:textId="77777777" w:rsidR="00CF285C" w:rsidRPr="009E0B0F" w:rsidRDefault="00CF285C" w:rsidP="00832E0A">
            <w:pPr>
              <w:pStyle w:val="DHHStabletext6pt"/>
              <w:jc w:val="center"/>
              <w:rPr>
                <w:rFonts w:cs="Arial"/>
                <w:color w:val="000000"/>
              </w:rPr>
            </w:pPr>
            <w:r w:rsidRPr="009E0B0F">
              <w:rPr>
                <w:rFonts w:cs="Arial"/>
                <w:color w:val="000000"/>
              </w:rPr>
              <w:t>75.0</w:t>
            </w:r>
          </w:p>
        </w:tc>
        <w:tc>
          <w:tcPr>
            <w:tcW w:w="1701" w:type="dxa"/>
            <w:vAlign w:val="center"/>
          </w:tcPr>
          <w:p w14:paraId="7084067A" w14:textId="77777777" w:rsidR="00CF285C" w:rsidRPr="009E0B0F" w:rsidRDefault="00CF285C" w:rsidP="00832E0A">
            <w:pPr>
              <w:pStyle w:val="DHHStabletext6pt"/>
              <w:jc w:val="center"/>
              <w:rPr>
                <w:rFonts w:cs="Arial"/>
                <w:color w:val="000000"/>
              </w:rPr>
            </w:pPr>
            <w:r w:rsidRPr="009E0B0F">
              <w:rPr>
                <w:rFonts w:cs="Arial"/>
                <w:color w:val="000000"/>
              </w:rPr>
              <w:t>100.0</w:t>
            </w:r>
          </w:p>
        </w:tc>
        <w:tc>
          <w:tcPr>
            <w:tcW w:w="1701" w:type="dxa"/>
            <w:vAlign w:val="center"/>
          </w:tcPr>
          <w:p w14:paraId="13F9619F" w14:textId="77777777" w:rsidR="00CF285C" w:rsidRPr="009E0B0F" w:rsidRDefault="00CF285C" w:rsidP="00832E0A">
            <w:pPr>
              <w:pStyle w:val="DHHStabletext6pt"/>
              <w:jc w:val="center"/>
              <w:rPr>
                <w:rFonts w:cs="Arial"/>
                <w:color w:val="000000"/>
              </w:rPr>
            </w:pPr>
            <w:r w:rsidRPr="009E0B0F">
              <w:rPr>
                <w:rFonts w:cs="Arial"/>
                <w:color w:val="000000"/>
              </w:rPr>
              <w:t>100.0</w:t>
            </w:r>
          </w:p>
        </w:tc>
        <w:tc>
          <w:tcPr>
            <w:tcW w:w="1701" w:type="dxa"/>
            <w:vAlign w:val="center"/>
          </w:tcPr>
          <w:p w14:paraId="6122C86F" w14:textId="77777777" w:rsidR="00CF285C" w:rsidRPr="009E0B0F" w:rsidRDefault="00CF285C" w:rsidP="00832E0A">
            <w:pPr>
              <w:pStyle w:val="DHHStabletext6pt"/>
              <w:jc w:val="center"/>
              <w:rPr>
                <w:rFonts w:cs="Arial"/>
                <w:color w:val="000000"/>
              </w:rPr>
            </w:pPr>
            <w:r w:rsidRPr="009E0B0F">
              <w:rPr>
                <w:rFonts w:cs="Arial"/>
                <w:color w:val="000000"/>
              </w:rPr>
              <w:t>100.0</w:t>
            </w:r>
          </w:p>
        </w:tc>
      </w:tr>
      <w:tr w:rsidR="00CF285C" w:rsidRPr="00BD1C0E" w14:paraId="5B46ED1A" w14:textId="77777777" w:rsidTr="002E3033">
        <w:trPr>
          <w:trHeight w:val="567"/>
        </w:trPr>
        <w:tc>
          <w:tcPr>
            <w:tcW w:w="1134" w:type="dxa"/>
            <w:vAlign w:val="center"/>
          </w:tcPr>
          <w:p w14:paraId="7EEBD3A4" w14:textId="77777777" w:rsidR="00CF285C" w:rsidRDefault="00CF285C" w:rsidP="00143870">
            <w:pPr>
              <w:pStyle w:val="DHHStabletext6pt"/>
              <w:rPr>
                <w:rFonts w:cs="Arial"/>
                <w:b/>
                <w:bCs/>
                <w:color w:val="000000"/>
              </w:rPr>
            </w:pPr>
            <w:r>
              <w:rPr>
                <w:rFonts w:cs="Arial"/>
                <w:b/>
                <w:bCs/>
                <w:color w:val="000000"/>
              </w:rPr>
              <w:t>2019</w:t>
            </w:r>
          </w:p>
        </w:tc>
        <w:tc>
          <w:tcPr>
            <w:tcW w:w="1701" w:type="dxa"/>
            <w:vAlign w:val="center"/>
          </w:tcPr>
          <w:p w14:paraId="38234426" w14:textId="77777777" w:rsidR="00CF285C" w:rsidRPr="009E0B0F" w:rsidRDefault="00CF285C" w:rsidP="00832E0A">
            <w:pPr>
              <w:pStyle w:val="DHHStabletext6pt"/>
              <w:jc w:val="center"/>
              <w:rPr>
                <w:rFonts w:cs="Arial"/>
                <w:color w:val="000000"/>
              </w:rPr>
            </w:pPr>
            <w:r w:rsidRPr="009E0B0F">
              <w:rPr>
                <w:rFonts w:cs="Arial"/>
                <w:color w:val="000000"/>
              </w:rPr>
              <w:t>100.0</w:t>
            </w:r>
          </w:p>
        </w:tc>
        <w:tc>
          <w:tcPr>
            <w:tcW w:w="1701" w:type="dxa"/>
            <w:vAlign w:val="center"/>
          </w:tcPr>
          <w:p w14:paraId="3BFA2C2A" w14:textId="77777777" w:rsidR="00CF285C" w:rsidRPr="009E0B0F" w:rsidRDefault="00CF285C" w:rsidP="00832E0A">
            <w:pPr>
              <w:pStyle w:val="DHHStabletext6pt"/>
              <w:jc w:val="center"/>
              <w:rPr>
                <w:rFonts w:cs="Arial"/>
                <w:color w:val="000000"/>
              </w:rPr>
            </w:pPr>
            <w:r w:rsidRPr="009E0B0F">
              <w:rPr>
                <w:rFonts w:cs="Arial"/>
                <w:color w:val="000000"/>
              </w:rPr>
              <w:t>100.0</w:t>
            </w:r>
          </w:p>
        </w:tc>
        <w:tc>
          <w:tcPr>
            <w:tcW w:w="1701" w:type="dxa"/>
            <w:vAlign w:val="center"/>
          </w:tcPr>
          <w:p w14:paraId="077D103E" w14:textId="77777777" w:rsidR="00CF285C" w:rsidRPr="009E0B0F" w:rsidRDefault="00CF285C" w:rsidP="00832E0A">
            <w:pPr>
              <w:pStyle w:val="DHHStabletext6pt"/>
              <w:jc w:val="center"/>
              <w:rPr>
                <w:rFonts w:cs="Arial"/>
                <w:color w:val="000000"/>
              </w:rPr>
            </w:pPr>
            <w:r w:rsidRPr="009E0B0F">
              <w:rPr>
                <w:rFonts w:cs="Arial"/>
                <w:color w:val="000000"/>
              </w:rPr>
              <w:t>100.0</w:t>
            </w:r>
          </w:p>
        </w:tc>
        <w:tc>
          <w:tcPr>
            <w:tcW w:w="1701" w:type="dxa"/>
            <w:vAlign w:val="center"/>
          </w:tcPr>
          <w:p w14:paraId="63E4CADA" w14:textId="77777777" w:rsidR="00CF285C" w:rsidRPr="009E0B0F" w:rsidRDefault="00CF285C" w:rsidP="00832E0A">
            <w:pPr>
              <w:pStyle w:val="DHHStabletext6pt"/>
              <w:jc w:val="center"/>
              <w:rPr>
                <w:rFonts w:cs="Arial"/>
                <w:color w:val="000000"/>
              </w:rPr>
            </w:pPr>
            <w:r w:rsidRPr="009E0B0F">
              <w:rPr>
                <w:rFonts w:cs="Arial"/>
                <w:color w:val="000000"/>
              </w:rPr>
              <w:t>100.0</w:t>
            </w:r>
          </w:p>
        </w:tc>
      </w:tr>
    </w:tbl>
    <w:p w14:paraId="4B02EB77" w14:textId="77777777" w:rsidR="003E17FC" w:rsidRDefault="003E17FC"/>
    <w:p w14:paraId="4A101915" w14:textId="3C9BA0D7" w:rsidR="00E777E2" w:rsidRDefault="006A5A9B" w:rsidP="00A964FD">
      <w:pPr>
        <w:pStyle w:val="DHHSbullet1"/>
        <w:numPr>
          <w:ilvl w:val="0"/>
          <w:numId w:val="0"/>
        </w:numPr>
        <w:spacing w:before="240" w:after="240"/>
        <w:ind w:left="284" w:hanging="284"/>
      </w:pPr>
      <w:r>
        <w:rPr>
          <w:noProof/>
        </w:rPr>
        <w:drawing>
          <wp:inline distT="0" distB="0" distL="0" distR="0" wp14:anchorId="397619D1" wp14:editId="67F975AE">
            <wp:extent cx="5377138" cy="3200677"/>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3"/>
                    <a:stretch>
                      <a:fillRect/>
                    </a:stretch>
                  </pic:blipFill>
                  <pic:spPr>
                    <a:xfrm>
                      <a:off x="0" y="0"/>
                      <a:ext cx="5377138" cy="3200677"/>
                    </a:xfrm>
                    <a:prstGeom prst="rect">
                      <a:avLst/>
                    </a:prstGeom>
                  </pic:spPr>
                </pic:pic>
              </a:graphicData>
            </a:graphic>
          </wp:inline>
        </w:drawing>
      </w:r>
    </w:p>
    <w:p w14:paraId="669F2733" w14:textId="77777777" w:rsidR="003E17FC" w:rsidRDefault="003E17FC">
      <w:pPr>
        <w:rPr>
          <w:rFonts w:ascii="Arial" w:hAnsi="Arial"/>
          <w:b/>
        </w:rPr>
      </w:pPr>
      <w:r>
        <w:br w:type="page"/>
      </w:r>
    </w:p>
    <w:p w14:paraId="02AFB0F0" w14:textId="4B507085" w:rsidR="00023BC1" w:rsidRPr="00474933" w:rsidRDefault="006A5A9B" w:rsidP="00474933">
      <w:pPr>
        <w:pStyle w:val="DHHStablecaption"/>
      </w:pPr>
      <w:r>
        <w:t>Table</w:t>
      </w:r>
      <w:r w:rsidR="00C706B6">
        <w:t xml:space="preserve"> 4: F</w:t>
      </w:r>
      <w:r w:rsidR="00023BC1" w:rsidRPr="00474933">
        <w:t xml:space="preserve">ood tags – percentage complied 2018 </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34"/>
        <w:gridCol w:w="1701"/>
        <w:gridCol w:w="1701"/>
        <w:gridCol w:w="1701"/>
        <w:gridCol w:w="1701"/>
      </w:tblGrid>
      <w:tr w:rsidR="003E17FC" w:rsidRPr="0031717D" w14:paraId="1223D026" w14:textId="77777777" w:rsidTr="002E3033">
        <w:trPr>
          <w:trHeight w:val="567"/>
        </w:trPr>
        <w:tc>
          <w:tcPr>
            <w:tcW w:w="1134" w:type="dxa"/>
            <w:shd w:val="clear" w:color="auto" w:fill="201547"/>
            <w:vAlign w:val="center"/>
          </w:tcPr>
          <w:p w14:paraId="29239FC3" w14:textId="77777777" w:rsidR="003E17FC" w:rsidRPr="0031717D" w:rsidRDefault="003E17FC" w:rsidP="00832E0A">
            <w:pPr>
              <w:pStyle w:val="DHHStablecolhead"/>
              <w:rPr>
                <w:color w:val="FFFFFF"/>
              </w:rPr>
            </w:pPr>
            <w:r>
              <w:rPr>
                <w:color w:val="FFFFFF"/>
              </w:rPr>
              <w:t>Year</w:t>
            </w:r>
          </w:p>
        </w:tc>
        <w:tc>
          <w:tcPr>
            <w:tcW w:w="1701" w:type="dxa"/>
            <w:shd w:val="clear" w:color="auto" w:fill="201547"/>
            <w:vAlign w:val="center"/>
          </w:tcPr>
          <w:p w14:paraId="56B4B4A3" w14:textId="77777777" w:rsidR="003E17FC" w:rsidRPr="0031717D" w:rsidRDefault="003E17FC" w:rsidP="00832E0A">
            <w:pPr>
              <w:pStyle w:val="DHHStablecolhead"/>
              <w:jc w:val="center"/>
              <w:rPr>
                <w:color w:val="FFFFFF"/>
              </w:rPr>
            </w:pPr>
            <w:r w:rsidRPr="0031717D">
              <w:rPr>
                <w:color w:val="FFFFFF"/>
              </w:rPr>
              <w:t>Displayed</w:t>
            </w:r>
          </w:p>
        </w:tc>
        <w:tc>
          <w:tcPr>
            <w:tcW w:w="1701" w:type="dxa"/>
            <w:shd w:val="clear" w:color="auto" w:fill="201547"/>
            <w:vAlign w:val="center"/>
          </w:tcPr>
          <w:p w14:paraId="6D82B5EA" w14:textId="77777777" w:rsidR="003E17FC" w:rsidRPr="0031717D" w:rsidRDefault="003E17FC" w:rsidP="00832E0A">
            <w:pPr>
              <w:pStyle w:val="DHHStablecolhead"/>
              <w:jc w:val="center"/>
              <w:rPr>
                <w:color w:val="FFFFFF"/>
              </w:rPr>
            </w:pPr>
            <w:r w:rsidRPr="0031717D">
              <w:rPr>
                <w:color w:val="FFFFFF"/>
              </w:rPr>
              <w:t>Legible</w:t>
            </w:r>
          </w:p>
        </w:tc>
        <w:tc>
          <w:tcPr>
            <w:tcW w:w="1701" w:type="dxa"/>
            <w:shd w:val="clear" w:color="auto" w:fill="201547"/>
            <w:vAlign w:val="center"/>
          </w:tcPr>
          <w:p w14:paraId="4A89D701" w14:textId="77777777" w:rsidR="003E17FC" w:rsidRPr="0031717D" w:rsidRDefault="003E17FC" w:rsidP="00832E0A">
            <w:pPr>
              <w:pStyle w:val="DHHStablecolhead"/>
              <w:jc w:val="center"/>
              <w:rPr>
                <w:color w:val="FFFFFF"/>
              </w:rPr>
            </w:pPr>
            <w:r w:rsidRPr="0031717D">
              <w:rPr>
                <w:color w:val="FFFFFF"/>
              </w:rPr>
              <w:t>Numerals &amp; kJ</w:t>
            </w:r>
          </w:p>
        </w:tc>
        <w:tc>
          <w:tcPr>
            <w:tcW w:w="1701" w:type="dxa"/>
            <w:shd w:val="clear" w:color="auto" w:fill="201547"/>
            <w:vAlign w:val="center"/>
          </w:tcPr>
          <w:p w14:paraId="250A2B17" w14:textId="77777777" w:rsidR="003E17FC" w:rsidRPr="0031717D" w:rsidRDefault="003E17FC" w:rsidP="00832E0A">
            <w:pPr>
              <w:pStyle w:val="DHHStablecolhead"/>
              <w:jc w:val="center"/>
              <w:rPr>
                <w:color w:val="FFFFFF"/>
              </w:rPr>
            </w:pPr>
            <w:r w:rsidRPr="0031717D">
              <w:rPr>
                <w:color w:val="FFFFFF"/>
              </w:rPr>
              <w:t>Font size</w:t>
            </w:r>
          </w:p>
        </w:tc>
      </w:tr>
      <w:tr w:rsidR="003E17FC" w:rsidRPr="00BD1C0E" w14:paraId="49CBC39D" w14:textId="77777777" w:rsidTr="002E3033">
        <w:trPr>
          <w:trHeight w:val="567"/>
        </w:trPr>
        <w:tc>
          <w:tcPr>
            <w:tcW w:w="1134" w:type="dxa"/>
            <w:vAlign w:val="center"/>
          </w:tcPr>
          <w:p w14:paraId="02F4FD87" w14:textId="77777777" w:rsidR="003E17FC" w:rsidRPr="00E31C99" w:rsidRDefault="003E17FC" w:rsidP="00832E0A">
            <w:pPr>
              <w:pStyle w:val="DHHStabletext6pt"/>
              <w:rPr>
                <w:rFonts w:cs="Arial"/>
                <w:b/>
                <w:bCs/>
                <w:color w:val="000000"/>
              </w:rPr>
            </w:pPr>
            <w:r>
              <w:rPr>
                <w:rFonts w:cs="Arial"/>
                <w:b/>
                <w:bCs/>
                <w:color w:val="000000"/>
              </w:rPr>
              <w:t>2018</w:t>
            </w:r>
          </w:p>
        </w:tc>
        <w:tc>
          <w:tcPr>
            <w:tcW w:w="1701" w:type="dxa"/>
            <w:vAlign w:val="center"/>
          </w:tcPr>
          <w:p w14:paraId="0BAECE9B" w14:textId="77777777" w:rsidR="003E17FC" w:rsidRPr="003E17FC" w:rsidRDefault="003E17FC" w:rsidP="00832E0A">
            <w:pPr>
              <w:pStyle w:val="DHHStabletext6pt"/>
              <w:jc w:val="center"/>
              <w:rPr>
                <w:rFonts w:cs="Arial"/>
                <w:color w:val="000000"/>
              </w:rPr>
            </w:pPr>
            <w:r w:rsidRPr="003E17FC">
              <w:rPr>
                <w:rFonts w:cs="Arial"/>
                <w:color w:val="000000"/>
              </w:rPr>
              <w:t>76.2</w:t>
            </w:r>
          </w:p>
        </w:tc>
        <w:tc>
          <w:tcPr>
            <w:tcW w:w="1701" w:type="dxa"/>
            <w:vAlign w:val="center"/>
          </w:tcPr>
          <w:p w14:paraId="4C38CA61" w14:textId="77777777" w:rsidR="003E17FC" w:rsidRPr="003E17FC" w:rsidRDefault="003E17FC" w:rsidP="00832E0A">
            <w:pPr>
              <w:pStyle w:val="DHHStabletext6pt"/>
              <w:jc w:val="center"/>
              <w:rPr>
                <w:rFonts w:cs="Arial"/>
                <w:color w:val="000000"/>
              </w:rPr>
            </w:pPr>
            <w:r w:rsidRPr="003E17FC">
              <w:rPr>
                <w:rFonts w:cs="Arial"/>
                <w:color w:val="000000"/>
              </w:rPr>
              <w:t>100.0</w:t>
            </w:r>
          </w:p>
        </w:tc>
        <w:tc>
          <w:tcPr>
            <w:tcW w:w="1701" w:type="dxa"/>
            <w:vAlign w:val="center"/>
          </w:tcPr>
          <w:p w14:paraId="39B8D34E" w14:textId="77777777" w:rsidR="003E17FC" w:rsidRPr="003E17FC" w:rsidRDefault="003E17FC" w:rsidP="00832E0A">
            <w:pPr>
              <w:pStyle w:val="DHHStabletext6pt"/>
              <w:jc w:val="center"/>
              <w:rPr>
                <w:rFonts w:cs="Arial"/>
                <w:color w:val="000000"/>
              </w:rPr>
            </w:pPr>
            <w:r w:rsidRPr="003E17FC">
              <w:rPr>
                <w:rFonts w:cs="Arial"/>
                <w:color w:val="000000"/>
              </w:rPr>
              <w:t>100.0</w:t>
            </w:r>
          </w:p>
        </w:tc>
        <w:tc>
          <w:tcPr>
            <w:tcW w:w="1701" w:type="dxa"/>
            <w:vAlign w:val="center"/>
          </w:tcPr>
          <w:p w14:paraId="028F2D5C" w14:textId="77777777" w:rsidR="003E17FC" w:rsidRPr="003E17FC" w:rsidRDefault="003E17FC" w:rsidP="00832E0A">
            <w:pPr>
              <w:pStyle w:val="DHHStabletext6pt"/>
              <w:jc w:val="center"/>
              <w:rPr>
                <w:rFonts w:cs="Arial"/>
                <w:color w:val="000000"/>
              </w:rPr>
            </w:pPr>
            <w:r w:rsidRPr="003E17FC">
              <w:rPr>
                <w:rFonts w:cs="Arial"/>
                <w:color w:val="000000"/>
              </w:rPr>
              <w:t>93.8</w:t>
            </w:r>
          </w:p>
        </w:tc>
      </w:tr>
      <w:tr w:rsidR="003E17FC" w:rsidRPr="00BD1C0E" w14:paraId="0A24AC0C" w14:textId="77777777" w:rsidTr="002E3033">
        <w:trPr>
          <w:trHeight w:val="567"/>
        </w:trPr>
        <w:tc>
          <w:tcPr>
            <w:tcW w:w="1134" w:type="dxa"/>
            <w:vAlign w:val="center"/>
          </w:tcPr>
          <w:p w14:paraId="291C49C9" w14:textId="77777777" w:rsidR="003E17FC" w:rsidRDefault="003E17FC" w:rsidP="00832E0A">
            <w:pPr>
              <w:pStyle w:val="DHHStabletext6pt"/>
              <w:rPr>
                <w:rFonts w:cs="Arial"/>
                <w:b/>
                <w:bCs/>
                <w:color w:val="000000"/>
              </w:rPr>
            </w:pPr>
            <w:r>
              <w:rPr>
                <w:rFonts w:cs="Arial"/>
                <w:b/>
                <w:bCs/>
                <w:color w:val="000000"/>
              </w:rPr>
              <w:t>2019</w:t>
            </w:r>
          </w:p>
        </w:tc>
        <w:tc>
          <w:tcPr>
            <w:tcW w:w="1701" w:type="dxa"/>
            <w:vAlign w:val="center"/>
          </w:tcPr>
          <w:p w14:paraId="3D477624" w14:textId="77777777" w:rsidR="003E17FC" w:rsidRPr="003E17FC" w:rsidRDefault="003E17FC" w:rsidP="00832E0A">
            <w:pPr>
              <w:pStyle w:val="DHHStabletext6pt"/>
              <w:jc w:val="center"/>
              <w:rPr>
                <w:rFonts w:cs="Arial"/>
                <w:color w:val="000000"/>
              </w:rPr>
            </w:pPr>
            <w:r w:rsidRPr="003E17FC">
              <w:rPr>
                <w:rFonts w:cs="Arial"/>
                <w:color w:val="000000"/>
              </w:rPr>
              <w:t>72.7</w:t>
            </w:r>
          </w:p>
        </w:tc>
        <w:tc>
          <w:tcPr>
            <w:tcW w:w="1701" w:type="dxa"/>
            <w:vAlign w:val="center"/>
          </w:tcPr>
          <w:p w14:paraId="798C1FE9" w14:textId="77777777" w:rsidR="003E17FC" w:rsidRPr="003E17FC" w:rsidRDefault="003E17FC" w:rsidP="00832E0A">
            <w:pPr>
              <w:pStyle w:val="DHHStabletext6pt"/>
              <w:jc w:val="center"/>
              <w:rPr>
                <w:rFonts w:cs="Arial"/>
                <w:color w:val="000000"/>
              </w:rPr>
            </w:pPr>
            <w:r w:rsidRPr="003E17FC">
              <w:rPr>
                <w:rFonts w:cs="Arial"/>
                <w:color w:val="000000"/>
              </w:rPr>
              <w:t>100.0</w:t>
            </w:r>
          </w:p>
        </w:tc>
        <w:tc>
          <w:tcPr>
            <w:tcW w:w="1701" w:type="dxa"/>
            <w:vAlign w:val="center"/>
          </w:tcPr>
          <w:p w14:paraId="0FB12FE0" w14:textId="77777777" w:rsidR="003E17FC" w:rsidRPr="003E17FC" w:rsidRDefault="003E17FC" w:rsidP="00832E0A">
            <w:pPr>
              <w:pStyle w:val="DHHStabletext6pt"/>
              <w:jc w:val="center"/>
              <w:rPr>
                <w:rFonts w:cs="Arial"/>
                <w:color w:val="000000"/>
              </w:rPr>
            </w:pPr>
            <w:r w:rsidRPr="003E17FC">
              <w:rPr>
                <w:rFonts w:cs="Arial"/>
                <w:color w:val="000000"/>
              </w:rPr>
              <w:t>100.0</w:t>
            </w:r>
          </w:p>
        </w:tc>
        <w:tc>
          <w:tcPr>
            <w:tcW w:w="1701" w:type="dxa"/>
            <w:vAlign w:val="center"/>
          </w:tcPr>
          <w:p w14:paraId="1B864C2A" w14:textId="77777777" w:rsidR="003E17FC" w:rsidRPr="003E17FC" w:rsidRDefault="003E17FC" w:rsidP="00832E0A">
            <w:pPr>
              <w:pStyle w:val="DHHStabletext6pt"/>
              <w:jc w:val="center"/>
              <w:rPr>
                <w:rFonts w:cs="Arial"/>
                <w:color w:val="000000"/>
              </w:rPr>
            </w:pPr>
            <w:r w:rsidRPr="003E17FC">
              <w:rPr>
                <w:rFonts w:cs="Arial"/>
                <w:color w:val="000000"/>
              </w:rPr>
              <w:t>87.5</w:t>
            </w:r>
          </w:p>
        </w:tc>
      </w:tr>
    </w:tbl>
    <w:p w14:paraId="3BE8F218" w14:textId="6B8B5364" w:rsidR="003E17FC" w:rsidRDefault="003E17FC"/>
    <w:p w14:paraId="5B0B1165" w14:textId="23F8C1B6" w:rsidR="00467618" w:rsidRDefault="00467618">
      <w:r>
        <w:rPr>
          <w:noProof/>
        </w:rPr>
        <w:drawing>
          <wp:inline distT="0" distB="0" distL="0" distR="0" wp14:anchorId="192C31CB" wp14:editId="322E262D">
            <wp:extent cx="5352752" cy="2981202"/>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a:stretch>
                      <a:fillRect/>
                    </a:stretch>
                  </pic:blipFill>
                  <pic:spPr>
                    <a:xfrm>
                      <a:off x="0" y="0"/>
                      <a:ext cx="5352752" cy="2981202"/>
                    </a:xfrm>
                    <a:prstGeom prst="rect">
                      <a:avLst/>
                    </a:prstGeom>
                  </pic:spPr>
                </pic:pic>
              </a:graphicData>
            </a:graphic>
          </wp:inline>
        </w:drawing>
      </w:r>
    </w:p>
    <w:p w14:paraId="7497801C" w14:textId="2F7B4BBD" w:rsidR="009352E6" w:rsidRPr="003E17FC" w:rsidRDefault="009352E6" w:rsidP="003E17FC">
      <w:pPr>
        <w:pStyle w:val="Heading2"/>
      </w:pPr>
      <w:bookmarkStart w:id="7" w:name="_Toc75278956"/>
      <w:r w:rsidRPr="003E17FC">
        <w:t>Key points</w:t>
      </w:r>
      <w:r w:rsidR="000F7C5E" w:rsidRPr="003E17FC">
        <w:t xml:space="preserve"> – kJ </w:t>
      </w:r>
      <w:r w:rsidR="00016220" w:rsidRPr="003E17FC">
        <w:t>c</w:t>
      </w:r>
      <w:r w:rsidR="000F7C5E" w:rsidRPr="003E17FC">
        <w:t xml:space="preserve">ontent </w:t>
      </w:r>
      <w:r w:rsidR="00C36E0C">
        <w:t>o</w:t>
      </w:r>
      <w:r w:rsidR="000F7C5E" w:rsidRPr="003E17FC">
        <w:t xml:space="preserve">n </w:t>
      </w:r>
      <w:r w:rsidR="00016220" w:rsidRPr="003E17FC">
        <w:t>p</w:t>
      </w:r>
      <w:r w:rsidR="000F7C5E" w:rsidRPr="003E17FC">
        <w:t xml:space="preserve">remises </w:t>
      </w:r>
      <w:r w:rsidR="00016220" w:rsidRPr="003E17FC">
        <w:t>m</w:t>
      </w:r>
      <w:r w:rsidR="000F7C5E" w:rsidRPr="003E17FC">
        <w:t>enus</w:t>
      </w:r>
      <w:bookmarkEnd w:id="7"/>
      <w:r w:rsidR="000F7C5E" w:rsidRPr="003E17FC">
        <w:t xml:space="preserve"> </w:t>
      </w:r>
    </w:p>
    <w:p w14:paraId="731A9C7E" w14:textId="79F19C5C" w:rsidR="007E1611" w:rsidRDefault="00DE7BF9" w:rsidP="005F6404">
      <w:pPr>
        <w:pStyle w:val="DHHSbullet1"/>
      </w:pPr>
      <w:r>
        <w:t xml:space="preserve">There was an increase </w:t>
      </w:r>
      <w:r w:rsidR="001F28C6">
        <w:t xml:space="preserve">in the kJ content for standard food items being displayed on </w:t>
      </w:r>
      <w:r w:rsidR="009352E6">
        <w:t>menu boards</w:t>
      </w:r>
      <w:r w:rsidR="001F28C6">
        <w:t xml:space="preserve"> in premises that were checked for compliance. This increased from 82.1</w:t>
      </w:r>
      <w:r w:rsidR="00C00B52">
        <w:t xml:space="preserve"> per cent</w:t>
      </w:r>
      <w:r w:rsidR="001F28C6">
        <w:t xml:space="preserve"> </w:t>
      </w:r>
      <w:bookmarkStart w:id="8" w:name="_Hlk69999451"/>
      <w:r w:rsidR="00C36E0C">
        <w:t xml:space="preserve">kJ content displayed </w:t>
      </w:r>
      <w:bookmarkEnd w:id="8"/>
      <w:r w:rsidR="001F28C6">
        <w:t>in 2018 to 100.0</w:t>
      </w:r>
      <w:r w:rsidR="00C00B52">
        <w:t xml:space="preserve"> per cent</w:t>
      </w:r>
      <w:r w:rsidR="001F28C6">
        <w:t xml:space="preserve"> </w:t>
      </w:r>
      <w:r w:rsidR="00C36E0C" w:rsidRPr="00C36E0C">
        <w:t xml:space="preserve">kJ content displayed </w:t>
      </w:r>
      <w:r w:rsidR="001F28C6">
        <w:t>in 2019</w:t>
      </w:r>
    </w:p>
    <w:p w14:paraId="5EF28462" w14:textId="7791E780" w:rsidR="005C475C" w:rsidRDefault="005C475C" w:rsidP="009352E6">
      <w:pPr>
        <w:pStyle w:val="DHHSbullet1"/>
      </w:pPr>
      <w:r>
        <w:t>kJ content displayed on printed menus increased from 75.0</w:t>
      </w:r>
      <w:r w:rsidR="00C00B52">
        <w:t xml:space="preserve"> per cent</w:t>
      </w:r>
      <w:r>
        <w:t xml:space="preserve"> </w:t>
      </w:r>
      <w:r w:rsidR="00C36E0C" w:rsidRPr="00C36E0C">
        <w:t>kJ content displayed</w:t>
      </w:r>
      <w:r w:rsidR="00C36E0C">
        <w:t xml:space="preserve"> in 2018</w:t>
      </w:r>
      <w:r w:rsidR="00C36E0C" w:rsidRPr="00C36E0C">
        <w:t xml:space="preserve"> </w:t>
      </w:r>
      <w:r>
        <w:t>to 100.0</w:t>
      </w:r>
      <w:r w:rsidR="00C00B52">
        <w:t xml:space="preserve"> per cent</w:t>
      </w:r>
      <w:r>
        <w:t xml:space="preserve"> </w:t>
      </w:r>
      <w:r w:rsidR="00C36E0C" w:rsidRPr="00C36E0C">
        <w:t>kJ content displayed</w:t>
      </w:r>
      <w:r w:rsidR="00C36E0C">
        <w:t xml:space="preserve"> in 2019</w:t>
      </w:r>
    </w:p>
    <w:p w14:paraId="18CD9220" w14:textId="1BD4D278" w:rsidR="005C475C" w:rsidRDefault="005C475C" w:rsidP="005C475C">
      <w:pPr>
        <w:pStyle w:val="DHHSbullet1"/>
      </w:pPr>
      <w:r>
        <w:t>kJ content displayed on menu</w:t>
      </w:r>
      <w:r w:rsidR="00097A19">
        <w:t xml:space="preserve"> posters </w:t>
      </w:r>
      <w:r>
        <w:t>also increased from 75.0</w:t>
      </w:r>
      <w:r w:rsidR="00C00B52">
        <w:t xml:space="preserve"> per cent</w:t>
      </w:r>
      <w:r>
        <w:t xml:space="preserve"> </w:t>
      </w:r>
      <w:r w:rsidR="00C36E0C" w:rsidRPr="00C36E0C">
        <w:t xml:space="preserve">kJ content displayed </w:t>
      </w:r>
      <w:r w:rsidR="00C36E0C">
        <w:t xml:space="preserve">in 2018 </w:t>
      </w:r>
      <w:r>
        <w:t>to 100.0</w:t>
      </w:r>
      <w:r w:rsidR="00C00B52">
        <w:t xml:space="preserve"> per cent</w:t>
      </w:r>
      <w:r>
        <w:t xml:space="preserve"> </w:t>
      </w:r>
      <w:r w:rsidR="00C36E0C" w:rsidRPr="00C36E0C">
        <w:t>kJ content displayed</w:t>
      </w:r>
      <w:r w:rsidR="00C36E0C">
        <w:t xml:space="preserve"> in 2019</w:t>
      </w:r>
    </w:p>
    <w:p w14:paraId="216B8608" w14:textId="77777777" w:rsidR="00EC06BC" w:rsidRDefault="00474933" w:rsidP="005C475C">
      <w:pPr>
        <w:pStyle w:val="DHHSbullet1"/>
      </w:pPr>
      <w:r>
        <w:t>t</w:t>
      </w:r>
      <w:r w:rsidR="002D221F">
        <w:t xml:space="preserve">he increase in the number of food premises displaying kJ content on their menu boards, printed menus and menu posters is a very satisfactory result </w:t>
      </w:r>
    </w:p>
    <w:p w14:paraId="3501A16C" w14:textId="19258DE8" w:rsidR="00991349" w:rsidRDefault="00474933" w:rsidP="00991349">
      <w:pPr>
        <w:pStyle w:val="DHHSbullet1lastline"/>
      </w:pPr>
      <w:r>
        <w:t>t</w:t>
      </w:r>
      <w:r w:rsidR="00EA25E7">
        <w:t>here was a slight decrease in food tags or labels displaying the kJ content</w:t>
      </w:r>
      <w:r w:rsidR="00C04CF3">
        <w:t xml:space="preserve">; </w:t>
      </w:r>
      <w:r w:rsidR="00BB6A4D">
        <w:t xml:space="preserve">down </w:t>
      </w:r>
      <w:r w:rsidR="00C04CF3">
        <w:t>from 76.2</w:t>
      </w:r>
      <w:r w:rsidR="00C00B52">
        <w:t xml:space="preserve"> per cent</w:t>
      </w:r>
      <w:r w:rsidR="00C04CF3">
        <w:t xml:space="preserve"> </w:t>
      </w:r>
      <w:r w:rsidR="00C36E0C" w:rsidRPr="00C36E0C">
        <w:t xml:space="preserve">kJ content displayed </w:t>
      </w:r>
      <w:r w:rsidR="002C07AF">
        <w:t xml:space="preserve">in 2018 </w:t>
      </w:r>
      <w:r w:rsidR="00C04CF3">
        <w:t>to 72.7</w:t>
      </w:r>
      <w:r w:rsidR="00C00B52">
        <w:t xml:space="preserve"> per cent</w:t>
      </w:r>
      <w:r w:rsidR="002C07AF" w:rsidRPr="002C07AF">
        <w:t xml:space="preserve"> kJ content displayed</w:t>
      </w:r>
      <w:r w:rsidR="002C07AF">
        <w:t xml:space="preserve"> in 2019</w:t>
      </w:r>
      <w:r w:rsidR="00C04CF3">
        <w:t xml:space="preserve">. </w:t>
      </w:r>
      <w:r w:rsidR="00F9612D">
        <w:t>Th</w:t>
      </w:r>
      <w:r w:rsidR="009303AA">
        <w:t>is</w:t>
      </w:r>
      <w:r w:rsidR="00F9612D">
        <w:t xml:space="preserve"> variability could possibly be due to food tags and labels being changed more frequently</w:t>
      </w:r>
      <w:r w:rsidR="00BD58F7">
        <w:t xml:space="preserve"> than menu boards and printed menus</w:t>
      </w:r>
      <w:r>
        <w:t>.</w:t>
      </w:r>
    </w:p>
    <w:p w14:paraId="1A9A6EC6" w14:textId="77777777" w:rsidR="00BD3116" w:rsidRDefault="00BD3116" w:rsidP="00474933">
      <w:pPr>
        <w:pStyle w:val="DHHSbody"/>
      </w:pPr>
      <w:r w:rsidRPr="00474933">
        <w:t>The following tables include the compliance rates for displaying the ‘8,700 kJ reference statement’ in food premises that are captured by the scheme</w:t>
      </w:r>
      <w:r w:rsidRPr="008F532B">
        <w:t>.</w:t>
      </w:r>
      <w:r>
        <w:t xml:space="preserve"> </w:t>
      </w:r>
    </w:p>
    <w:p w14:paraId="319860CC" w14:textId="77777777" w:rsidR="00097CD4" w:rsidRDefault="00097CD4">
      <w:pPr>
        <w:rPr>
          <w:rFonts w:ascii="Arial" w:eastAsia="MS Gothic" w:hAnsi="Arial"/>
          <w:b/>
          <w:bCs/>
          <w:color w:val="201547"/>
          <w:sz w:val="24"/>
          <w:szCs w:val="26"/>
        </w:rPr>
      </w:pPr>
      <w:r>
        <w:rPr>
          <w:color w:val="201547"/>
        </w:rPr>
        <w:br w:type="page"/>
      </w:r>
    </w:p>
    <w:p w14:paraId="3DC634CC" w14:textId="77777777" w:rsidR="00147D30" w:rsidRPr="001265F3" w:rsidRDefault="00147D30" w:rsidP="00147D30">
      <w:pPr>
        <w:pStyle w:val="Heading3"/>
        <w:spacing w:before="240" w:after="240"/>
        <w:rPr>
          <w:color w:val="201547"/>
        </w:rPr>
      </w:pPr>
      <w:r w:rsidRPr="001265F3">
        <w:rPr>
          <w:color w:val="201547"/>
        </w:rPr>
        <w:t xml:space="preserve">Menu – 8,700 kJ </w:t>
      </w:r>
      <w:r w:rsidR="00D96A02">
        <w:rPr>
          <w:color w:val="201547"/>
        </w:rPr>
        <w:t xml:space="preserve">reference </w:t>
      </w:r>
      <w:r w:rsidRPr="001265F3">
        <w:rPr>
          <w:color w:val="201547"/>
        </w:rPr>
        <w:t>statement in premises</w:t>
      </w:r>
    </w:p>
    <w:p w14:paraId="77E442E8" w14:textId="4D7BB7F2" w:rsidR="007E6485" w:rsidRPr="00474933" w:rsidRDefault="00336789" w:rsidP="00474933">
      <w:pPr>
        <w:pStyle w:val="DHHStablecaption"/>
      </w:pPr>
      <w:r>
        <w:t>Table</w:t>
      </w:r>
      <w:r w:rsidR="00C706B6">
        <w:t xml:space="preserve"> 5: </w:t>
      </w:r>
      <w:r w:rsidR="007E6485" w:rsidRPr="00474933">
        <w:t xml:space="preserve">Menu board – percentage complied 2018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3E17FC" w:rsidRPr="00E16A8C" w14:paraId="43C57FE2" w14:textId="77777777" w:rsidTr="002E3033">
        <w:trPr>
          <w:trHeight w:val="567"/>
          <w:tblHeader/>
        </w:trPr>
        <w:tc>
          <w:tcPr>
            <w:tcW w:w="1134" w:type="dxa"/>
            <w:shd w:val="clear" w:color="auto" w:fill="201547"/>
            <w:vAlign w:val="center"/>
          </w:tcPr>
          <w:p w14:paraId="0AE7C575" w14:textId="77777777" w:rsidR="003E17FC" w:rsidRPr="00E16A8C" w:rsidRDefault="003E17FC" w:rsidP="00832E0A">
            <w:pPr>
              <w:pStyle w:val="DHHStablecolhead"/>
              <w:rPr>
                <w:color w:val="FFFFFF"/>
              </w:rPr>
            </w:pPr>
            <w:r>
              <w:rPr>
                <w:color w:val="FFFFFF"/>
              </w:rPr>
              <w:t>Year</w:t>
            </w:r>
          </w:p>
        </w:tc>
        <w:tc>
          <w:tcPr>
            <w:tcW w:w="1701" w:type="dxa"/>
            <w:shd w:val="clear" w:color="auto" w:fill="201547"/>
            <w:vAlign w:val="center"/>
          </w:tcPr>
          <w:p w14:paraId="788EC0B0" w14:textId="77777777" w:rsidR="003E17FC" w:rsidRPr="00E16A8C" w:rsidRDefault="003E17FC" w:rsidP="009E0B0F">
            <w:pPr>
              <w:pStyle w:val="DHHStablecolhead"/>
              <w:jc w:val="center"/>
              <w:rPr>
                <w:color w:val="FFFFFF"/>
              </w:rPr>
            </w:pPr>
            <w:r w:rsidRPr="00E16A8C">
              <w:rPr>
                <w:color w:val="FFFFFF"/>
              </w:rPr>
              <w:t>Displayed</w:t>
            </w:r>
          </w:p>
        </w:tc>
        <w:tc>
          <w:tcPr>
            <w:tcW w:w="1701" w:type="dxa"/>
            <w:shd w:val="clear" w:color="auto" w:fill="201547"/>
            <w:vAlign w:val="center"/>
          </w:tcPr>
          <w:p w14:paraId="17832011" w14:textId="77777777" w:rsidR="003E17FC" w:rsidRPr="00E16A8C" w:rsidRDefault="003E17FC" w:rsidP="009E0B0F">
            <w:pPr>
              <w:pStyle w:val="DHHStablecolhead"/>
              <w:jc w:val="center"/>
              <w:rPr>
                <w:color w:val="FFFFFF"/>
              </w:rPr>
            </w:pPr>
            <w:r w:rsidRPr="00E16A8C">
              <w:rPr>
                <w:color w:val="FFFFFF"/>
              </w:rPr>
              <w:t>Legible</w:t>
            </w:r>
          </w:p>
        </w:tc>
        <w:tc>
          <w:tcPr>
            <w:tcW w:w="1701" w:type="dxa"/>
            <w:shd w:val="clear" w:color="auto" w:fill="201547"/>
            <w:vAlign w:val="center"/>
          </w:tcPr>
          <w:p w14:paraId="1C71F708" w14:textId="77777777" w:rsidR="003E17FC" w:rsidRPr="00E16A8C" w:rsidRDefault="003E17FC" w:rsidP="009E0B0F">
            <w:pPr>
              <w:pStyle w:val="DHHStablecolhead"/>
              <w:jc w:val="center"/>
              <w:rPr>
                <w:color w:val="FFFFFF"/>
              </w:rPr>
            </w:pPr>
            <w:r w:rsidRPr="00E16A8C">
              <w:rPr>
                <w:color w:val="FFFFFF"/>
              </w:rPr>
              <w:t>Prominent</w:t>
            </w:r>
          </w:p>
        </w:tc>
        <w:tc>
          <w:tcPr>
            <w:tcW w:w="1701" w:type="dxa"/>
            <w:shd w:val="clear" w:color="auto" w:fill="201547"/>
            <w:vAlign w:val="center"/>
          </w:tcPr>
          <w:p w14:paraId="5B1EB2FD" w14:textId="77777777" w:rsidR="003E17FC" w:rsidRPr="00E16A8C" w:rsidRDefault="003E17FC" w:rsidP="009E0B0F">
            <w:pPr>
              <w:pStyle w:val="DHHStablecolhead"/>
              <w:jc w:val="center"/>
              <w:rPr>
                <w:color w:val="FFFFFF"/>
              </w:rPr>
            </w:pPr>
            <w:r w:rsidRPr="00E16A8C">
              <w:rPr>
                <w:color w:val="FFFFFF"/>
              </w:rPr>
              <w:t>Font size</w:t>
            </w:r>
          </w:p>
        </w:tc>
      </w:tr>
      <w:tr w:rsidR="003E17FC" w14:paraId="11A7453F" w14:textId="77777777" w:rsidTr="00832E0A">
        <w:trPr>
          <w:trHeight w:val="567"/>
        </w:trPr>
        <w:tc>
          <w:tcPr>
            <w:tcW w:w="1134" w:type="dxa"/>
            <w:vAlign w:val="center"/>
          </w:tcPr>
          <w:p w14:paraId="0AC7D121" w14:textId="77777777" w:rsidR="003E17FC" w:rsidRPr="003E17FC" w:rsidRDefault="003E17FC" w:rsidP="00832E0A">
            <w:pPr>
              <w:pStyle w:val="DHHStabletext6pt"/>
              <w:rPr>
                <w:b/>
                <w:bCs/>
              </w:rPr>
            </w:pPr>
            <w:r w:rsidRPr="003E17FC">
              <w:rPr>
                <w:b/>
                <w:bCs/>
              </w:rPr>
              <w:t>2018</w:t>
            </w:r>
          </w:p>
        </w:tc>
        <w:tc>
          <w:tcPr>
            <w:tcW w:w="1701" w:type="dxa"/>
            <w:vAlign w:val="center"/>
          </w:tcPr>
          <w:p w14:paraId="2EAE922A" w14:textId="77777777" w:rsidR="003E17FC" w:rsidRDefault="003E17FC" w:rsidP="009E0B0F">
            <w:pPr>
              <w:pStyle w:val="DHHStabletext6pt"/>
              <w:jc w:val="center"/>
            </w:pPr>
            <w:r>
              <w:t>65.4</w:t>
            </w:r>
          </w:p>
        </w:tc>
        <w:tc>
          <w:tcPr>
            <w:tcW w:w="1701" w:type="dxa"/>
            <w:vAlign w:val="center"/>
          </w:tcPr>
          <w:p w14:paraId="7A2A316B" w14:textId="77777777" w:rsidR="003E17FC" w:rsidRDefault="003E17FC" w:rsidP="009E0B0F">
            <w:pPr>
              <w:pStyle w:val="DHHStabletext6pt"/>
              <w:jc w:val="center"/>
            </w:pPr>
            <w:r>
              <w:t>100.0</w:t>
            </w:r>
          </w:p>
        </w:tc>
        <w:tc>
          <w:tcPr>
            <w:tcW w:w="1701" w:type="dxa"/>
            <w:vAlign w:val="center"/>
          </w:tcPr>
          <w:p w14:paraId="3FB6BFBF" w14:textId="77777777" w:rsidR="003E17FC" w:rsidRDefault="003E17FC" w:rsidP="009E0B0F">
            <w:pPr>
              <w:pStyle w:val="DHHStabletext6pt"/>
              <w:jc w:val="center"/>
            </w:pPr>
            <w:r>
              <w:t>100.0</w:t>
            </w:r>
          </w:p>
        </w:tc>
        <w:tc>
          <w:tcPr>
            <w:tcW w:w="1701" w:type="dxa"/>
            <w:vAlign w:val="center"/>
          </w:tcPr>
          <w:p w14:paraId="60E6CF30" w14:textId="77777777" w:rsidR="003E17FC" w:rsidRDefault="003E17FC" w:rsidP="009E0B0F">
            <w:pPr>
              <w:pStyle w:val="DHHStabletext6pt"/>
              <w:jc w:val="center"/>
            </w:pPr>
            <w:r>
              <w:t>82.4</w:t>
            </w:r>
          </w:p>
        </w:tc>
      </w:tr>
      <w:tr w:rsidR="009E0B0F" w14:paraId="6D2E9B8B" w14:textId="77777777" w:rsidTr="00832E0A">
        <w:trPr>
          <w:trHeight w:val="567"/>
        </w:trPr>
        <w:tc>
          <w:tcPr>
            <w:tcW w:w="1134" w:type="dxa"/>
            <w:vAlign w:val="center"/>
          </w:tcPr>
          <w:p w14:paraId="59184F70" w14:textId="77777777" w:rsidR="009E0B0F" w:rsidRPr="003E17FC" w:rsidRDefault="009E0B0F" w:rsidP="00832E0A">
            <w:pPr>
              <w:pStyle w:val="DHHStabletext6pt"/>
              <w:rPr>
                <w:b/>
                <w:bCs/>
              </w:rPr>
            </w:pPr>
            <w:r>
              <w:rPr>
                <w:b/>
                <w:bCs/>
              </w:rPr>
              <w:t>2019</w:t>
            </w:r>
          </w:p>
        </w:tc>
        <w:tc>
          <w:tcPr>
            <w:tcW w:w="1701" w:type="dxa"/>
            <w:vAlign w:val="center"/>
          </w:tcPr>
          <w:p w14:paraId="14AC5574" w14:textId="77777777" w:rsidR="009E0B0F" w:rsidRPr="0050684E" w:rsidRDefault="009E0B0F" w:rsidP="009E0B0F">
            <w:pPr>
              <w:pStyle w:val="DHHStabletext6pt"/>
              <w:jc w:val="center"/>
              <w:rPr>
                <w:color w:val="000000" w:themeColor="text1"/>
              </w:rPr>
            </w:pPr>
            <w:r w:rsidRPr="0050684E">
              <w:rPr>
                <w:color w:val="000000" w:themeColor="text1"/>
              </w:rPr>
              <w:t>100.0</w:t>
            </w:r>
          </w:p>
        </w:tc>
        <w:tc>
          <w:tcPr>
            <w:tcW w:w="1701" w:type="dxa"/>
            <w:vAlign w:val="center"/>
          </w:tcPr>
          <w:p w14:paraId="32570DD8" w14:textId="77777777" w:rsidR="009E0B0F" w:rsidRPr="0050684E" w:rsidRDefault="009E0B0F" w:rsidP="009E0B0F">
            <w:pPr>
              <w:pStyle w:val="DHHStabletext6pt"/>
              <w:jc w:val="center"/>
              <w:rPr>
                <w:color w:val="000000" w:themeColor="text1"/>
              </w:rPr>
            </w:pPr>
            <w:r w:rsidRPr="0050684E">
              <w:rPr>
                <w:color w:val="000000" w:themeColor="text1"/>
              </w:rPr>
              <w:t>83.3</w:t>
            </w:r>
          </w:p>
        </w:tc>
        <w:tc>
          <w:tcPr>
            <w:tcW w:w="1701" w:type="dxa"/>
            <w:vAlign w:val="center"/>
          </w:tcPr>
          <w:p w14:paraId="50BAF4FB" w14:textId="77777777" w:rsidR="009E0B0F" w:rsidRPr="0050684E" w:rsidRDefault="009E0B0F" w:rsidP="009E0B0F">
            <w:pPr>
              <w:pStyle w:val="DHHStabletext6pt"/>
              <w:jc w:val="center"/>
              <w:rPr>
                <w:color w:val="000000" w:themeColor="text1"/>
              </w:rPr>
            </w:pPr>
            <w:r w:rsidRPr="0050684E">
              <w:rPr>
                <w:color w:val="000000" w:themeColor="text1"/>
              </w:rPr>
              <w:t>94.4</w:t>
            </w:r>
          </w:p>
        </w:tc>
        <w:tc>
          <w:tcPr>
            <w:tcW w:w="1701" w:type="dxa"/>
            <w:vAlign w:val="center"/>
          </w:tcPr>
          <w:p w14:paraId="2F550F09" w14:textId="77777777" w:rsidR="009E0B0F" w:rsidRPr="0050684E" w:rsidRDefault="009E0B0F" w:rsidP="009E0B0F">
            <w:pPr>
              <w:pStyle w:val="DHHStabletext6pt"/>
              <w:jc w:val="center"/>
              <w:rPr>
                <w:color w:val="000000" w:themeColor="text1"/>
              </w:rPr>
            </w:pPr>
            <w:r w:rsidRPr="0050684E">
              <w:rPr>
                <w:color w:val="000000" w:themeColor="text1"/>
              </w:rPr>
              <w:t>55.6</w:t>
            </w:r>
          </w:p>
        </w:tc>
      </w:tr>
    </w:tbl>
    <w:p w14:paraId="2112B690" w14:textId="21936CE6" w:rsidR="00FC5C6C" w:rsidRDefault="00FC5C6C" w:rsidP="00026BE8">
      <w:pPr>
        <w:pStyle w:val="DHHSbody"/>
        <w:spacing w:before="240" w:after="240"/>
      </w:pPr>
      <w:r>
        <w:rPr>
          <w:noProof/>
        </w:rPr>
        <w:drawing>
          <wp:inline distT="0" distB="0" distL="0" distR="0" wp14:anchorId="2FC57784" wp14:editId="1EB36B5E">
            <wp:extent cx="5352752" cy="3200677"/>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5"/>
                    <a:stretch>
                      <a:fillRect/>
                    </a:stretch>
                  </pic:blipFill>
                  <pic:spPr>
                    <a:xfrm>
                      <a:off x="0" y="0"/>
                      <a:ext cx="5352752" cy="3200677"/>
                    </a:xfrm>
                    <a:prstGeom prst="rect">
                      <a:avLst/>
                    </a:prstGeom>
                  </pic:spPr>
                </pic:pic>
              </a:graphicData>
            </a:graphic>
          </wp:inline>
        </w:drawing>
      </w:r>
    </w:p>
    <w:p w14:paraId="51EB0D6D" w14:textId="4D20C7CE" w:rsidR="00D250E9" w:rsidRPr="002E3033" w:rsidRDefault="00336789" w:rsidP="002E3033">
      <w:pPr>
        <w:pStyle w:val="DHHStablecaption"/>
      </w:pPr>
      <w:r>
        <w:t xml:space="preserve">Table 6: </w:t>
      </w:r>
      <w:r w:rsidR="00D250E9" w:rsidRPr="002E3033">
        <w:t>Menu printed – percentage complied 2018</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9E0B0F" w:rsidRPr="00E16A8C" w14:paraId="2FBA1E3D" w14:textId="77777777" w:rsidTr="002E3033">
        <w:trPr>
          <w:trHeight w:val="567"/>
          <w:tblHeader/>
        </w:trPr>
        <w:tc>
          <w:tcPr>
            <w:tcW w:w="1134" w:type="dxa"/>
            <w:shd w:val="clear" w:color="auto" w:fill="201547"/>
            <w:vAlign w:val="center"/>
          </w:tcPr>
          <w:p w14:paraId="416EFA6B" w14:textId="77777777" w:rsidR="009E0B0F" w:rsidRPr="00E16A8C" w:rsidRDefault="009E0B0F" w:rsidP="00832E0A">
            <w:pPr>
              <w:pStyle w:val="DHHStablecolhead"/>
              <w:rPr>
                <w:color w:val="FFFFFF"/>
              </w:rPr>
            </w:pPr>
            <w:r>
              <w:rPr>
                <w:color w:val="FFFFFF"/>
              </w:rPr>
              <w:t>Year</w:t>
            </w:r>
          </w:p>
        </w:tc>
        <w:tc>
          <w:tcPr>
            <w:tcW w:w="1701" w:type="dxa"/>
            <w:shd w:val="clear" w:color="auto" w:fill="201547"/>
            <w:vAlign w:val="center"/>
          </w:tcPr>
          <w:p w14:paraId="5989C352" w14:textId="77777777" w:rsidR="009E0B0F" w:rsidRPr="00E16A8C" w:rsidRDefault="009E0B0F" w:rsidP="00832E0A">
            <w:pPr>
              <w:pStyle w:val="DHHStablecolhead"/>
              <w:jc w:val="center"/>
              <w:rPr>
                <w:color w:val="FFFFFF"/>
              </w:rPr>
            </w:pPr>
            <w:r w:rsidRPr="00E16A8C">
              <w:rPr>
                <w:color w:val="FFFFFF"/>
              </w:rPr>
              <w:t>Displayed</w:t>
            </w:r>
          </w:p>
        </w:tc>
        <w:tc>
          <w:tcPr>
            <w:tcW w:w="1701" w:type="dxa"/>
            <w:shd w:val="clear" w:color="auto" w:fill="201547"/>
            <w:vAlign w:val="center"/>
          </w:tcPr>
          <w:p w14:paraId="15170293" w14:textId="77777777" w:rsidR="009E0B0F" w:rsidRPr="00E16A8C" w:rsidRDefault="009E0B0F" w:rsidP="00832E0A">
            <w:pPr>
              <w:pStyle w:val="DHHStablecolhead"/>
              <w:jc w:val="center"/>
              <w:rPr>
                <w:color w:val="FFFFFF"/>
              </w:rPr>
            </w:pPr>
            <w:r w:rsidRPr="00E16A8C">
              <w:rPr>
                <w:color w:val="FFFFFF"/>
              </w:rPr>
              <w:t>Legible</w:t>
            </w:r>
          </w:p>
        </w:tc>
        <w:tc>
          <w:tcPr>
            <w:tcW w:w="1701" w:type="dxa"/>
            <w:shd w:val="clear" w:color="auto" w:fill="201547"/>
            <w:vAlign w:val="center"/>
          </w:tcPr>
          <w:p w14:paraId="2ECA7674" w14:textId="77777777" w:rsidR="009E0B0F" w:rsidRPr="00E16A8C" w:rsidRDefault="009E0B0F" w:rsidP="00832E0A">
            <w:pPr>
              <w:pStyle w:val="DHHStablecolhead"/>
              <w:jc w:val="center"/>
              <w:rPr>
                <w:color w:val="FFFFFF"/>
              </w:rPr>
            </w:pPr>
            <w:r w:rsidRPr="00E16A8C">
              <w:rPr>
                <w:color w:val="FFFFFF"/>
              </w:rPr>
              <w:t>Prominent</w:t>
            </w:r>
          </w:p>
        </w:tc>
        <w:tc>
          <w:tcPr>
            <w:tcW w:w="1701" w:type="dxa"/>
            <w:shd w:val="clear" w:color="auto" w:fill="201547"/>
            <w:vAlign w:val="center"/>
          </w:tcPr>
          <w:p w14:paraId="282F0AB2" w14:textId="77777777" w:rsidR="009E0B0F" w:rsidRPr="00E16A8C" w:rsidRDefault="009E0B0F" w:rsidP="00832E0A">
            <w:pPr>
              <w:pStyle w:val="DHHStablecolhead"/>
              <w:jc w:val="center"/>
              <w:rPr>
                <w:color w:val="FFFFFF"/>
              </w:rPr>
            </w:pPr>
            <w:r w:rsidRPr="00E16A8C">
              <w:rPr>
                <w:color w:val="FFFFFF"/>
              </w:rPr>
              <w:t>Font size</w:t>
            </w:r>
          </w:p>
        </w:tc>
      </w:tr>
      <w:tr w:rsidR="009E0B0F" w14:paraId="7D1A6192" w14:textId="77777777" w:rsidTr="00832E0A">
        <w:trPr>
          <w:trHeight w:val="567"/>
        </w:trPr>
        <w:tc>
          <w:tcPr>
            <w:tcW w:w="1134" w:type="dxa"/>
            <w:vAlign w:val="center"/>
          </w:tcPr>
          <w:p w14:paraId="1226E042" w14:textId="77777777" w:rsidR="009E0B0F" w:rsidRPr="009E0B0F" w:rsidRDefault="009E0B0F" w:rsidP="00832E0A">
            <w:pPr>
              <w:pStyle w:val="DHHStabletext6pt"/>
              <w:rPr>
                <w:b/>
                <w:bCs/>
              </w:rPr>
            </w:pPr>
            <w:r w:rsidRPr="009E0B0F">
              <w:rPr>
                <w:b/>
                <w:bCs/>
              </w:rPr>
              <w:t>2018</w:t>
            </w:r>
          </w:p>
        </w:tc>
        <w:tc>
          <w:tcPr>
            <w:tcW w:w="1701" w:type="dxa"/>
            <w:vAlign w:val="center"/>
          </w:tcPr>
          <w:p w14:paraId="7875EC23" w14:textId="77777777" w:rsidR="009E0B0F" w:rsidRDefault="009E0B0F" w:rsidP="00832E0A">
            <w:pPr>
              <w:pStyle w:val="DHHStabletext6pt"/>
              <w:jc w:val="center"/>
            </w:pPr>
            <w:r>
              <w:t>75.0</w:t>
            </w:r>
          </w:p>
        </w:tc>
        <w:tc>
          <w:tcPr>
            <w:tcW w:w="1701" w:type="dxa"/>
            <w:vAlign w:val="center"/>
          </w:tcPr>
          <w:p w14:paraId="5EF0E257" w14:textId="77777777" w:rsidR="009E0B0F" w:rsidRDefault="009E0B0F" w:rsidP="00832E0A">
            <w:pPr>
              <w:pStyle w:val="DHHStabletext6pt"/>
              <w:jc w:val="center"/>
            </w:pPr>
            <w:r>
              <w:t>100.0</w:t>
            </w:r>
          </w:p>
        </w:tc>
        <w:tc>
          <w:tcPr>
            <w:tcW w:w="1701" w:type="dxa"/>
            <w:vAlign w:val="center"/>
          </w:tcPr>
          <w:p w14:paraId="5A280589" w14:textId="77777777" w:rsidR="009E0B0F" w:rsidRDefault="009E0B0F" w:rsidP="00832E0A">
            <w:pPr>
              <w:pStyle w:val="DHHStabletext6pt"/>
              <w:jc w:val="center"/>
            </w:pPr>
            <w:r>
              <w:t>66.7</w:t>
            </w:r>
          </w:p>
        </w:tc>
        <w:tc>
          <w:tcPr>
            <w:tcW w:w="1701" w:type="dxa"/>
            <w:vAlign w:val="center"/>
          </w:tcPr>
          <w:p w14:paraId="4C69421E" w14:textId="77777777" w:rsidR="009E0B0F" w:rsidRDefault="009E0B0F" w:rsidP="00832E0A">
            <w:pPr>
              <w:pStyle w:val="DHHStabletext6pt"/>
              <w:jc w:val="center"/>
            </w:pPr>
            <w:r>
              <w:t>100.0</w:t>
            </w:r>
          </w:p>
        </w:tc>
      </w:tr>
      <w:tr w:rsidR="009E0B0F" w14:paraId="142E5B3B" w14:textId="77777777" w:rsidTr="00832E0A">
        <w:trPr>
          <w:trHeight w:val="567"/>
        </w:trPr>
        <w:tc>
          <w:tcPr>
            <w:tcW w:w="1134" w:type="dxa"/>
            <w:vAlign w:val="center"/>
          </w:tcPr>
          <w:p w14:paraId="781E14B9" w14:textId="77777777" w:rsidR="009E0B0F" w:rsidRPr="009E0B0F" w:rsidRDefault="009E0B0F" w:rsidP="00832E0A">
            <w:pPr>
              <w:pStyle w:val="DHHStabletext6pt"/>
              <w:rPr>
                <w:b/>
                <w:bCs/>
              </w:rPr>
            </w:pPr>
            <w:r>
              <w:rPr>
                <w:b/>
                <w:bCs/>
              </w:rPr>
              <w:t>2019</w:t>
            </w:r>
          </w:p>
        </w:tc>
        <w:tc>
          <w:tcPr>
            <w:tcW w:w="1701" w:type="dxa"/>
            <w:vAlign w:val="center"/>
          </w:tcPr>
          <w:p w14:paraId="350DF29F" w14:textId="77777777" w:rsidR="009E0B0F" w:rsidRPr="00E22AA6" w:rsidRDefault="009E0B0F" w:rsidP="00832E0A">
            <w:pPr>
              <w:pStyle w:val="DHHStabletext6pt"/>
              <w:jc w:val="center"/>
              <w:rPr>
                <w:color w:val="000000" w:themeColor="text1"/>
              </w:rPr>
            </w:pPr>
            <w:r w:rsidRPr="00E22AA6">
              <w:rPr>
                <w:color w:val="000000" w:themeColor="text1"/>
              </w:rPr>
              <w:t>100.0</w:t>
            </w:r>
          </w:p>
        </w:tc>
        <w:tc>
          <w:tcPr>
            <w:tcW w:w="1701" w:type="dxa"/>
            <w:vAlign w:val="center"/>
          </w:tcPr>
          <w:p w14:paraId="73218983" w14:textId="77777777" w:rsidR="009E0B0F" w:rsidRPr="00E22AA6" w:rsidRDefault="009E0B0F" w:rsidP="00832E0A">
            <w:pPr>
              <w:pStyle w:val="DHHStabletext6pt"/>
              <w:jc w:val="center"/>
              <w:rPr>
                <w:color w:val="000000" w:themeColor="text1"/>
              </w:rPr>
            </w:pPr>
            <w:r w:rsidRPr="00E22AA6">
              <w:rPr>
                <w:color w:val="000000" w:themeColor="text1"/>
              </w:rPr>
              <w:t>100.0</w:t>
            </w:r>
          </w:p>
        </w:tc>
        <w:tc>
          <w:tcPr>
            <w:tcW w:w="1701" w:type="dxa"/>
            <w:vAlign w:val="center"/>
          </w:tcPr>
          <w:p w14:paraId="68A558EE" w14:textId="77777777" w:rsidR="009E0B0F" w:rsidRPr="00E22AA6" w:rsidRDefault="009E0B0F" w:rsidP="00832E0A">
            <w:pPr>
              <w:pStyle w:val="DHHStabletext6pt"/>
              <w:jc w:val="center"/>
              <w:rPr>
                <w:color w:val="000000" w:themeColor="text1"/>
              </w:rPr>
            </w:pPr>
            <w:r w:rsidRPr="00E22AA6">
              <w:rPr>
                <w:color w:val="000000" w:themeColor="text1"/>
              </w:rPr>
              <w:t>100.0</w:t>
            </w:r>
          </w:p>
        </w:tc>
        <w:tc>
          <w:tcPr>
            <w:tcW w:w="1701" w:type="dxa"/>
            <w:vAlign w:val="center"/>
          </w:tcPr>
          <w:p w14:paraId="2A51837F" w14:textId="77777777" w:rsidR="009E0B0F" w:rsidRPr="00E22AA6" w:rsidRDefault="009E0B0F" w:rsidP="00832E0A">
            <w:pPr>
              <w:pStyle w:val="DHHStabletext6pt"/>
              <w:jc w:val="center"/>
              <w:rPr>
                <w:color w:val="000000" w:themeColor="text1"/>
              </w:rPr>
            </w:pPr>
            <w:r w:rsidRPr="00E22AA6">
              <w:rPr>
                <w:color w:val="000000" w:themeColor="text1"/>
              </w:rPr>
              <w:t>50.0</w:t>
            </w:r>
          </w:p>
        </w:tc>
      </w:tr>
    </w:tbl>
    <w:p w14:paraId="1EF5E492" w14:textId="4335E027" w:rsidR="00E5272B" w:rsidRDefault="00832E0A" w:rsidP="00F15A49">
      <w:pPr>
        <w:pStyle w:val="DHHStablecaption"/>
      </w:pPr>
      <w:r>
        <w:t xml:space="preserve"> </w:t>
      </w:r>
      <w:r w:rsidR="00355132">
        <w:rPr>
          <w:noProof/>
        </w:rPr>
        <w:drawing>
          <wp:inline distT="0" distB="0" distL="0" distR="0" wp14:anchorId="653064CD" wp14:editId="48B08712">
            <wp:extent cx="5316173" cy="3200677"/>
            <wp:effectExtent l="0" t="0" r="0" b="0"/>
            <wp:docPr id="27" name="Picture 27" descr="Table 6: Menu printed – percentage complie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6"/>
                    <a:stretch>
                      <a:fillRect/>
                    </a:stretch>
                  </pic:blipFill>
                  <pic:spPr>
                    <a:xfrm>
                      <a:off x="0" y="0"/>
                      <a:ext cx="5316173" cy="3200677"/>
                    </a:xfrm>
                    <a:prstGeom prst="rect">
                      <a:avLst/>
                    </a:prstGeom>
                  </pic:spPr>
                </pic:pic>
              </a:graphicData>
            </a:graphic>
          </wp:inline>
        </w:drawing>
      </w:r>
    </w:p>
    <w:p w14:paraId="5A4E87FC" w14:textId="797EA851" w:rsidR="00113423" w:rsidRPr="00474933" w:rsidRDefault="00F15A49" w:rsidP="00474933">
      <w:pPr>
        <w:pStyle w:val="DHHStablecaption"/>
      </w:pPr>
      <w:r>
        <w:t xml:space="preserve">Table 7: </w:t>
      </w:r>
      <w:r w:rsidR="00113423" w:rsidRPr="00474933">
        <w:t xml:space="preserve">Menu poster – percentage complied 2018 </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34"/>
        <w:gridCol w:w="1701"/>
        <w:gridCol w:w="1701"/>
        <w:gridCol w:w="1701"/>
        <w:gridCol w:w="1701"/>
      </w:tblGrid>
      <w:tr w:rsidR="00832E0A" w:rsidRPr="0031717D" w14:paraId="1D05BE29" w14:textId="77777777" w:rsidTr="00832E0A">
        <w:trPr>
          <w:trHeight w:val="567"/>
          <w:tblHeader/>
        </w:trPr>
        <w:tc>
          <w:tcPr>
            <w:tcW w:w="1134" w:type="dxa"/>
            <w:shd w:val="clear" w:color="auto" w:fill="201547"/>
            <w:vAlign w:val="center"/>
          </w:tcPr>
          <w:p w14:paraId="11C3AB50" w14:textId="77777777" w:rsidR="00832E0A" w:rsidRPr="0031717D" w:rsidRDefault="00832E0A" w:rsidP="00832E0A">
            <w:pPr>
              <w:pStyle w:val="DHHStablecolhead"/>
              <w:rPr>
                <w:color w:val="FFFFFF"/>
              </w:rPr>
            </w:pPr>
            <w:r>
              <w:rPr>
                <w:color w:val="FFFFFF"/>
              </w:rPr>
              <w:t>Year</w:t>
            </w:r>
          </w:p>
        </w:tc>
        <w:tc>
          <w:tcPr>
            <w:tcW w:w="1701" w:type="dxa"/>
            <w:shd w:val="clear" w:color="auto" w:fill="201547"/>
            <w:vAlign w:val="center"/>
          </w:tcPr>
          <w:p w14:paraId="1A8FCA98" w14:textId="77777777" w:rsidR="00832E0A" w:rsidRPr="0031717D" w:rsidRDefault="00832E0A" w:rsidP="00832E0A">
            <w:pPr>
              <w:pStyle w:val="DHHStablecolhead"/>
              <w:jc w:val="center"/>
              <w:rPr>
                <w:color w:val="FFFFFF"/>
              </w:rPr>
            </w:pPr>
            <w:r w:rsidRPr="0031717D">
              <w:rPr>
                <w:color w:val="FFFFFF"/>
              </w:rPr>
              <w:t>Displayed</w:t>
            </w:r>
          </w:p>
        </w:tc>
        <w:tc>
          <w:tcPr>
            <w:tcW w:w="1701" w:type="dxa"/>
            <w:shd w:val="clear" w:color="auto" w:fill="201547"/>
            <w:vAlign w:val="center"/>
          </w:tcPr>
          <w:p w14:paraId="195BFB58" w14:textId="77777777" w:rsidR="00832E0A" w:rsidRPr="0031717D" w:rsidRDefault="00832E0A" w:rsidP="00832E0A">
            <w:pPr>
              <w:pStyle w:val="DHHStablecolhead"/>
              <w:jc w:val="center"/>
              <w:rPr>
                <w:color w:val="FFFFFF"/>
              </w:rPr>
            </w:pPr>
            <w:r w:rsidRPr="0031717D">
              <w:rPr>
                <w:color w:val="FFFFFF"/>
              </w:rPr>
              <w:t>Legible</w:t>
            </w:r>
          </w:p>
        </w:tc>
        <w:tc>
          <w:tcPr>
            <w:tcW w:w="1701" w:type="dxa"/>
            <w:shd w:val="clear" w:color="auto" w:fill="201547"/>
            <w:vAlign w:val="center"/>
          </w:tcPr>
          <w:p w14:paraId="78C61570" w14:textId="77777777" w:rsidR="00832E0A" w:rsidRPr="0031717D" w:rsidRDefault="00832E0A" w:rsidP="00832E0A">
            <w:pPr>
              <w:pStyle w:val="DHHStablecolhead"/>
              <w:jc w:val="center"/>
              <w:rPr>
                <w:color w:val="FFFFFF"/>
              </w:rPr>
            </w:pPr>
            <w:r>
              <w:rPr>
                <w:color w:val="FFFFFF"/>
              </w:rPr>
              <w:t>Prominent</w:t>
            </w:r>
          </w:p>
        </w:tc>
        <w:tc>
          <w:tcPr>
            <w:tcW w:w="1701" w:type="dxa"/>
            <w:shd w:val="clear" w:color="auto" w:fill="201547"/>
            <w:vAlign w:val="center"/>
          </w:tcPr>
          <w:p w14:paraId="62316BE9" w14:textId="77777777" w:rsidR="00832E0A" w:rsidRPr="0031717D" w:rsidRDefault="00832E0A" w:rsidP="00832E0A">
            <w:pPr>
              <w:pStyle w:val="DHHStablecolhead"/>
              <w:jc w:val="center"/>
              <w:rPr>
                <w:color w:val="FFFFFF"/>
              </w:rPr>
            </w:pPr>
            <w:r w:rsidRPr="0031717D">
              <w:rPr>
                <w:color w:val="FFFFFF"/>
              </w:rPr>
              <w:t>Font size</w:t>
            </w:r>
          </w:p>
        </w:tc>
      </w:tr>
      <w:tr w:rsidR="00832E0A" w:rsidRPr="00BD1C0E" w14:paraId="25846009" w14:textId="77777777" w:rsidTr="00832E0A">
        <w:trPr>
          <w:trHeight w:val="567"/>
        </w:trPr>
        <w:tc>
          <w:tcPr>
            <w:tcW w:w="1134" w:type="dxa"/>
            <w:vAlign w:val="center"/>
          </w:tcPr>
          <w:p w14:paraId="005CEFAF" w14:textId="77777777" w:rsidR="00832E0A" w:rsidRDefault="00832E0A" w:rsidP="00832E0A">
            <w:pPr>
              <w:pStyle w:val="DHHStabletext6pt"/>
              <w:rPr>
                <w:rFonts w:cs="Arial"/>
                <w:b/>
                <w:bCs/>
                <w:color w:val="000000"/>
              </w:rPr>
            </w:pPr>
            <w:r>
              <w:rPr>
                <w:rFonts w:cs="Arial"/>
                <w:b/>
                <w:bCs/>
                <w:color w:val="000000"/>
              </w:rPr>
              <w:t>2018</w:t>
            </w:r>
          </w:p>
        </w:tc>
        <w:tc>
          <w:tcPr>
            <w:tcW w:w="1701" w:type="dxa"/>
            <w:vAlign w:val="center"/>
          </w:tcPr>
          <w:p w14:paraId="0863B650" w14:textId="77777777" w:rsidR="00832E0A" w:rsidRPr="002E3033" w:rsidRDefault="00832E0A" w:rsidP="00832E0A">
            <w:pPr>
              <w:pStyle w:val="DHHStabletext6pt"/>
              <w:jc w:val="center"/>
              <w:rPr>
                <w:rFonts w:cs="Arial"/>
                <w:color w:val="000000"/>
              </w:rPr>
            </w:pPr>
            <w:r w:rsidRPr="002E3033">
              <w:rPr>
                <w:rFonts w:cs="Arial"/>
                <w:color w:val="000000"/>
              </w:rPr>
              <w:t>75.0</w:t>
            </w:r>
          </w:p>
        </w:tc>
        <w:tc>
          <w:tcPr>
            <w:tcW w:w="1701" w:type="dxa"/>
            <w:vAlign w:val="center"/>
          </w:tcPr>
          <w:p w14:paraId="7455D535" w14:textId="77777777" w:rsidR="00832E0A" w:rsidRPr="002E3033" w:rsidRDefault="00832E0A" w:rsidP="00832E0A">
            <w:pPr>
              <w:pStyle w:val="DHHStabletext6pt"/>
              <w:jc w:val="center"/>
              <w:rPr>
                <w:rFonts w:cs="Arial"/>
                <w:color w:val="000000"/>
              </w:rPr>
            </w:pPr>
            <w:r w:rsidRPr="002E3033">
              <w:rPr>
                <w:rFonts w:cs="Arial"/>
                <w:color w:val="000000"/>
              </w:rPr>
              <w:t>100.0</w:t>
            </w:r>
          </w:p>
        </w:tc>
        <w:tc>
          <w:tcPr>
            <w:tcW w:w="1701" w:type="dxa"/>
            <w:vAlign w:val="center"/>
          </w:tcPr>
          <w:p w14:paraId="1BE138AD" w14:textId="77777777" w:rsidR="00832E0A" w:rsidRPr="002E3033" w:rsidRDefault="00832E0A" w:rsidP="00832E0A">
            <w:pPr>
              <w:pStyle w:val="DHHStabletext6pt"/>
              <w:jc w:val="center"/>
              <w:rPr>
                <w:rFonts w:cs="Arial"/>
                <w:color w:val="000000"/>
              </w:rPr>
            </w:pPr>
            <w:r w:rsidRPr="002E3033">
              <w:rPr>
                <w:rFonts w:cs="Arial"/>
                <w:color w:val="000000"/>
              </w:rPr>
              <w:t>100.0</w:t>
            </w:r>
          </w:p>
        </w:tc>
        <w:tc>
          <w:tcPr>
            <w:tcW w:w="1701" w:type="dxa"/>
            <w:vAlign w:val="center"/>
          </w:tcPr>
          <w:p w14:paraId="2A47F4BA" w14:textId="77777777" w:rsidR="00832E0A" w:rsidRPr="002E3033" w:rsidRDefault="00832E0A" w:rsidP="00832E0A">
            <w:pPr>
              <w:pStyle w:val="DHHStabletext6pt"/>
              <w:jc w:val="center"/>
              <w:rPr>
                <w:rFonts w:cs="Arial"/>
                <w:color w:val="000000"/>
              </w:rPr>
            </w:pPr>
            <w:r w:rsidRPr="002E3033">
              <w:rPr>
                <w:rFonts w:cs="Arial"/>
                <w:color w:val="000000"/>
              </w:rPr>
              <w:t>100.0</w:t>
            </w:r>
          </w:p>
        </w:tc>
      </w:tr>
      <w:tr w:rsidR="00832E0A" w:rsidRPr="00BD1C0E" w14:paraId="6908BCE7" w14:textId="77777777" w:rsidTr="00832E0A">
        <w:trPr>
          <w:trHeight w:val="567"/>
        </w:trPr>
        <w:tc>
          <w:tcPr>
            <w:tcW w:w="1134" w:type="dxa"/>
            <w:vAlign w:val="center"/>
          </w:tcPr>
          <w:p w14:paraId="6264F24A" w14:textId="77777777" w:rsidR="00832E0A" w:rsidRDefault="00832E0A" w:rsidP="00832E0A">
            <w:pPr>
              <w:pStyle w:val="DHHStabletext6pt"/>
              <w:rPr>
                <w:rFonts w:cs="Arial"/>
                <w:b/>
                <w:bCs/>
                <w:color w:val="000000"/>
              </w:rPr>
            </w:pPr>
            <w:r>
              <w:rPr>
                <w:rFonts w:cs="Arial"/>
                <w:b/>
                <w:bCs/>
                <w:color w:val="000000"/>
              </w:rPr>
              <w:t>2019</w:t>
            </w:r>
          </w:p>
        </w:tc>
        <w:tc>
          <w:tcPr>
            <w:tcW w:w="1701" w:type="dxa"/>
            <w:vAlign w:val="center"/>
          </w:tcPr>
          <w:p w14:paraId="55AFE37D" w14:textId="77777777" w:rsidR="00832E0A" w:rsidRPr="002E3033" w:rsidRDefault="00832E0A" w:rsidP="00832E0A">
            <w:pPr>
              <w:pStyle w:val="DHHStabletext6pt"/>
              <w:jc w:val="center"/>
              <w:rPr>
                <w:rFonts w:cs="Arial"/>
                <w:color w:val="000000" w:themeColor="text1"/>
              </w:rPr>
            </w:pPr>
            <w:r w:rsidRPr="002E3033">
              <w:rPr>
                <w:rFonts w:cs="Arial"/>
                <w:color w:val="000000" w:themeColor="text1"/>
              </w:rPr>
              <w:t>100.0</w:t>
            </w:r>
          </w:p>
        </w:tc>
        <w:tc>
          <w:tcPr>
            <w:tcW w:w="1701" w:type="dxa"/>
            <w:vAlign w:val="center"/>
          </w:tcPr>
          <w:p w14:paraId="57B70DBF" w14:textId="77777777" w:rsidR="00832E0A" w:rsidRPr="002E3033" w:rsidRDefault="00832E0A" w:rsidP="00832E0A">
            <w:pPr>
              <w:pStyle w:val="DHHStabletext6pt"/>
              <w:jc w:val="center"/>
              <w:rPr>
                <w:rFonts w:cs="Arial"/>
                <w:color w:val="000000" w:themeColor="text1"/>
              </w:rPr>
            </w:pPr>
            <w:r w:rsidRPr="002E3033">
              <w:rPr>
                <w:rFonts w:cs="Arial"/>
                <w:color w:val="000000" w:themeColor="text1"/>
              </w:rPr>
              <w:t>100.0</w:t>
            </w:r>
          </w:p>
        </w:tc>
        <w:tc>
          <w:tcPr>
            <w:tcW w:w="1701" w:type="dxa"/>
            <w:vAlign w:val="center"/>
          </w:tcPr>
          <w:p w14:paraId="24974256" w14:textId="77777777" w:rsidR="00832E0A" w:rsidRPr="002E3033" w:rsidRDefault="00832E0A" w:rsidP="00832E0A">
            <w:pPr>
              <w:pStyle w:val="DHHStabletext6pt"/>
              <w:jc w:val="center"/>
              <w:rPr>
                <w:rFonts w:cs="Arial"/>
                <w:color w:val="000000" w:themeColor="text1"/>
              </w:rPr>
            </w:pPr>
            <w:r w:rsidRPr="002E3033">
              <w:rPr>
                <w:rFonts w:cs="Arial"/>
                <w:color w:val="000000" w:themeColor="text1"/>
              </w:rPr>
              <w:t>100.0</w:t>
            </w:r>
          </w:p>
        </w:tc>
        <w:tc>
          <w:tcPr>
            <w:tcW w:w="1701" w:type="dxa"/>
            <w:vAlign w:val="center"/>
          </w:tcPr>
          <w:p w14:paraId="59D8B0F0" w14:textId="77777777" w:rsidR="00832E0A" w:rsidRPr="002E3033" w:rsidRDefault="00832E0A" w:rsidP="00832E0A">
            <w:pPr>
              <w:pStyle w:val="DHHStabletext6pt"/>
              <w:jc w:val="center"/>
              <w:rPr>
                <w:rFonts w:cs="Arial"/>
                <w:color w:val="000000" w:themeColor="text1"/>
              </w:rPr>
            </w:pPr>
            <w:r w:rsidRPr="002E3033">
              <w:rPr>
                <w:rFonts w:cs="Arial"/>
                <w:color w:val="000000" w:themeColor="text1"/>
              </w:rPr>
              <w:t>100.0</w:t>
            </w:r>
          </w:p>
        </w:tc>
      </w:tr>
    </w:tbl>
    <w:p w14:paraId="3A4E8662" w14:textId="596715EB" w:rsidR="00364304" w:rsidRDefault="00F15A49" w:rsidP="00F15A49">
      <w:pPr>
        <w:pStyle w:val="DHHSbullet1"/>
        <w:numPr>
          <w:ilvl w:val="0"/>
          <w:numId w:val="0"/>
        </w:numPr>
        <w:spacing w:before="240" w:after="240"/>
      </w:pPr>
      <w:r>
        <w:rPr>
          <w:noProof/>
        </w:rPr>
        <w:drawing>
          <wp:inline distT="0" distB="0" distL="0" distR="0" wp14:anchorId="62C0AD43" wp14:editId="7FAB156A">
            <wp:extent cx="5316173" cy="3200677"/>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7"/>
                    <a:stretch>
                      <a:fillRect/>
                    </a:stretch>
                  </pic:blipFill>
                  <pic:spPr>
                    <a:xfrm>
                      <a:off x="0" y="0"/>
                      <a:ext cx="5316173" cy="3200677"/>
                    </a:xfrm>
                    <a:prstGeom prst="rect">
                      <a:avLst/>
                    </a:prstGeom>
                  </pic:spPr>
                </pic:pic>
              </a:graphicData>
            </a:graphic>
          </wp:inline>
        </w:drawing>
      </w:r>
    </w:p>
    <w:p w14:paraId="5318F63B" w14:textId="77777777" w:rsidR="00355132" w:rsidRDefault="00355132">
      <w:pPr>
        <w:rPr>
          <w:rFonts w:ascii="Arial" w:hAnsi="Arial"/>
          <w:b/>
        </w:rPr>
      </w:pPr>
      <w:r>
        <w:br w:type="page"/>
      </w:r>
    </w:p>
    <w:p w14:paraId="71863D95" w14:textId="54D38EC5" w:rsidR="00862766" w:rsidRPr="00474933" w:rsidRDefault="00F15A49" w:rsidP="00474933">
      <w:pPr>
        <w:pStyle w:val="DHHStablecaption"/>
      </w:pPr>
      <w:r>
        <w:t xml:space="preserve">Table 8: </w:t>
      </w:r>
      <w:r w:rsidR="00862766" w:rsidRPr="00474933">
        <w:t xml:space="preserve">Display cabinet – percentage complied 2018 </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34"/>
        <w:gridCol w:w="1701"/>
        <w:gridCol w:w="1701"/>
        <w:gridCol w:w="1701"/>
        <w:gridCol w:w="1701"/>
      </w:tblGrid>
      <w:tr w:rsidR="002E3033" w:rsidRPr="0031717D" w14:paraId="71E48298" w14:textId="77777777" w:rsidTr="002E3033">
        <w:trPr>
          <w:trHeight w:val="567"/>
          <w:tblHeader/>
        </w:trPr>
        <w:tc>
          <w:tcPr>
            <w:tcW w:w="1134" w:type="dxa"/>
            <w:shd w:val="clear" w:color="auto" w:fill="201547"/>
            <w:vAlign w:val="center"/>
          </w:tcPr>
          <w:p w14:paraId="45F5711E" w14:textId="77777777" w:rsidR="002E3033" w:rsidRPr="0031717D" w:rsidRDefault="002E3033" w:rsidP="002E3033">
            <w:pPr>
              <w:pStyle w:val="DHHStablecolhead"/>
              <w:rPr>
                <w:color w:val="FFFFFF"/>
              </w:rPr>
            </w:pPr>
            <w:r>
              <w:rPr>
                <w:color w:val="FFFFFF"/>
              </w:rPr>
              <w:t>Year</w:t>
            </w:r>
          </w:p>
        </w:tc>
        <w:tc>
          <w:tcPr>
            <w:tcW w:w="1701" w:type="dxa"/>
            <w:shd w:val="clear" w:color="auto" w:fill="201547"/>
            <w:vAlign w:val="center"/>
          </w:tcPr>
          <w:p w14:paraId="74016CA1" w14:textId="77777777" w:rsidR="002E3033" w:rsidRPr="0031717D" w:rsidRDefault="002E3033" w:rsidP="002E3033">
            <w:pPr>
              <w:pStyle w:val="DHHStablecolhead"/>
              <w:jc w:val="center"/>
              <w:rPr>
                <w:color w:val="FFFFFF"/>
              </w:rPr>
            </w:pPr>
            <w:r w:rsidRPr="0031717D">
              <w:rPr>
                <w:color w:val="FFFFFF"/>
              </w:rPr>
              <w:t>Displayed</w:t>
            </w:r>
          </w:p>
        </w:tc>
        <w:tc>
          <w:tcPr>
            <w:tcW w:w="1701" w:type="dxa"/>
            <w:shd w:val="clear" w:color="auto" w:fill="201547"/>
            <w:vAlign w:val="center"/>
          </w:tcPr>
          <w:p w14:paraId="75B1496E" w14:textId="77777777" w:rsidR="002E3033" w:rsidRPr="0031717D" w:rsidRDefault="002E3033" w:rsidP="002E3033">
            <w:pPr>
              <w:pStyle w:val="DHHStablecolhead"/>
              <w:jc w:val="center"/>
              <w:rPr>
                <w:color w:val="FFFFFF"/>
              </w:rPr>
            </w:pPr>
            <w:r w:rsidRPr="0031717D">
              <w:rPr>
                <w:color w:val="FFFFFF"/>
              </w:rPr>
              <w:t>Legible</w:t>
            </w:r>
          </w:p>
        </w:tc>
        <w:tc>
          <w:tcPr>
            <w:tcW w:w="1701" w:type="dxa"/>
            <w:shd w:val="clear" w:color="auto" w:fill="201547"/>
            <w:vAlign w:val="center"/>
          </w:tcPr>
          <w:p w14:paraId="2D5B055C" w14:textId="77777777" w:rsidR="002E3033" w:rsidRPr="0031717D" w:rsidRDefault="002E3033" w:rsidP="002E3033">
            <w:pPr>
              <w:pStyle w:val="DHHStablecolhead"/>
              <w:jc w:val="center"/>
              <w:rPr>
                <w:color w:val="FFFFFF"/>
              </w:rPr>
            </w:pPr>
            <w:r>
              <w:rPr>
                <w:color w:val="FFFFFF"/>
              </w:rPr>
              <w:t>Prominent</w:t>
            </w:r>
          </w:p>
        </w:tc>
        <w:tc>
          <w:tcPr>
            <w:tcW w:w="1701" w:type="dxa"/>
            <w:shd w:val="clear" w:color="auto" w:fill="201547"/>
            <w:vAlign w:val="center"/>
          </w:tcPr>
          <w:p w14:paraId="17E972C4" w14:textId="77777777" w:rsidR="002E3033" w:rsidRPr="0031717D" w:rsidRDefault="002E3033" w:rsidP="002E3033">
            <w:pPr>
              <w:pStyle w:val="DHHStablecolhead"/>
              <w:jc w:val="center"/>
              <w:rPr>
                <w:color w:val="FFFFFF"/>
              </w:rPr>
            </w:pPr>
            <w:r w:rsidRPr="0031717D">
              <w:rPr>
                <w:color w:val="FFFFFF"/>
              </w:rPr>
              <w:t>Font size</w:t>
            </w:r>
          </w:p>
        </w:tc>
      </w:tr>
      <w:tr w:rsidR="002E3033" w:rsidRPr="00BD1C0E" w14:paraId="60DEC445" w14:textId="77777777" w:rsidTr="002E3033">
        <w:trPr>
          <w:trHeight w:val="567"/>
        </w:trPr>
        <w:tc>
          <w:tcPr>
            <w:tcW w:w="1134" w:type="dxa"/>
            <w:vAlign w:val="center"/>
          </w:tcPr>
          <w:p w14:paraId="667306AA" w14:textId="77777777" w:rsidR="002E3033" w:rsidRDefault="002E3033" w:rsidP="002E3033">
            <w:pPr>
              <w:pStyle w:val="DHHStabletext6pt"/>
              <w:rPr>
                <w:rFonts w:cs="Arial"/>
                <w:b/>
                <w:bCs/>
                <w:color w:val="000000"/>
              </w:rPr>
            </w:pPr>
            <w:r>
              <w:rPr>
                <w:rFonts w:cs="Arial"/>
                <w:b/>
                <w:bCs/>
                <w:color w:val="000000"/>
              </w:rPr>
              <w:t>2018</w:t>
            </w:r>
          </w:p>
        </w:tc>
        <w:tc>
          <w:tcPr>
            <w:tcW w:w="1701" w:type="dxa"/>
            <w:vAlign w:val="center"/>
          </w:tcPr>
          <w:p w14:paraId="65D394ED" w14:textId="77777777" w:rsidR="002E3033" w:rsidRPr="002E3033" w:rsidRDefault="002E3033" w:rsidP="002E3033">
            <w:pPr>
              <w:pStyle w:val="DHHStabletext6pt"/>
              <w:jc w:val="center"/>
              <w:rPr>
                <w:rFonts w:cs="Arial"/>
                <w:color w:val="000000"/>
              </w:rPr>
            </w:pPr>
            <w:r w:rsidRPr="002E3033">
              <w:rPr>
                <w:rFonts w:cs="Arial"/>
                <w:color w:val="000000"/>
              </w:rPr>
              <w:t>45.5</w:t>
            </w:r>
          </w:p>
        </w:tc>
        <w:tc>
          <w:tcPr>
            <w:tcW w:w="1701" w:type="dxa"/>
            <w:vAlign w:val="center"/>
          </w:tcPr>
          <w:p w14:paraId="01053AE4" w14:textId="77777777" w:rsidR="002E3033" w:rsidRPr="002E3033" w:rsidRDefault="002E3033" w:rsidP="002E3033">
            <w:pPr>
              <w:pStyle w:val="DHHStabletext6pt"/>
              <w:jc w:val="center"/>
              <w:rPr>
                <w:rFonts w:cs="Arial"/>
                <w:color w:val="000000"/>
              </w:rPr>
            </w:pPr>
            <w:r w:rsidRPr="002E3033">
              <w:rPr>
                <w:rFonts w:cs="Arial"/>
                <w:color w:val="000000"/>
              </w:rPr>
              <w:t>100.0</w:t>
            </w:r>
          </w:p>
        </w:tc>
        <w:tc>
          <w:tcPr>
            <w:tcW w:w="1701" w:type="dxa"/>
            <w:vAlign w:val="center"/>
          </w:tcPr>
          <w:p w14:paraId="40B0FACB" w14:textId="77777777" w:rsidR="002E3033" w:rsidRPr="002E3033" w:rsidRDefault="002E3033" w:rsidP="002E3033">
            <w:pPr>
              <w:pStyle w:val="DHHStabletext6pt"/>
              <w:jc w:val="center"/>
              <w:rPr>
                <w:rFonts w:cs="Arial"/>
                <w:color w:val="000000"/>
              </w:rPr>
            </w:pPr>
            <w:r w:rsidRPr="002E3033">
              <w:rPr>
                <w:rFonts w:cs="Arial"/>
                <w:color w:val="000000"/>
              </w:rPr>
              <w:t>100.0</w:t>
            </w:r>
          </w:p>
        </w:tc>
        <w:tc>
          <w:tcPr>
            <w:tcW w:w="1701" w:type="dxa"/>
            <w:vAlign w:val="center"/>
          </w:tcPr>
          <w:p w14:paraId="60921FE7" w14:textId="77777777" w:rsidR="002E3033" w:rsidRPr="002E3033" w:rsidRDefault="002E3033" w:rsidP="002E3033">
            <w:pPr>
              <w:pStyle w:val="DHHStabletext6pt"/>
              <w:jc w:val="center"/>
              <w:rPr>
                <w:rFonts w:cs="Arial"/>
                <w:color w:val="000000"/>
              </w:rPr>
            </w:pPr>
            <w:r w:rsidRPr="002E3033">
              <w:rPr>
                <w:rFonts w:cs="Arial"/>
                <w:color w:val="000000"/>
              </w:rPr>
              <w:t>100.0</w:t>
            </w:r>
          </w:p>
        </w:tc>
      </w:tr>
      <w:tr w:rsidR="002E3033" w:rsidRPr="00BD1C0E" w14:paraId="476638CF" w14:textId="77777777" w:rsidTr="002E3033">
        <w:trPr>
          <w:trHeight w:val="567"/>
        </w:trPr>
        <w:tc>
          <w:tcPr>
            <w:tcW w:w="1134" w:type="dxa"/>
            <w:vAlign w:val="center"/>
          </w:tcPr>
          <w:p w14:paraId="5D1C85B9" w14:textId="77777777" w:rsidR="002E3033" w:rsidRDefault="002E3033" w:rsidP="002E3033">
            <w:pPr>
              <w:pStyle w:val="DHHStabletext6pt"/>
              <w:rPr>
                <w:rFonts w:cs="Arial"/>
                <w:b/>
                <w:bCs/>
                <w:color w:val="000000"/>
              </w:rPr>
            </w:pPr>
            <w:r>
              <w:rPr>
                <w:rFonts w:cs="Arial"/>
                <w:b/>
                <w:bCs/>
                <w:color w:val="000000"/>
              </w:rPr>
              <w:t>2019</w:t>
            </w:r>
          </w:p>
        </w:tc>
        <w:tc>
          <w:tcPr>
            <w:tcW w:w="1701" w:type="dxa"/>
            <w:vAlign w:val="center"/>
          </w:tcPr>
          <w:p w14:paraId="2A42F14F" w14:textId="77777777" w:rsidR="002E3033" w:rsidRPr="002E3033" w:rsidRDefault="002E3033" w:rsidP="002E3033">
            <w:pPr>
              <w:pStyle w:val="DHHStabletext6pt"/>
              <w:jc w:val="center"/>
              <w:rPr>
                <w:rFonts w:cs="Arial"/>
                <w:color w:val="000000" w:themeColor="text1"/>
              </w:rPr>
            </w:pPr>
            <w:r w:rsidRPr="002E3033">
              <w:rPr>
                <w:rFonts w:cs="Arial"/>
                <w:color w:val="000000" w:themeColor="text1"/>
              </w:rPr>
              <w:t>58.3</w:t>
            </w:r>
          </w:p>
        </w:tc>
        <w:tc>
          <w:tcPr>
            <w:tcW w:w="1701" w:type="dxa"/>
            <w:vAlign w:val="center"/>
          </w:tcPr>
          <w:p w14:paraId="65303B23" w14:textId="77777777" w:rsidR="002E3033" w:rsidRPr="002E3033" w:rsidRDefault="002E3033" w:rsidP="002E3033">
            <w:pPr>
              <w:pStyle w:val="DHHStabletext6pt"/>
              <w:jc w:val="center"/>
              <w:rPr>
                <w:rFonts w:cs="Arial"/>
                <w:color w:val="000000" w:themeColor="text1"/>
              </w:rPr>
            </w:pPr>
            <w:r w:rsidRPr="002E3033">
              <w:rPr>
                <w:rFonts w:cs="Arial"/>
                <w:color w:val="000000" w:themeColor="text1"/>
              </w:rPr>
              <w:t>100.0</w:t>
            </w:r>
          </w:p>
        </w:tc>
        <w:tc>
          <w:tcPr>
            <w:tcW w:w="1701" w:type="dxa"/>
            <w:vAlign w:val="center"/>
          </w:tcPr>
          <w:p w14:paraId="0659ACF2" w14:textId="77777777" w:rsidR="002E3033" w:rsidRPr="002E3033" w:rsidRDefault="002E3033" w:rsidP="002E3033">
            <w:pPr>
              <w:pStyle w:val="DHHStabletext6pt"/>
              <w:jc w:val="center"/>
              <w:rPr>
                <w:rFonts w:cs="Arial"/>
                <w:color w:val="000000" w:themeColor="text1"/>
              </w:rPr>
            </w:pPr>
            <w:r w:rsidRPr="002E3033">
              <w:rPr>
                <w:rFonts w:cs="Arial"/>
                <w:color w:val="000000" w:themeColor="text1"/>
              </w:rPr>
              <w:t>100.0</w:t>
            </w:r>
          </w:p>
        </w:tc>
        <w:tc>
          <w:tcPr>
            <w:tcW w:w="1701" w:type="dxa"/>
            <w:vAlign w:val="center"/>
          </w:tcPr>
          <w:p w14:paraId="394C83BA" w14:textId="77777777" w:rsidR="002E3033" w:rsidRPr="002E3033" w:rsidRDefault="002E3033" w:rsidP="002E3033">
            <w:pPr>
              <w:pStyle w:val="DHHStabletext6pt"/>
              <w:jc w:val="center"/>
              <w:rPr>
                <w:rFonts w:cs="Arial"/>
                <w:color w:val="000000" w:themeColor="text1"/>
              </w:rPr>
            </w:pPr>
            <w:r w:rsidRPr="002E3033">
              <w:rPr>
                <w:rFonts w:cs="Arial"/>
                <w:color w:val="000000" w:themeColor="text1"/>
              </w:rPr>
              <w:t>100.0</w:t>
            </w:r>
          </w:p>
        </w:tc>
      </w:tr>
    </w:tbl>
    <w:p w14:paraId="379E268E" w14:textId="77777777" w:rsidR="002E3033" w:rsidRDefault="002E3033"/>
    <w:p w14:paraId="4939E8C2" w14:textId="4C25C054" w:rsidR="00A964FD" w:rsidRDefault="00355132" w:rsidP="00C9639B">
      <w:pPr>
        <w:pStyle w:val="DHHSbullet1"/>
        <w:numPr>
          <w:ilvl w:val="0"/>
          <w:numId w:val="0"/>
        </w:numPr>
        <w:spacing w:before="240" w:after="240"/>
        <w:ind w:left="284" w:hanging="284"/>
      </w:pPr>
      <w:r>
        <w:rPr>
          <w:noProof/>
        </w:rPr>
        <w:drawing>
          <wp:inline distT="0" distB="0" distL="0" distR="0" wp14:anchorId="5F504389" wp14:editId="43D67949">
            <wp:extent cx="5352752" cy="3200677"/>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a:stretch>
                      <a:fillRect/>
                    </a:stretch>
                  </pic:blipFill>
                  <pic:spPr>
                    <a:xfrm>
                      <a:off x="0" y="0"/>
                      <a:ext cx="5352752" cy="3200677"/>
                    </a:xfrm>
                    <a:prstGeom prst="rect">
                      <a:avLst/>
                    </a:prstGeom>
                  </pic:spPr>
                </pic:pic>
              </a:graphicData>
            </a:graphic>
          </wp:inline>
        </w:drawing>
      </w:r>
    </w:p>
    <w:p w14:paraId="4DA325C7" w14:textId="77777777" w:rsidR="00211AE5" w:rsidRDefault="00211AE5" w:rsidP="00474933">
      <w:pPr>
        <w:pStyle w:val="Heading2"/>
      </w:pPr>
      <w:bookmarkStart w:id="9" w:name="_Toc75278957"/>
      <w:r w:rsidRPr="00211AE5">
        <w:t xml:space="preserve">Key points – </w:t>
      </w:r>
      <w:r w:rsidR="00825557">
        <w:t xml:space="preserve">8700 </w:t>
      </w:r>
      <w:r w:rsidRPr="00211AE5">
        <w:t>kJ</w:t>
      </w:r>
      <w:r>
        <w:t xml:space="preserve"> </w:t>
      </w:r>
      <w:r w:rsidR="00825557">
        <w:t>reference statement in premises</w:t>
      </w:r>
      <w:bookmarkEnd w:id="9"/>
    </w:p>
    <w:p w14:paraId="06ED3231" w14:textId="6C5D020C" w:rsidR="00391F82" w:rsidRPr="00806E51" w:rsidRDefault="00886477" w:rsidP="00391F82">
      <w:pPr>
        <w:pStyle w:val="DHHSbullet1"/>
        <w:rPr>
          <w:color w:val="000000" w:themeColor="text1"/>
        </w:rPr>
      </w:pPr>
      <w:r>
        <w:rPr>
          <w:color w:val="000000" w:themeColor="text1"/>
        </w:rPr>
        <w:t>T</w:t>
      </w:r>
      <w:r w:rsidR="00391F82" w:rsidRPr="00806E51">
        <w:rPr>
          <w:color w:val="000000" w:themeColor="text1"/>
        </w:rPr>
        <w:t>he presence of the ‘8,700 kJ reference statement’ on menu boards</w:t>
      </w:r>
      <w:r w:rsidR="00EB3CE1">
        <w:rPr>
          <w:color w:val="000000" w:themeColor="text1"/>
        </w:rPr>
        <w:t xml:space="preserve"> in food premises attended </w:t>
      </w:r>
      <w:r w:rsidR="00C378BD" w:rsidRPr="00806E51">
        <w:rPr>
          <w:color w:val="000000" w:themeColor="text1"/>
        </w:rPr>
        <w:t>increased from</w:t>
      </w:r>
      <w:r w:rsidR="00391F82" w:rsidRPr="00806E51">
        <w:rPr>
          <w:color w:val="000000" w:themeColor="text1"/>
        </w:rPr>
        <w:t xml:space="preserve"> 65.4</w:t>
      </w:r>
      <w:r w:rsidR="00D23CD4">
        <w:rPr>
          <w:color w:val="000000" w:themeColor="text1"/>
        </w:rPr>
        <w:t xml:space="preserve"> per cent</w:t>
      </w:r>
      <w:r w:rsidR="00C378BD" w:rsidRPr="00806E51">
        <w:rPr>
          <w:color w:val="000000" w:themeColor="text1"/>
        </w:rPr>
        <w:t xml:space="preserve"> </w:t>
      </w:r>
      <w:r w:rsidR="002C07AF">
        <w:rPr>
          <w:color w:val="000000" w:themeColor="text1"/>
        </w:rPr>
        <w:t xml:space="preserve">of premises </w:t>
      </w:r>
      <w:r w:rsidR="00806E51" w:rsidRPr="00806E51">
        <w:rPr>
          <w:color w:val="000000" w:themeColor="text1"/>
        </w:rPr>
        <w:t>in 2018 to 100.0</w:t>
      </w:r>
      <w:r w:rsidR="00D23CD4">
        <w:rPr>
          <w:color w:val="000000" w:themeColor="text1"/>
        </w:rPr>
        <w:t xml:space="preserve"> per cent</w:t>
      </w:r>
      <w:r w:rsidR="00806E51" w:rsidRPr="00806E51">
        <w:rPr>
          <w:color w:val="000000" w:themeColor="text1"/>
        </w:rPr>
        <w:t xml:space="preserve"> </w:t>
      </w:r>
      <w:r w:rsidR="002C07AF">
        <w:rPr>
          <w:color w:val="000000" w:themeColor="text1"/>
        </w:rPr>
        <w:t xml:space="preserve">of premises </w:t>
      </w:r>
      <w:r w:rsidR="00806E51" w:rsidRPr="00806E51">
        <w:rPr>
          <w:color w:val="000000" w:themeColor="text1"/>
        </w:rPr>
        <w:t>in 2019</w:t>
      </w:r>
      <w:r w:rsidR="00391F82" w:rsidRPr="00806E51">
        <w:rPr>
          <w:color w:val="000000" w:themeColor="text1"/>
        </w:rPr>
        <w:t xml:space="preserve"> which</w:t>
      </w:r>
      <w:r w:rsidR="00806E51" w:rsidRPr="00806E51">
        <w:rPr>
          <w:color w:val="000000" w:themeColor="text1"/>
        </w:rPr>
        <w:t xml:space="preserve"> is an excellent result </w:t>
      </w:r>
    </w:p>
    <w:p w14:paraId="54AB2EAF" w14:textId="03C5A3BE" w:rsidR="004B5720" w:rsidRDefault="00886477" w:rsidP="004B5720">
      <w:pPr>
        <w:pStyle w:val="DHHSbullet1"/>
      </w:pPr>
      <w:r>
        <w:t>T</w:t>
      </w:r>
      <w:r w:rsidR="00237B13">
        <w:t xml:space="preserve">he </w:t>
      </w:r>
      <w:r w:rsidR="002C07AF">
        <w:t xml:space="preserve">presence of the </w:t>
      </w:r>
      <w:r w:rsidR="00237B13" w:rsidRPr="00806E51">
        <w:rPr>
          <w:color w:val="000000" w:themeColor="text1"/>
        </w:rPr>
        <w:t>‘8,700 kJ reference statement’</w:t>
      </w:r>
      <w:r w:rsidR="00237B13">
        <w:rPr>
          <w:color w:val="000000" w:themeColor="text1"/>
        </w:rPr>
        <w:t xml:space="preserve"> increased from </w:t>
      </w:r>
      <w:r w:rsidR="00237B13">
        <w:t>75.0</w:t>
      </w:r>
      <w:r w:rsidR="00D23CD4">
        <w:t xml:space="preserve"> per cent</w:t>
      </w:r>
      <w:r w:rsidR="0048016A">
        <w:t xml:space="preserve"> </w:t>
      </w:r>
      <w:r w:rsidR="002C07AF">
        <w:t xml:space="preserve">compliance </w:t>
      </w:r>
      <w:r w:rsidR="0048016A">
        <w:t xml:space="preserve">in 2018 to </w:t>
      </w:r>
      <w:r w:rsidR="00237B13">
        <w:t>100.0</w:t>
      </w:r>
      <w:r w:rsidR="00D23CD4">
        <w:t xml:space="preserve"> per cent</w:t>
      </w:r>
      <w:r w:rsidR="00237B13">
        <w:t xml:space="preserve"> </w:t>
      </w:r>
      <w:r w:rsidR="002C07AF">
        <w:t xml:space="preserve">compliance </w:t>
      </w:r>
      <w:r w:rsidR="0048016A">
        <w:t xml:space="preserve">in 2019 for both </w:t>
      </w:r>
      <w:r w:rsidR="004B5720">
        <w:t xml:space="preserve">printed menus </w:t>
      </w:r>
      <w:r w:rsidR="0048016A">
        <w:t xml:space="preserve">and posters </w:t>
      </w:r>
    </w:p>
    <w:p w14:paraId="462AC1D8" w14:textId="77777777" w:rsidR="007D2D60" w:rsidRDefault="00886477" w:rsidP="004B5720">
      <w:pPr>
        <w:pStyle w:val="DHHSbullet1"/>
        <w:rPr>
          <w:color w:val="000000" w:themeColor="text1"/>
        </w:rPr>
      </w:pPr>
      <w:r>
        <w:t>T</w:t>
      </w:r>
      <w:r w:rsidR="004B5720">
        <w:t>he increase in the</w:t>
      </w:r>
      <w:r w:rsidR="001727D6">
        <w:t xml:space="preserve"> occurrence in the </w:t>
      </w:r>
      <w:r w:rsidR="004B5720">
        <w:t xml:space="preserve">number of food premises displaying </w:t>
      </w:r>
      <w:r w:rsidR="001727D6">
        <w:t xml:space="preserve">the </w:t>
      </w:r>
      <w:r w:rsidR="001727D6" w:rsidRPr="00806E51">
        <w:rPr>
          <w:color w:val="000000" w:themeColor="text1"/>
        </w:rPr>
        <w:t xml:space="preserve">‘8,700 kJ reference </w:t>
      </w:r>
      <w:r w:rsidR="001727D6" w:rsidRPr="007D2D60">
        <w:rPr>
          <w:color w:val="000000" w:themeColor="text1"/>
        </w:rPr>
        <w:t xml:space="preserve">statement’ </w:t>
      </w:r>
      <w:r w:rsidR="004B5720" w:rsidRPr="007D2D60">
        <w:rPr>
          <w:color w:val="000000" w:themeColor="text1"/>
        </w:rPr>
        <w:t>on their menu boards, printed menus and menu posters is a very satisfactory result</w:t>
      </w:r>
    </w:p>
    <w:p w14:paraId="715B663D" w14:textId="28155EC3" w:rsidR="007D2D60" w:rsidRDefault="007D2D60" w:rsidP="00187590">
      <w:pPr>
        <w:pStyle w:val="DHHSbullet1"/>
        <w:spacing w:after="120"/>
        <w:rPr>
          <w:color w:val="000000" w:themeColor="text1"/>
        </w:rPr>
      </w:pPr>
      <w:r w:rsidRPr="007D2D60">
        <w:rPr>
          <w:color w:val="000000" w:themeColor="text1"/>
        </w:rPr>
        <w:t xml:space="preserve">There was a slight increase in the </w:t>
      </w:r>
      <w:r w:rsidR="002C07AF">
        <w:rPr>
          <w:color w:val="000000" w:themeColor="text1"/>
        </w:rPr>
        <w:t>presence</w:t>
      </w:r>
      <w:r w:rsidR="002C07AF" w:rsidRPr="007D2D60">
        <w:rPr>
          <w:color w:val="000000" w:themeColor="text1"/>
        </w:rPr>
        <w:t xml:space="preserve"> </w:t>
      </w:r>
      <w:r w:rsidRPr="007D2D60">
        <w:rPr>
          <w:color w:val="000000" w:themeColor="text1"/>
        </w:rPr>
        <w:t>of the ‘8,700 kJ reference statement</w:t>
      </w:r>
      <w:r>
        <w:rPr>
          <w:color w:val="000000" w:themeColor="text1"/>
        </w:rPr>
        <w:t>’ on display cabinets; up from 45.5</w:t>
      </w:r>
      <w:r w:rsidR="00D23CD4">
        <w:rPr>
          <w:color w:val="000000" w:themeColor="text1"/>
        </w:rPr>
        <w:t xml:space="preserve"> per cent</w:t>
      </w:r>
      <w:r>
        <w:rPr>
          <w:color w:val="000000" w:themeColor="text1"/>
        </w:rPr>
        <w:t xml:space="preserve"> in 2018 to 58.3</w:t>
      </w:r>
      <w:r w:rsidR="00D23CD4">
        <w:rPr>
          <w:color w:val="000000" w:themeColor="text1"/>
        </w:rPr>
        <w:t xml:space="preserve"> per cent</w:t>
      </w:r>
      <w:r>
        <w:rPr>
          <w:color w:val="000000" w:themeColor="text1"/>
        </w:rPr>
        <w:t xml:space="preserve"> in 2019.</w:t>
      </w:r>
      <w:r w:rsidR="00840971">
        <w:rPr>
          <w:color w:val="000000" w:themeColor="text1"/>
        </w:rPr>
        <w:t xml:space="preserve"> </w:t>
      </w:r>
      <w:r w:rsidR="00840971" w:rsidRPr="00840971">
        <w:rPr>
          <w:color w:val="000000" w:themeColor="text1"/>
        </w:rPr>
        <w:t>It must be noted that in most</w:t>
      </w:r>
      <w:r w:rsidR="00840971">
        <w:rPr>
          <w:color w:val="000000" w:themeColor="text1"/>
        </w:rPr>
        <w:t xml:space="preserve"> food premises, the reference statement </w:t>
      </w:r>
      <w:r w:rsidR="00840971" w:rsidRPr="00840971">
        <w:rPr>
          <w:color w:val="000000" w:themeColor="text1"/>
        </w:rPr>
        <w:t>was</w:t>
      </w:r>
      <w:r w:rsidR="004B7ADA">
        <w:rPr>
          <w:color w:val="000000" w:themeColor="text1"/>
        </w:rPr>
        <w:t xml:space="preserve"> also </w:t>
      </w:r>
      <w:r w:rsidR="00840971" w:rsidRPr="00840971">
        <w:rPr>
          <w:color w:val="000000" w:themeColor="text1"/>
        </w:rPr>
        <w:t>prominent on the main menu board</w:t>
      </w:r>
      <w:r w:rsidR="004B7ADA">
        <w:rPr>
          <w:color w:val="000000" w:themeColor="text1"/>
        </w:rPr>
        <w:t>.</w:t>
      </w:r>
      <w:r w:rsidR="009879DC">
        <w:rPr>
          <w:color w:val="000000" w:themeColor="text1"/>
        </w:rPr>
        <w:t xml:space="preserve"> </w:t>
      </w:r>
    </w:p>
    <w:p w14:paraId="5A6E2C24" w14:textId="77777777" w:rsidR="00937145" w:rsidRPr="00D43621" w:rsidRDefault="00721FB7" w:rsidP="00474933">
      <w:pPr>
        <w:pStyle w:val="Heading2"/>
      </w:pPr>
      <w:bookmarkStart w:id="10" w:name="_Toc75278958"/>
      <w:r w:rsidRPr="00D43621">
        <w:t>Online menu compliance checks</w:t>
      </w:r>
      <w:bookmarkEnd w:id="10"/>
    </w:p>
    <w:p w14:paraId="4FA05631" w14:textId="65D8081E" w:rsidR="00E54F50" w:rsidRDefault="00E54F50" w:rsidP="00E428AE">
      <w:pPr>
        <w:pStyle w:val="DHHSbody"/>
      </w:pPr>
      <w:r>
        <w:t>The department also conducted compliance checks of online menus (including downloadable PDFs from websites) of chain food businesses</w:t>
      </w:r>
      <w:r w:rsidR="00093080">
        <w:t xml:space="preserve"> in addition to the </w:t>
      </w:r>
      <w:r>
        <w:t>on-site compliance checks.</w:t>
      </w:r>
      <w:r w:rsidR="008537D9">
        <w:t xml:space="preserve"> </w:t>
      </w:r>
    </w:p>
    <w:p w14:paraId="55176BF8" w14:textId="77777777" w:rsidR="00515EAD" w:rsidRDefault="00515EAD" w:rsidP="00515EAD">
      <w:pPr>
        <w:pStyle w:val="DHHSbody"/>
      </w:pPr>
      <w:r>
        <w:t xml:space="preserve">Many of these websites have dedicated nutrition pages, which include kJ information on their menu items. Some of these websites include kJ/nutrition information in a PDF that can be downloaded by the customer. Other websites have interactive menus where the customer may have to scroll through different pages to get to the kJ information on the product that they are interested in. </w:t>
      </w:r>
    </w:p>
    <w:p w14:paraId="7E95DE95" w14:textId="73E657F8" w:rsidR="00515EAD" w:rsidRDefault="00515EAD" w:rsidP="00515EAD">
      <w:pPr>
        <w:pStyle w:val="DHHSbody"/>
      </w:pPr>
      <w:r>
        <w:t>Some, but not all of these websites, allow the customer to purchase food items directly through the online portal. Investigating the ordering platforms of chain food business</w:t>
      </w:r>
      <w:r w:rsidR="00A57BA2">
        <w:t>es</w:t>
      </w:r>
      <w:r w:rsidR="00BB78CB">
        <w:t xml:space="preserve"> or ‘third-party’ </w:t>
      </w:r>
      <w:r>
        <w:t>websites was not in the scope of this investigation.</w:t>
      </w:r>
      <w:r w:rsidR="008537D9">
        <w:t xml:space="preserve"> </w:t>
      </w:r>
    </w:p>
    <w:p w14:paraId="568903FF" w14:textId="5BB0A4E3" w:rsidR="00592B20" w:rsidRDefault="005E28A8" w:rsidP="00A4033B">
      <w:pPr>
        <w:pStyle w:val="DHHSbullet1"/>
        <w:spacing w:after="120"/>
      </w:pPr>
      <w:r>
        <w:t>In the first year</w:t>
      </w:r>
      <w:r w:rsidR="000928A5">
        <w:t xml:space="preserve"> (2018)</w:t>
      </w:r>
      <w:r>
        <w:t xml:space="preserve"> of the scheme coming into force, a total of 52 food business websites captured by the scheme were checked</w:t>
      </w:r>
      <w:r w:rsidR="00355132">
        <w:t>.</w:t>
      </w:r>
    </w:p>
    <w:p w14:paraId="616B2FDE" w14:textId="77777777" w:rsidR="005E28A8" w:rsidRDefault="007C1D45" w:rsidP="00C707CA">
      <w:pPr>
        <w:pStyle w:val="DHHSbullet1"/>
        <w:spacing w:after="120"/>
      </w:pPr>
      <w:r>
        <w:t xml:space="preserve">In 2019, a total of 89 food business websites captured by the scheme were checked. </w:t>
      </w:r>
    </w:p>
    <w:p w14:paraId="68183681" w14:textId="77777777" w:rsidR="00B46413" w:rsidRPr="00474933" w:rsidRDefault="00B46413" w:rsidP="00474933">
      <w:pPr>
        <w:pStyle w:val="Heading3"/>
      </w:pPr>
      <w:r w:rsidRPr="00474933">
        <w:t xml:space="preserve">On-line </w:t>
      </w:r>
      <w:r w:rsidR="00C00B52" w:rsidRPr="00474933">
        <w:t>m</w:t>
      </w:r>
      <w:r w:rsidRPr="00474933">
        <w:t xml:space="preserve">enu – kJ content checks </w:t>
      </w:r>
    </w:p>
    <w:p w14:paraId="03EFF16C" w14:textId="620A5B29" w:rsidR="0029429E" w:rsidRPr="00474933" w:rsidRDefault="00355132" w:rsidP="00474933">
      <w:pPr>
        <w:pStyle w:val="DHHStablecaption"/>
      </w:pPr>
      <w:r>
        <w:t xml:space="preserve">Table 9: </w:t>
      </w:r>
      <w:r w:rsidR="0029429E" w:rsidRPr="00474933">
        <w:t xml:space="preserve">On-line PDF </w:t>
      </w:r>
      <w:r w:rsidR="00C00B52" w:rsidRPr="00474933">
        <w:t>m</w:t>
      </w:r>
      <w:r w:rsidR="0029429E" w:rsidRPr="00474933">
        <w:t>enu – percentage complied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3C1328" w:rsidRPr="00C75F1B" w14:paraId="43CC1182" w14:textId="77777777" w:rsidTr="003C1328">
        <w:trPr>
          <w:trHeight w:val="567"/>
          <w:tblHeader/>
        </w:trPr>
        <w:tc>
          <w:tcPr>
            <w:tcW w:w="1134" w:type="dxa"/>
            <w:shd w:val="clear" w:color="auto" w:fill="201547"/>
            <w:vAlign w:val="center"/>
          </w:tcPr>
          <w:p w14:paraId="270D67B2" w14:textId="77777777" w:rsidR="003C1328" w:rsidRPr="00C75F1B" w:rsidRDefault="003C1328" w:rsidP="003C1328">
            <w:pPr>
              <w:pStyle w:val="DHHStablecolhead"/>
              <w:rPr>
                <w:color w:val="FFFFFF" w:themeColor="background1"/>
              </w:rPr>
            </w:pPr>
            <w:r>
              <w:rPr>
                <w:color w:val="FFFFFF" w:themeColor="background1"/>
              </w:rPr>
              <w:t>Year</w:t>
            </w:r>
          </w:p>
        </w:tc>
        <w:tc>
          <w:tcPr>
            <w:tcW w:w="1701" w:type="dxa"/>
            <w:shd w:val="clear" w:color="auto" w:fill="201547"/>
            <w:vAlign w:val="center"/>
          </w:tcPr>
          <w:p w14:paraId="484FD8A0" w14:textId="77777777" w:rsidR="003C1328" w:rsidRPr="00C75F1B" w:rsidRDefault="003C1328" w:rsidP="003C1328">
            <w:pPr>
              <w:pStyle w:val="DHHStablecolhead"/>
              <w:jc w:val="center"/>
              <w:rPr>
                <w:color w:val="FFFFFF" w:themeColor="background1"/>
              </w:rPr>
            </w:pPr>
            <w:r w:rsidRPr="00C75F1B">
              <w:rPr>
                <w:color w:val="FFFFFF" w:themeColor="background1"/>
              </w:rPr>
              <w:t>Displayed</w:t>
            </w:r>
          </w:p>
        </w:tc>
        <w:tc>
          <w:tcPr>
            <w:tcW w:w="1701" w:type="dxa"/>
            <w:shd w:val="clear" w:color="auto" w:fill="201547"/>
            <w:vAlign w:val="center"/>
          </w:tcPr>
          <w:p w14:paraId="3A365E79" w14:textId="77777777" w:rsidR="003C1328" w:rsidRPr="00C75F1B" w:rsidRDefault="003C1328" w:rsidP="003C1328">
            <w:pPr>
              <w:pStyle w:val="DHHStablecolhead"/>
              <w:jc w:val="center"/>
              <w:rPr>
                <w:color w:val="FFFFFF" w:themeColor="background1"/>
              </w:rPr>
            </w:pPr>
            <w:r w:rsidRPr="00C75F1B">
              <w:rPr>
                <w:color w:val="FFFFFF" w:themeColor="background1"/>
              </w:rPr>
              <w:t>Legible</w:t>
            </w:r>
          </w:p>
        </w:tc>
        <w:tc>
          <w:tcPr>
            <w:tcW w:w="1701" w:type="dxa"/>
            <w:shd w:val="clear" w:color="auto" w:fill="201547"/>
            <w:vAlign w:val="center"/>
          </w:tcPr>
          <w:p w14:paraId="52D31475" w14:textId="77777777" w:rsidR="003C1328" w:rsidRPr="00C75F1B" w:rsidRDefault="003C1328" w:rsidP="003C1328">
            <w:pPr>
              <w:pStyle w:val="DHHStablecolhead"/>
              <w:jc w:val="center"/>
              <w:rPr>
                <w:color w:val="FFFFFF" w:themeColor="background1"/>
              </w:rPr>
            </w:pPr>
            <w:r w:rsidRPr="00C75F1B">
              <w:rPr>
                <w:color w:val="FFFFFF" w:themeColor="background1"/>
              </w:rPr>
              <w:t>Numerals &amp; kJ</w:t>
            </w:r>
          </w:p>
        </w:tc>
        <w:tc>
          <w:tcPr>
            <w:tcW w:w="1701" w:type="dxa"/>
            <w:shd w:val="clear" w:color="auto" w:fill="201547"/>
            <w:vAlign w:val="center"/>
          </w:tcPr>
          <w:p w14:paraId="06C4B7CE" w14:textId="77777777" w:rsidR="003C1328" w:rsidRPr="00C75F1B" w:rsidRDefault="003C1328" w:rsidP="003C1328">
            <w:pPr>
              <w:pStyle w:val="DHHStablecolhead"/>
              <w:jc w:val="center"/>
              <w:rPr>
                <w:color w:val="FFFFFF" w:themeColor="background1"/>
              </w:rPr>
            </w:pPr>
            <w:r w:rsidRPr="00C75F1B">
              <w:rPr>
                <w:color w:val="FFFFFF" w:themeColor="background1"/>
              </w:rPr>
              <w:t>Font size</w:t>
            </w:r>
          </w:p>
        </w:tc>
      </w:tr>
      <w:tr w:rsidR="003C1328" w:rsidRPr="00BD1C0E" w14:paraId="2CAB5DB6" w14:textId="77777777" w:rsidTr="003C1328">
        <w:trPr>
          <w:trHeight w:val="567"/>
        </w:trPr>
        <w:tc>
          <w:tcPr>
            <w:tcW w:w="1134" w:type="dxa"/>
            <w:vAlign w:val="center"/>
          </w:tcPr>
          <w:p w14:paraId="06C8807F" w14:textId="77777777" w:rsidR="003C1328" w:rsidRDefault="003C1328" w:rsidP="003C1328">
            <w:pPr>
              <w:rPr>
                <w:rFonts w:ascii="Arial" w:hAnsi="Arial" w:cs="Arial"/>
                <w:b/>
                <w:bCs/>
                <w:color w:val="000000"/>
              </w:rPr>
            </w:pPr>
            <w:r>
              <w:rPr>
                <w:rFonts w:ascii="Arial" w:hAnsi="Arial" w:cs="Arial"/>
                <w:b/>
                <w:bCs/>
                <w:color w:val="000000"/>
              </w:rPr>
              <w:t>2018</w:t>
            </w:r>
          </w:p>
        </w:tc>
        <w:tc>
          <w:tcPr>
            <w:tcW w:w="1701" w:type="dxa"/>
            <w:vAlign w:val="center"/>
          </w:tcPr>
          <w:p w14:paraId="54F63A90" w14:textId="77777777" w:rsidR="003C1328" w:rsidRPr="003C1328" w:rsidRDefault="003C1328" w:rsidP="003C1328">
            <w:pPr>
              <w:jc w:val="center"/>
              <w:rPr>
                <w:rFonts w:ascii="Arial" w:hAnsi="Arial" w:cs="Arial"/>
                <w:color w:val="000000"/>
              </w:rPr>
            </w:pPr>
            <w:r w:rsidRPr="003C1328">
              <w:rPr>
                <w:rFonts w:ascii="Arial" w:hAnsi="Arial" w:cs="Arial"/>
                <w:color w:val="000000"/>
              </w:rPr>
              <w:t>94.4</w:t>
            </w:r>
          </w:p>
        </w:tc>
        <w:tc>
          <w:tcPr>
            <w:tcW w:w="1701" w:type="dxa"/>
            <w:vAlign w:val="center"/>
          </w:tcPr>
          <w:p w14:paraId="05318985" w14:textId="77777777" w:rsidR="003C1328" w:rsidRPr="003C1328" w:rsidRDefault="003C1328" w:rsidP="003C1328">
            <w:pPr>
              <w:jc w:val="center"/>
              <w:rPr>
                <w:rFonts w:ascii="Arial" w:hAnsi="Arial" w:cs="Arial"/>
                <w:color w:val="000000"/>
              </w:rPr>
            </w:pPr>
            <w:r w:rsidRPr="003C1328">
              <w:rPr>
                <w:rFonts w:ascii="Arial" w:hAnsi="Arial" w:cs="Arial"/>
                <w:color w:val="000000"/>
              </w:rPr>
              <w:t>100.0</w:t>
            </w:r>
          </w:p>
        </w:tc>
        <w:tc>
          <w:tcPr>
            <w:tcW w:w="1701" w:type="dxa"/>
            <w:vAlign w:val="center"/>
          </w:tcPr>
          <w:p w14:paraId="587579AC" w14:textId="77777777" w:rsidR="003C1328" w:rsidRPr="003C1328" w:rsidRDefault="003C1328" w:rsidP="003C1328">
            <w:pPr>
              <w:jc w:val="center"/>
              <w:rPr>
                <w:rFonts w:ascii="Arial" w:hAnsi="Arial" w:cs="Arial"/>
                <w:color w:val="000000"/>
              </w:rPr>
            </w:pPr>
            <w:r w:rsidRPr="003C1328">
              <w:rPr>
                <w:rFonts w:ascii="Arial" w:hAnsi="Arial" w:cs="Arial"/>
                <w:color w:val="000000"/>
              </w:rPr>
              <w:t>100.0</w:t>
            </w:r>
          </w:p>
        </w:tc>
        <w:tc>
          <w:tcPr>
            <w:tcW w:w="1701" w:type="dxa"/>
            <w:vAlign w:val="center"/>
          </w:tcPr>
          <w:p w14:paraId="2DC9AAD4" w14:textId="77777777" w:rsidR="003C1328" w:rsidRPr="003C1328" w:rsidRDefault="003C1328" w:rsidP="003C1328">
            <w:pPr>
              <w:jc w:val="center"/>
              <w:rPr>
                <w:rFonts w:ascii="Arial" w:hAnsi="Arial" w:cs="Arial"/>
                <w:color w:val="000000"/>
              </w:rPr>
            </w:pPr>
            <w:r w:rsidRPr="003C1328">
              <w:rPr>
                <w:rFonts w:ascii="Arial" w:hAnsi="Arial" w:cs="Arial"/>
                <w:color w:val="000000"/>
              </w:rPr>
              <w:t>94.1</w:t>
            </w:r>
          </w:p>
        </w:tc>
      </w:tr>
      <w:tr w:rsidR="003C1328" w:rsidRPr="00BD1C0E" w14:paraId="6BA0E725" w14:textId="77777777" w:rsidTr="003C1328">
        <w:trPr>
          <w:trHeight w:val="567"/>
        </w:trPr>
        <w:tc>
          <w:tcPr>
            <w:tcW w:w="1134" w:type="dxa"/>
            <w:vAlign w:val="center"/>
          </w:tcPr>
          <w:p w14:paraId="4536C8AA" w14:textId="77777777" w:rsidR="003C1328" w:rsidRDefault="003C1328" w:rsidP="003C1328">
            <w:pPr>
              <w:rPr>
                <w:rFonts w:ascii="Arial" w:hAnsi="Arial" w:cs="Arial"/>
                <w:b/>
                <w:bCs/>
                <w:color w:val="000000"/>
              </w:rPr>
            </w:pPr>
            <w:r>
              <w:rPr>
                <w:rFonts w:ascii="Arial" w:hAnsi="Arial" w:cs="Arial"/>
                <w:b/>
                <w:bCs/>
                <w:color w:val="000000"/>
              </w:rPr>
              <w:t>2019</w:t>
            </w:r>
          </w:p>
        </w:tc>
        <w:tc>
          <w:tcPr>
            <w:tcW w:w="1701" w:type="dxa"/>
            <w:vAlign w:val="center"/>
          </w:tcPr>
          <w:p w14:paraId="61BCE86A" w14:textId="77777777" w:rsidR="003C1328" w:rsidRPr="003C1328" w:rsidRDefault="003C1328" w:rsidP="003C1328">
            <w:pPr>
              <w:jc w:val="center"/>
              <w:rPr>
                <w:rFonts w:ascii="Arial" w:hAnsi="Arial" w:cs="Arial"/>
                <w:color w:val="000000"/>
              </w:rPr>
            </w:pPr>
            <w:r w:rsidRPr="003C1328">
              <w:rPr>
                <w:rFonts w:ascii="Arial" w:hAnsi="Arial" w:cs="Arial"/>
                <w:color w:val="000000"/>
              </w:rPr>
              <w:t>100.0</w:t>
            </w:r>
          </w:p>
        </w:tc>
        <w:tc>
          <w:tcPr>
            <w:tcW w:w="1701" w:type="dxa"/>
            <w:vAlign w:val="center"/>
          </w:tcPr>
          <w:p w14:paraId="272D0F5D" w14:textId="77777777" w:rsidR="003C1328" w:rsidRPr="003C1328" w:rsidRDefault="003C1328" w:rsidP="003C1328">
            <w:pPr>
              <w:jc w:val="center"/>
              <w:rPr>
                <w:rFonts w:ascii="Arial" w:hAnsi="Arial" w:cs="Arial"/>
                <w:color w:val="000000"/>
              </w:rPr>
            </w:pPr>
            <w:r w:rsidRPr="003C1328">
              <w:rPr>
                <w:rFonts w:ascii="Arial" w:hAnsi="Arial" w:cs="Arial"/>
                <w:color w:val="000000"/>
              </w:rPr>
              <w:t>100.0</w:t>
            </w:r>
          </w:p>
        </w:tc>
        <w:tc>
          <w:tcPr>
            <w:tcW w:w="1701" w:type="dxa"/>
            <w:vAlign w:val="center"/>
          </w:tcPr>
          <w:p w14:paraId="06B328FF" w14:textId="77777777" w:rsidR="003C1328" w:rsidRPr="003C1328" w:rsidRDefault="003C1328" w:rsidP="003C1328">
            <w:pPr>
              <w:jc w:val="center"/>
              <w:rPr>
                <w:rFonts w:ascii="Arial" w:hAnsi="Arial" w:cs="Arial"/>
                <w:color w:val="000000"/>
              </w:rPr>
            </w:pPr>
            <w:r w:rsidRPr="003C1328">
              <w:rPr>
                <w:rFonts w:ascii="Arial" w:hAnsi="Arial" w:cs="Arial"/>
                <w:color w:val="000000"/>
              </w:rPr>
              <w:t>100.0</w:t>
            </w:r>
          </w:p>
        </w:tc>
        <w:tc>
          <w:tcPr>
            <w:tcW w:w="1701" w:type="dxa"/>
            <w:vAlign w:val="center"/>
          </w:tcPr>
          <w:p w14:paraId="223879AF" w14:textId="77777777" w:rsidR="003C1328" w:rsidRPr="003C1328" w:rsidRDefault="003C1328" w:rsidP="003C1328">
            <w:pPr>
              <w:jc w:val="center"/>
              <w:rPr>
                <w:rFonts w:ascii="Arial" w:hAnsi="Arial" w:cs="Arial"/>
                <w:color w:val="000000"/>
              </w:rPr>
            </w:pPr>
            <w:r w:rsidRPr="003C1328">
              <w:rPr>
                <w:rFonts w:ascii="Arial" w:hAnsi="Arial" w:cs="Arial"/>
                <w:color w:val="000000"/>
              </w:rPr>
              <w:t>40.0</w:t>
            </w:r>
          </w:p>
        </w:tc>
      </w:tr>
    </w:tbl>
    <w:p w14:paraId="16D0559A" w14:textId="77777777" w:rsidR="00A92DF6" w:rsidRPr="004109F2" w:rsidRDefault="00A92DF6" w:rsidP="00A92DF6">
      <w:pPr>
        <w:pStyle w:val="DHHStablecaption"/>
        <w:spacing w:after="240"/>
        <w:rPr>
          <w:color w:val="201547"/>
        </w:rPr>
      </w:pPr>
      <w:r w:rsidRPr="004109F2">
        <w:rPr>
          <w:color w:val="201547"/>
        </w:rPr>
        <w:t xml:space="preserve">On-line PDF </w:t>
      </w:r>
      <w:r w:rsidR="00C00B52">
        <w:rPr>
          <w:color w:val="201547"/>
        </w:rPr>
        <w:t>m</w:t>
      </w:r>
      <w:r w:rsidRPr="004109F2">
        <w:rPr>
          <w:color w:val="201547"/>
        </w:rPr>
        <w:t xml:space="preserve">enu – percentage complied 2019 </w:t>
      </w:r>
    </w:p>
    <w:p w14:paraId="5170C2CC" w14:textId="37B6277D" w:rsidR="00800B53" w:rsidRDefault="00355132" w:rsidP="00A92DF6">
      <w:pPr>
        <w:pStyle w:val="DHHSbullet1"/>
        <w:numPr>
          <w:ilvl w:val="0"/>
          <w:numId w:val="0"/>
        </w:numPr>
        <w:spacing w:before="240" w:after="240"/>
        <w:rPr>
          <w:color w:val="FF0000"/>
        </w:rPr>
      </w:pPr>
      <w:r>
        <w:rPr>
          <w:noProof/>
          <w:color w:val="FF0000"/>
        </w:rPr>
        <w:drawing>
          <wp:inline distT="0" distB="0" distL="0" distR="0" wp14:anchorId="6215C604" wp14:editId="60BB5C31">
            <wp:extent cx="5328366" cy="3200677"/>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9"/>
                    <a:stretch>
                      <a:fillRect/>
                    </a:stretch>
                  </pic:blipFill>
                  <pic:spPr>
                    <a:xfrm>
                      <a:off x="0" y="0"/>
                      <a:ext cx="5328366" cy="3200677"/>
                    </a:xfrm>
                    <a:prstGeom prst="rect">
                      <a:avLst/>
                    </a:prstGeom>
                  </pic:spPr>
                </pic:pic>
              </a:graphicData>
            </a:graphic>
          </wp:inline>
        </w:drawing>
      </w:r>
    </w:p>
    <w:p w14:paraId="6DEDDB62" w14:textId="28E47DD0" w:rsidR="00C1307E" w:rsidRPr="00474933" w:rsidRDefault="00DD519D" w:rsidP="00474933">
      <w:pPr>
        <w:pStyle w:val="DHHStablecaption"/>
      </w:pPr>
      <w:r>
        <w:t xml:space="preserve">Table 10: </w:t>
      </w:r>
      <w:r w:rsidR="00C1307E" w:rsidRPr="00474933">
        <w:t xml:space="preserve">On-line Interactive </w:t>
      </w:r>
      <w:r w:rsidR="00D23CD4" w:rsidRPr="00474933">
        <w:t>m</w:t>
      </w:r>
      <w:r w:rsidR="00C1307E" w:rsidRPr="00474933">
        <w:t xml:space="preserve">enu – percentage complied 2018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BA00A8" w:rsidRPr="00BA00A8" w14:paraId="0A58CE71" w14:textId="77777777" w:rsidTr="00BA00A8">
        <w:trPr>
          <w:trHeight w:val="567"/>
        </w:trPr>
        <w:tc>
          <w:tcPr>
            <w:tcW w:w="1134" w:type="dxa"/>
            <w:shd w:val="clear" w:color="auto" w:fill="201547"/>
            <w:vAlign w:val="center"/>
          </w:tcPr>
          <w:p w14:paraId="59061F2F" w14:textId="77777777" w:rsidR="00BA00A8" w:rsidRPr="00BA00A8" w:rsidRDefault="00BA00A8" w:rsidP="00BA00A8">
            <w:pPr>
              <w:pStyle w:val="DHHStablecolhead"/>
              <w:rPr>
                <w:color w:val="FFFFFF" w:themeColor="background1"/>
              </w:rPr>
            </w:pPr>
            <w:r w:rsidRPr="00BA00A8">
              <w:rPr>
                <w:color w:val="FFFFFF" w:themeColor="background1"/>
              </w:rPr>
              <w:t>Year</w:t>
            </w:r>
          </w:p>
        </w:tc>
        <w:tc>
          <w:tcPr>
            <w:tcW w:w="1701" w:type="dxa"/>
            <w:shd w:val="clear" w:color="auto" w:fill="201547"/>
            <w:vAlign w:val="center"/>
          </w:tcPr>
          <w:p w14:paraId="5AE72D28" w14:textId="77777777" w:rsidR="00BA00A8" w:rsidRPr="00BA00A8" w:rsidRDefault="00BA00A8" w:rsidP="00BA00A8">
            <w:pPr>
              <w:pStyle w:val="DHHStablecolhead"/>
              <w:jc w:val="center"/>
              <w:rPr>
                <w:color w:val="FFFFFF" w:themeColor="background1"/>
              </w:rPr>
            </w:pPr>
            <w:r w:rsidRPr="00BA00A8">
              <w:rPr>
                <w:color w:val="FFFFFF" w:themeColor="background1"/>
              </w:rPr>
              <w:t>Displayed</w:t>
            </w:r>
          </w:p>
        </w:tc>
        <w:tc>
          <w:tcPr>
            <w:tcW w:w="1701" w:type="dxa"/>
            <w:shd w:val="clear" w:color="auto" w:fill="201547"/>
            <w:vAlign w:val="center"/>
          </w:tcPr>
          <w:p w14:paraId="71BC44A0" w14:textId="77777777" w:rsidR="00BA00A8" w:rsidRPr="00BA00A8" w:rsidRDefault="00BA00A8" w:rsidP="00BA00A8">
            <w:pPr>
              <w:pStyle w:val="DHHStablecolhead"/>
              <w:jc w:val="center"/>
              <w:rPr>
                <w:color w:val="FFFFFF" w:themeColor="background1"/>
              </w:rPr>
            </w:pPr>
            <w:r w:rsidRPr="00BA00A8">
              <w:rPr>
                <w:color w:val="FFFFFF" w:themeColor="background1"/>
              </w:rPr>
              <w:t>Legible</w:t>
            </w:r>
          </w:p>
        </w:tc>
        <w:tc>
          <w:tcPr>
            <w:tcW w:w="1701" w:type="dxa"/>
            <w:shd w:val="clear" w:color="auto" w:fill="201547"/>
            <w:vAlign w:val="center"/>
          </w:tcPr>
          <w:p w14:paraId="5EA199F2" w14:textId="77777777" w:rsidR="00BA00A8" w:rsidRPr="00BA00A8" w:rsidRDefault="00BA00A8" w:rsidP="00BA00A8">
            <w:pPr>
              <w:pStyle w:val="DHHStablecolhead"/>
              <w:jc w:val="center"/>
              <w:rPr>
                <w:color w:val="FFFFFF" w:themeColor="background1"/>
              </w:rPr>
            </w:pPr>
            <w:r w:rsidRPr="00BA00A8">
              <w:rPr>
                <w:color w:val="FFFFFF" w:themeColor="background1"/>
              </w:rPr>
              <w:t>Numerals &amp; kJ</w:t>
            </w:r>
          </w:p>
        </w:tc>
        <w:tc>
          <w:tcPr>
            <w:tcW w:w="1701" w:type="dxa"/>
            <w:shd w:val="clear" w:color="auto" w:fill="201547"/>
            <w:vAlign w:val="center"/>
          </w:tcPr>
          <w:p w14:paraId="789BC170" w14:textId="77777777" w:rsidR="00BA00A8" w:rsidRPr="00BA00A8" w:rsidRDefault="00BA00A8" w:rsidP="00BA00A8">
            <w:pPr>
              <w:pStyle w:val="DHHStablecolhead"/>
              <w:jc w:val="center"/>
              <w:rPr>
                <w:color w:val="FFFFFF" w:themeColor="background1"/>
              </w:rPr>
            </w:pPr>
            <w:r w:rsidRPr="00BA00A8">
              <w:rPr>
                <w:color w:val="FFFFFF" w:themeColor="background1"/>
              </w:rPr>
              <w:t>Font size</w:t>
            </w:r>
          </w:p>
        </w:tc>
      </w:tr>
      <w:tr w:rsidR="00BA00A8" w:rsidRPr="00BD1C0E" w14:paraId="1D2C50FB" w14:textId="77777777" w:rsidTr="00BA00A8">
        <w:trPr>
          <w:trHeight w:val="567"/>
        </w:trPr>
        <w:tc>
          <w:tcPr>
            <w:tcW w:w="1134" w:type="dxa"/>
            <w:vAlign w:val="center"/>
          </w:tcPr>
          <w:p w14:paraId="0BF47622" w14:textId="77777777" w:rsidR="00BA00A8" w:rsidRPr="00BD1C0E" w:rsidRDefault="00BA00A8" w:rsidP="00BA00A8">
            <w:pPr>
              <w:pStyle w:val="DHHStabletext6pt"/>
              <w:rPr>
                <w:rFonts w:cs="Arial"/>
                <w:b/>
                <w:bCs/>
                <w:color w:val="000000"/>
              </w:rPr>
            </w:pPr>
            <w:r>
              <w:rPr>
                <w:rFonts w:cs="Arial"/>
                <w:b/>
                <w:bCs/>
                <w:color w:val="000000"/>
              </w:rPr>
              <w:t>2018</w:t>
            </w:r>
          </w:p>
        </w:tc>
        <w:tc>
          <w:tcPr>
            <w:tcW w:w="1701" w:type="dxa"/>
            <w:vAlign w:val="center"/>
          </w:tcPr>
          <w:p w14:paraId="3C64A8DB" w14:textId="77777777" w:rsidR="00BA00A8" w:rsidRPr="00BA00A8" w:rsidRDefault="00BA00A8" w:rsidP="00BA00A8">
            <w:pPr>
              <w:pStyle w:val="DHHStabletext6pt"/>
              <w:jc w:val="center"/>
              <w:rPr>
                <w:rFonts w:cs="Arial"/>
                <w:bCs/>
                <w:color w:val="000000"/>
              </w:rPr>
            </w:pPr>
            <w:r w:rsidRPr="00BA00A8">
              <w:rPr>
                <w:rFonts w:cs="Arial"/>
                <w:bCs/>
                <w:color w:val="000000"/>
              </w:rPr>
              <w:t>75.0</w:t>
            </w:r>
          </w:p>
        </w:tc>
        <w:tc>
          <w:tcPr>
            <w:tcW w:w="1701" w:type="dxa"/>
            <w:vAlign w:val="center"/>
          </w:tcPr>
          <w:p w14:paraId="7CAE9D5E" w14:textId="77777777" w:rsidR="00BA00A8" w:rsidRPr="00BA00A8" w:rsidRDefault="00BA00A8" w:rsidP="00BA00A8">
            <w:pPr>
              <w:pStyle w:val="DHHStabletext6pt"/>
              <w:jc w:val="center"/>
              <w:rPr>
                <w:rFonts w:cs="Arial"/>
                <w:bCs/>
                <w:color w:val="000000"/>
              </w:rPr>
            </w:pPr>
            <w:r w:rsidRPr="00BA00A8">
              <w:rPr>
                <w:rFonts w:cs="Arial"/>
                <w:bCs/>
                <w:color w:val="000000"/>
              </w:rPr>
              <w:t>100.0</w:t>
            </w:r>
          </w:p>
        </w:tc>
        <w:tc>
          <w:tcPr>
            <w:tcW w:w="1701" w:type="dxa"/>
            <w:vAlign w:val="center"/>
          </w:tcPr>
          <w:p w14:paraId="51D807BF" w14:textId="77777777" w:rsidR="00BA00A8" w:rsidRPr="00BA00A8" w:rsidRDefault="00BA00A8" w:rsidP="00BA00A8">
            <w:pPr>
              <w:pStyle w:val="DHHStabletext6pt"/>
              <w:jc w:val="center"/>
              <w:rPr>
                <w:rFonts w:cs="Arial"/>
                <w:bCs/>
                <w:color w:val="000000"/>
              </w:rPr>
            </w:pPr>
            <w:r w:rsidRPr="00BA00A8">
              <w:rPr>
                <w:rFonts w:cs="Arial"/>
                <w:bCs/>
                <w:color w:val="000000"/>
              </w:rPr>
              <w:t>100.0</w:t>
            </w:r>
          </w:p>
        </w:tc>
        <w:tc>
          <w:tcPr>
            <w:tcW w:w="1701" w:type="dxa"/>
            <w:vAlign w:val="center"/>
          </w:tcPr>
          <w:p w14:paraId="67AE1A1A" w14:textId="77777777" w:rsidR="00BA00A8" w:rsidRPr="00BA00A8" w:rsidRDefault="00BA00A8" w:rsidP="00BA00A8">
            <w:pPr>
              <w:pStyle w:val="DHHStabletext6pt"/>
              <w:jc w:val="center"/>
              <w:rPr>
                <w:rFonts w:cs="Arial"/>
                <w:bCs/>
                <w:color w:val="000000"/>
              </w:rPr>
            </w:pPr>
            <w:r w:rsidRPr="00BA00A8">
              <w:rPr>
                <w:rFonts w:cs="Arial"/>
                <w:bCs/>
                <w:color w:val="000000"/>
              </w:rPr>
              <w:t>63.3</w:t>
            </w:r>
          </w:p>
        </w:tc>
      </w:tr>
      <w:tr w:rsidR="00BA00A8" w:rsidRPr="00BD1C0E" w14:paraId="136B6974" w14:textId="77777777" w:rsidTr="00BA00A8">
        <w:trPr>
          <w:trHeight w:val="567"/>
        </w:trPr>
        <w:tc>
          <w:tcPr>
            <w:tcW w:w="1134" w:type="dxa"/>
            <w:vAlign w:val="center"/>
          </w:tcPr>
          <w:p w14:paraId="482B787D" w14:textId="77777777" w:rsidR="00BA00A8" w:rsidRPr="00BD1C0E" w:rsidRDefault="00BA00A8" w:rsidP="00BA00A8">
            <w:pPr>
              <w:pStyle w:val="DHHStabletext6pt"/>
              <w:rPr>
                <w:rFonts w:cs="Arial"/>
                <w:b/>
                <w:bCs/>
                <w:color w:val="000000"/>
              </w:rPr>
            </w:pPr>
            <w:r>
              <w:rPr>
                <w:rFonts w:cs="Arial"/>
                <w:b/>
                <w:bCs/>
                <w:color w:val="000000"/>
              </w:rPr>
              <w:t>2019</w:t>
            </w:r>
          </w:p>
        </w:tc>
        <w:tc>
          <w:tcPr>
            <w:tcW w:w="1701" w:type="dxa"/>
            <w:vAlign w:val="center"/>
          </w:tcPr>
          <w:p w14:paraId="46BA1BF1" w14:textId="77777777" w:rsidR="00BA00A8" w:rsidRPr="00BA00A8" w:rsidRDefault="00BA00A8" w:rsidP="00BA00A8">
            <w:pPr>
              <w:pStyle w:val="DHHStabletext6pt"/>
              <w:jc w:val="center"/>
              <w:rPr>
                <w:rFonts w:cs="Arial"/>
                <w:color w:val="000000"/>
              </w:rPr>
            </w:pPr>
            <w:r w:rsidRPr="00BA00A8">
              <w:rPr>
                <w:rFonts w:cs="Arial"/>
                <w:color w:val="000000"/>
              </w:rPr>
              <w:t>79.0</w:t>
            </w:r>
          </w:p>
        </w:tc>
        <w:tc>
          <w:tcPr>
            <w:tcW w:w="1701" w:type="dxa"/>
            <w:vAlign w:val="center"/>
          </w:tcPr>
          <w:p w14:paraId="6CCEBFCB" w14:textId="77777777" w:rsidR="00BA00A8" w:rsidRPr="00BA00A8" w:rsidRDefault="00BA00A8" w:rsidP="00BA00A8">
            <w:pPr>
              <w:pStyle w:val="DHHStabletext6pt"/>
              <w:jc w:val="center"/>
              <w:rPr>
                <w:rFonts w:cs="Arial"/>
                <w:color w:val="000000"/>
              </w:rPr>
            </w:pPr>
            <w:r w:rsidRPr="00BA00A8">
              <w:rPr>
                <w:rFonts w:cs="Arial"/>
                <w:color w:val="000000"/>
              </w:rPr>
              <w:t>100.0</w:t>
            </w:r>
          </w:p>
        </w:tc>
        <w:tc>
          <w:tcPr>
            <w:tcW w:w="1701" w:type="dxa"/>
            <w:vAlign w:val="center"/>
          </w:tcPr>
          <w:p w14:paraId="52A0C761" w14:textId="77777777" w:rsidR="00BA00A8" w:rsidRPr="00BA00A8" w:rsidRDefault="00BA00A8" w:rsidP="00BA00A8">
            <w:pPr>
              <w:pStyle w:val="DHHStabletext6pt"/>
              <w:jc w:val="center"/>
              <w:rPr>
                <w:rFonts w:cs="Arial"/>
                <w:color w:val="000000"/>
              </w:rPr>
            </w:pPr>
            <w:r w:rsidRPr="00BA00A8">
              <w:rPr>
                <w:rFonts w:cs="Arial"/>
                <w:color w:val="000000"/>
              </w:rPr>
              <w:t>100.0</w:t>
            </w:r>
          </w:p>
        </w:tc>
        <w:tc>
          <w:tcPr>
            <w:tcW w:w="1701" w:type="dxa"/>
            <w:vAlign w:val="center"/>
          </w:tcPr>
          <w:p w14:paraId="7D0DBF28" w14:textId="77777777" w:rsidR="00BA00A8" w:rsidRPr="00BA00A8" w:rsidRDefault="00BA00A8" w:rsidP="00BA00A8">
            <w:pPr>
              <w:pStyle w:val="DHHStabletext6pt"/>
              <w:jc w:val="center"/>
              <w:rPr>
                <w:rFonts w:cs="Arial"/>
                <w:color w:val="000000"/>
              </w:rPr>
            </w:pPr>
            <w:r w:rsidRPr="00BA00A8">
              <w:rPr>
                <w:rFonts w:cs="Arial"/>
                <w:color w:val="000000"/>
              </w:rPr>
              <w:t>46.7</w:t>
            </w:r>
          </w:p>
        </w:tc>
      </w:tr>
    </w:tbl>
    <w:p w14:paraId="1AB94DCD" w14:textId="129B0994" w:rsidR="007B6CAD" w:rsidRDefault="00DD519D" w:rsidP="00A92DF6">
      <w:pPr>
        <w:pStyle w:val="DHHSbullet1"/>
        <w:numPr>
          <w:ilvl w:val="0"/>
          <w:numId w:val="0"/>
        </w:numPr>
        <w:spacing w:before="240" w:after="240"/>
        <w:rPr>
          <w:noProof/>
          <w:color w:val="FF0000"/>
        </w:rPr>
      </w:pPr>
      <w:r>
        <w:rPr>
          <w:noProof/>
          <w:color w:val="FF0000"/>
        </w:rPr>
        <w:drawing>
          <wp:inline distT="0" distB="0" distL="0" distR="0" wp14:anchorId="60CB2BA2" wp14:editId="4A95F97C">
            <wp:extent cx="5377138" cy="3200677"/>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20"/>
                    <a:stretch>
                      <a:fillRect/>
                    </a:stretch>
                  </pic:blipFill>
                  <pic:spPr>
                    <a:xfrm>
                      <a:off x="0" y="0"/>
                      <a:ext cx="5377138" cy="3200677"/>
                    </a:xfrm>
                    <a:prstGeom prst="rect">
                      <a:avLst/>
                    </a:prstGeom>
                  </pic:spPr>
                </pic:pic>
              </a:graphicData>
            </a:graphic>
          </wp:inline>
        </w:drawing>
      </w:r>
    </w:p>
    <w:p w14:paraId="51EA6FF6" w14:textId="77777777" w:rsidR="002164E3" w:rsidRPr="00F3146E" w:rsidRDefault="00E27BAA" w:rsidP="00BA00A8">
      <w:pPr>
        <w:pStyle w:val="Heading3"/>
      </w:pPr>
      <w:r w:rsidRPr="00F3146E">
        <w:t xml:space="preserve">On-line </w:t>
      </w:r>
      <w:r w:rsidR="00D23CD4">
        <w:t>m</w:t>
      </w:r>
      <w:r w:rsidRPr="00F3146E">
        <w:t xml:space="preserve">enu – </w:t>
      </w:r>
      <w:r w:rsidR="00F3146E" w:rsidRPr="00F3146E">
        <w:t xml:space="preserve">8,700 kJ </w:t>
      </w:r>
      <w:r w:rsidR="00426DF7">
        <w:t xml:space="preserve">reference </w:t>
      </w:r>
      <w:r w:rsidR="00F3146E" w:rsidRPr="00F3146E">
        <w:t>statement</w:t>
      </w:r>
      <w:r w:rsidR="00C301C2">
        <w:t xml:space="preserve"> </w:t>
      </w:r>
    </w:p>
    <w:p w14:paraId="29D61CF1" w14:textId="75A9D2F2" w:rsidR="00E976CF" w:rsidRPr="004109F2" w:rsidRDefault="00DD519D" w:rsidP="00B31B99">
      <w:pPr>
        <w:pStyle w:val="DHHStablecaption"/>
        <w:spacing w:after="200"/>
        <w:rPr>
          <w:color w:val="201547"/>
        </w:rPr>
      </w:pPr>
      <w:r>
        <w:rPr>
          <w:color w:val="201547"/>
        </w:rPr>
        <w:t xml:space="preserve">Table 11: </w:t>
      </w:r>
      <w:r w:rsidR="00E976CF" w:rsidRPr="004109F2">
        <w:rPr>
          <w:color w:val="201547"/>
        </w:rPr>
        <w:t xml:space="preserve">On-line PDF </w:t>
      </w:r>
      <w:r w:rsidR="00D23CD4">
        <w:rPr>
          <w:color w:val="201547"/>
        </w:rPr>
        <w:t>m</w:t>
      </w:r>
      <w:r w:rsidR="00E976CF" w:rsidRPr="004109F2">
        <w:rPr>
          <w:color w:val="201547"/>
        </w:rPr>
        <w:t>enu – percentage complied 2018</w:t>
      </w:r>
      <w:r w:rsidR="00426DF7">
        <w:rPr>
          <w:color w:val="201547"/>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3C1328" w:rsidRPr="00E16A8C" w14:paraId="65D49DE8" w14:textId="77777777" w:rsidTr="003C1328">
        <w:trPr>
          <w:trHeight w:val="567"/>
        </w:trPr>
        <w:tc>
          <w:tcPr>
            <w:tcW w:w="1134" w:type="dxa"/>
            <w:shd w:val="clear" w:color="auto" w:fill="201547"/>
            <w:vAlign w:val="center"/>
          </w:tcPr>
          <w:p w14:paraId="16210499" w14:textId="77777777" w:rsidR="003C1328" w:rsidRPr="00E16A8C" w:rsidRDefault="003C1328" w:rsidP="003C1328">
            <w:pPr>
              <w:pStyle w:val="DHHStablecolhead"/>
              <w:rPr>
                <w:color w:val="FFFFFF"/>
              </w:rPr>
            </w:pPr>
            <w:r>
              <w:rPr>
                <w:color w:val="FFFFFF"/>
              </w:rPr>
              <w:t>Year</w:t>
            </w:r>
          </w:p>
        </w:tc>
        <w:tc>
          <w:tcPr>
            <w:tcW w:w="1701" w:type="dxa"/>
            <w:shd w:val="clear" w:color="auto" w:fill="201547"/>
            <w:vAlign w:val="center"/>
          </w:tcPr>
          <w:p w14:paraId="0BBA1A28" w14:textId="77777777" w:rsidR="003C1328" w:rsidRPr="00E16A8C" w:rsidRDefault="003C1328" w:rsidP="003C1328">
            <w:pPr>
              <w:pStyle w:val="DHHStablecolhead"/>
              <w:jc w:val="center"/>
              <w:rPr>
                <w:color w:val="FFFFFF"/>
              </w:rPr>
            </w:pPr>
            <w:r w:rsidRPr="00E16A8C">
              <w:rPr>
                <w:color w:val="FFFFFF"/>
              </w:rPr>
              <w:t>Displayed</w:t>
            </w:r>
          </w:p>
        </w:tc>
        <w:tc>
          <w:tcPr>
            <w:tcW w:w="1701" w:type="dxa"/>
            <w:shd w:val="clear" w:color="auto" w:fill="201547"/>
            <w:vAlign w:val="center"/>
          </w:tcPr>
          <w:p w14:paraId="7D8A2953" w14:textId="77777777" w:rsidR="003C1328" w:rsidRPr="00E16A8C" w:rsidRDefault="003C1328" w:rsidP="003C1328">
            <w:pPr>
              <w:pStyle w:val="DHHStablecolhead"/>
              <w:jc w:val="center"/>
              <w:rPr>
                <w:color w:val="FFFFFF"/>
              </w:rPr>
            </w:pPr>
            <w:r w:rsidRPr="00E16A8C">
              <w:rPr>
                <w:color w:val="FFFFFF"/>
              </w:rPr>
              <w:t>Legible</w:t>
            </w:r>
          </w:p>
        </w:tc>
        <w:tc>
          <w:tcPr>
            <w:tcW w:w="1701" w:type="dxa"/>
            <w:shd w:val="clear" w:color="auto" w:fill="201547"/>
            <w:vAlign w:val="center"/>
          </w:tcPr>
          <w:p w14:paraId="38604938" w14:textId="77777777" w:rsidR="003C1328" w:rsidRPr="00E16A8C" w:rsidRDefault="003C1328" w:rsidP="003C1328">
            <w:pPr>
              <w:pStyle w:val="DHHStablecolhead"/>
              <w:jc w:val="center"/>
              <w:rPr>
                <w:color w:val="FFFFFF"/>
              </w:rPr>
            </w:pPr>
            <w:r w:rsidRPr="00E16A8C">
              <w:rPr>
                <w:color w:val="FFFFFF"/>
              </w:rPr>
              <w:t>Prominent</w:t>
            </w:r>
          </w:p>
        </w:tc>
        <w:tc>
          <w:tcPr>
            <w:tcW w:w="1701" w:type="dxa"/>
            <w:shd w:val="clear" w:color="auto" w:fill="201547"/>
            <w:vAlign w:val="center"/>
          </w:tcPr>
          <w:p w14:paraId="60E5AAC1" w14:textId="77777777" w:rsidR="003C1328" w:rsidRPr="00E16A8C" w:rsidRDefault="003C1328" w:rsidP="003C1328">
            <w:pPr>
              <w:pStyle w:val="DHHStablecolhead"/>
              <w:jc w:val="center"/>
              <w:rPr>
                <w:color w:val="FFFFFF"/>
              </w:rPr>
            </w:pPr>
            <w:r w:rsidRPr="00E16A8C">
              <w:rPr>
                <w:color w:val="FFFFFF"/>
              </w:rPr>
              <w:t>Font size</w:t>
            </w:r>
          </w:p>
        </w:tc>
      </w:tr>
      <w:tr w:rsidR="003C1328" w14:paraId="3C8E7C55" w14:textId="77777777" w:rsidTr="003C1328">
        <w:trPr>
          <w:trHeight w:val="567"/>
        </w:trPr>
        <w:tc>
          <w:tcPr>
            <w:tcW w:w="1134" w:type="dxa"/>
            <w:vAlign w:val="center"/>
          </w:tcPr>
          <w:p w14:paraId="28BAA76C" w14:textId="77777777" w:rsidR="003C1328" w:rsidRPr="003C1328" w:rsidRDefault="003C1328" w:rsidP="003C1328">
            <w:pPr>
              <w:pStyle w:val="DHHStabletext6pt"/>
              <w:rPr>
                <w:b/>
                <w:bCs/>
              </w:rPr>
            </w:pPr>
            <w:r w:rsidRPr="003C1328">
              <w:rPr>
                <w:b/>
                <w:bCs/>
              </w:rPr>
              <w:t>2018</w:t>
            </w:r>
          </w:p>
        </w:tc>
        <w:tc>
          <w:tcPr>
            <w:tcW w:w="1701" w:type="dxa"/>
            <w:vAlign w:val="center"/>
          </w:tcPr>
          <w:p w14:paraId="1BB5A16B" w14:textId="77777777" w:rsidR="003C1328" w:rsidRDefault="003C1328" w:rsidP="003C1328">
            <w:pPr>
              <w:pStyle w:val="DHHStabletext6pt"/>
              <w:jc w:val="center"/>
            </w:pPr>
            <w:r>
              <w:t>50.0</w:t>
            </w:r>
          </w:p>
        </w:tc>
        <w:tc>
          <w:tcPr>
            <w:tcW w:w="1701" w:type="dxa"/>
            <w:vAlign w:val="center"/>
          </w:tcPr>
          <w:p w14:paraId="21FE4EC7" w14:textId="77777777" w:rsidR="003C1328" w:rsidRDefault="003C1328" w:rsidP="003C1328">
            <w:pPr>
              <w:pStyle w:val="DHHStabletext6pt"/>
              <w:jc w:val="center"/>
            </w:pPr>
            <w:r>
              <w:t>100.0</w:t>
            </w:r>
          </w:p>
        </w:tc>
        <w:tc>
          <w:tcPr>
            <w:tcW w:w="1701" w:type="dxa"/>
            <w:vAlign w:val="center"/>
          </w:tcPr>
          <w:p w14:paraId="3420F805" w14:textId="77777777" w:rsidR="003C1328" w:rsidRDefault="003C1328" w:rsidP="003C1328">
            <w:pPr>
              <w:pStyle w:val="DHHStabletext6pt"/>
              <w:jc w:val="center"/>
            </w:pPr>
            <w:r>
              <w:t>100.0</w:t>
            </w:r>
          </w:p>
        </w:tc>
        <w:tc>
          <w:tcPr>
            <w:tcW w:w="1701" w:type="dxa"/>
            <w:vAlign w:val="center"/>
          </w:tcPr>
          <w:p w14:paraId="6FD7957B" w14:textId="77777777" w:rsidR="003C1328" w:rsidRDefault="003C1328" w:rsidP="003C1328">
            <w:pPr>
              <w:pStyle w:val="DHHStabletext6pt"/>
              <w:jc w:val="center"/>
            </w:pPr>
            <w:r>
              <w:t>75.0</w:t>
            </w:r>
          </w:p>
        </w:tc>
      </w:tr>
      <w:tr w:rsidR="003C1328" w14:paraId="12818CCF" w14:textId="77777777" w:rsidTr="003C1328">
        <w:trPr>
          <w:trHeight w:val="567"/>
        </w:trPr>
        <w:tc>
          <w:tcPr>
            <w:tcW w:w="1134" w:type="dxa"/>
            <w:vAlign w:val="center"/>
          </w:tcPr>
          <w:p w14:paraId="41448B0A" w14:textId="77777777" w:rsidR="003C1328" w:rsidRPr="003C1328" w:rsidRDefault="003C1328" w:rsidP="003C1328">
            <w:pPr>
              <w:pStyle w:val="DHHStabletext6pt"/>
              <w:rPr>
                <w:b/>
                <w:bCs/>
              </w:rPr>
            </w:pPr>
            <w:r w:rsidRPr="003C1328">
              <w:rPr>
                <w:b/>
                <w:bCs/>
              </w:rPr>
              <w:t>2019</w:t>
            </w:r>
          </w:p>
        </w:tc>
        <w:tc>
          <w:tcPr>
            <w:tcW w:w="1701" w:type="dxa"/>
            <w:vAlign w:val="center"/>
          </w:tcPr>
          <w:p w14:paraId="7D96E761" w14:textId="77777777" w:rsidR="003C1328" w:rsidRPr="009C2EFE" w:rsidRDefault="003C1328" w:rsidP="003C1328">
            <w:pPr>
              <w:pStyle w:val="DHHStabletext6pt"/>
              <w:jc w:val="center"/>
              <w:rPr>
                <w:color w:val="000000" w:themeColor="text1"/>
              </w:rPr>
            </w:pPr>
            <w:r>
              <w:rPr>
                <w:color w:val="000000" w:themeColor="text1"/>
              </w:rPr>
              <w:t>60.0</w:t>
            </w:r>
          </w:p>
        </w:tc>
        <w:tc>
          <w:tcPr>
            <w:tcW w:w="1701" w:type="dxa"/>
            <w:vAlign w:val="center"/>
          </w:tcPr>
          <w:p w14:paraId="213771E5" w14:textId="77777777" w:rsidR="003C1328" w:rsidRPr="009C2EFE" w:rsidRDefault="003C1328" w:rsidP="003C1328">
            <w:pPr>
              <w:pStyle w:val="DHHStabletext6pt"/>
              <w:jc w:val="center"/>
              <w:rPr>
                <w:color w:val="000000" w:themeColor="text1"/>
              </w:rPr>
            </w:pPr>
            <w:r>
              <w:rPr>
                <w:color w:val="000000" w:themeColor="text1"/>
              </w:rPr>
              <w:t>100.0</w:t>
            </w:r>
          </w:p>
        </w:tc>
        <w:tc>
          <w:tcPr>
            <w:tcW w:w="1701" w:type="dxa"/>
            <w:vAlign w:val="center"/>
          </w:tcPr>
          <w:p w14:paraId="67192931" w14:textId="77777777" w:rsidR="003C1328" w:rsidRPr="009C2EFE" w:rsidRDefault="003C1328" w:rsidP="003C1328">
            <w:pPr>
              <w:pStyle w:val="DHHStabletext6pt"/>
              <w:jc w:val="center"/>
              <w:rPr>
                <w:color w:val="000000" w:themeColor="text1"/>
              </w:rPr>
            </w:pPr>
            <w:r>
              <w:rPr>
                <w:color w:val="000000" w:themeColor="text1"/>
              </w:rPr>
              <w:t>100.0</w:t>
            </w:r>
          </w:p>
        </w:tc>
        <w:tc>
          <w:tcPr>
            <w:tcW w:w="1701" w:type="dxa"/>
            <w:vAlign w:val="center"/>
          </w:tcPr>
          <w:p w14:paraId="4B4E362F" w14:textId="77777777" w:rsidR="003C1328" w:rsidRPr="009C2EFE" w:rsidRDefault="003C1328" w:rsidP="003C1328">
            <w:pPr>
              <w:pStyle w:val="DHHStabletext6pt"/>
              <w:jc w:val="center"/>
              <w:rPr>
                <w:color w:val="000000" w:themeColor="text1"/>
              </w:rPr>
            </w:pPr>
            <w:r>
              <w:rPr>
                <w:color w:val="000000" w:themeColor="text1"/>
              </w:rPr>
              <w:t>100.0</w:t>
            </w:r>
          </w:p>
        </w:tc>
      </w:tr>
    </w:tbl>
    <w:p w14:paraId="0F038B9D" w14:textId="77777777" w:rsidR="007C0519" w:rsidRDefault="007C0519" w:rsidP="003C1328">
      <w:pPr>
        <w:pStyle w:val="DHHStablecaption"/>
        <w:spacing w:before="0" w:after="0"/>
        <w:rPr>
          <w:color w:val="201547"/>
        </w:rPr>
      </w:pPr>
    </w:p>
    <w:p w14:paraId="160FB22C" w14:textId="1079F887" w:rsidR="007C0519" w:rsidRDefault="00DD519D" w:rsidP="007C0519">
      <w:pPr>
        <w:pStyle w:val="DHHSbody"/>
      </w:pPr>
      <w:r>
        <w:rPr>
          <w:noProof/>
        </w:rPr>
        <w:drawing>
          <wp:inline distT="0" distB="0" distL="0" distR="0" wp14:anchorId="32400638" wp14:editId="64F30363">
            <wp:extent cx="5413717" cy="309094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1"/>
                    <a:stretch>
                      <a:fillRect/>
                    </a:stretch>
                  </pic:blipFill>
                  <pic:spPr>
                    <a:xfrm>
                      <a:off x="0" y="0"/>
                      <a:ext cx="5413717" cy="3090940"/>
                    </a:xfrm>
                    <a:prstGeom prst="rect">
                      <a:avLst/>
                    </a:prstGeom>
                  </pic:spPr>
                </pic:pic>
              </a:graphicData>
            </a:graphic>
          </wp:inline>
        </w:drawing>
      </w:r>
    </w:p>
    <w:p w14:paraId="7332F4EF" w14:textId="77777777" w:rsidR="00205928" w:rsidRDefault="00164A25" w:rsidP="00205928">
      <w:pPr>
        <w:pStyle w:val="DHHSbody"/>
        <w:spacing w:before="120" w:after="240"/>
        <w:rPr>
          <w:b/>
          <w:color w:val="201547"/>
        </w:rPr>
      </w:pPr>
      <w:r>
        <w:br w:type="textWrapping" w:clear="all"/>
      </w:r>
    </w:p>
    <w:p w14:paraId="04EB6273" w14:textId="77F9776A" w:rsidR="00213704" w:rsidRPr="003475F7" w:rsidRDefault="00DD519D" w:rsidP="00205928">
      <w:pPr>
        <w:pStyle w:val="DHHSbody"/>
        <w:spacing w:before="120" w:after="240"/>
        <w:rPr>
          <w:b/>
          <w:color w:val="000000" w:themeColor="text1"/>
        </w:rPr>
      </w:pPr>
      <w:r>
        <w:rPr>
          <w:b/>
          <w:color w:val="201547"/>
        </w:rPr>
        <w:t xml:space="preserve">Table 12: </w:t>
      </w:r>
      <w:r w:rsidR="00213704" w:rsidRPr="003475F7">
        <w:rPr>
          <w:b/>
          <w:color w:val="201547"/>
        </w:rPr>
        <w:t xml:space="preserve">On-line Interactive Menu – percentage complied 2018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701"/>
        <w:gridCol w:w="1701"/>
        <w:gridCol w:w="1701"/>
        <w:gridCol w:w="1701"/>
      </w:tblGrid>
      <w:tr w:rsidR="00BA00A8" w:rsidRPr="00E16A8C" w14:paraId="62D64287" w14:textId="77777777" w:rsidTr="00BA00A8">
        <w:trPr>
          <w:trHeight w:val="567"/>
        </w:trPr>
        <w:tc>
          <w:tcPr>
            <w:tcW w:w="1134" w:type="dxa"/>
            <w:shd w:val="clear" w:color="auto" w:fill="201547"/>
            <w:vAlign w:val="center"/>
          </w:tcPr>
          <w:p w14:paraId="552C7F5D" w14:textId="77777777" w:rsidR="00BA00A8" w:rsidRPr="00BA00A8" w:rsidRDefault="00BA00A8" w:rsidP="00BA00A8">
            <w:pPr>
              <w:pStyle w:val="DHHStablecolhead"/>
              <w:rPr>
                <w:color w:val="FFFFFF"/>
              </w:rPr>
            </w:pPr>
            <w:r w:rsidRPr="00BA00A8">
              <w:rPr>
                <w:color w:val="FFFFFF"/>
              </w:rPr>
              <w:t>Year</w:t>
            </w:r>
          </w:p>
        </w:tc>
        <w:tc>
          <w:tcPr>
            <w:tcW w:w="1701" w:type="dxa"/>
            <w:shd w:val="clear" w:color="auto" w:fill="201547"/>
            <w:vAlign w:val="center"/>
          </w:tcPr>
          <w:p w14:paraId="271EE55C" w14:textId="77777777" w:rsidR="00BA00A8" w:rsidRPr="00E16A8C" w:rsidRDefault="00BA00A8" w:rsidP="00BA00A8">
            <w:pPr>
              <w:pStyle w:val="DHHStablecolhead"/>
              <w:jc w:val="center"/>
              <w:rPr>
                <w:color w:val="FFFFFF"/>
              </w:rPr>
            </w:pPr>
            <w:r w:rsidRPr="00E16A8C">
              <w:rPr>
                <w:color w:val="FFFFFF"/>
              </w:rPr>
              <w:t>Displayed</w:t>
            </w:r>
          </w:p>
        </w:tc>
        <w:tc>
          <w:tcPr>
            <w:tcW w:w="1701" w:type="dxa"/>
            <w:shd w:val="clear" w:color="auto" w:fill="201547"/>
            <w:vAlign w:val="center"/>
          </w:tcPr>
          <w:p w14:paraId="6751B457" w14:textId="77777777" w:rsidR="00BA00A8" w:rsidRPr="00E16A8C" w:rsidRDefault="00BA00A8" w:rsidP="00BA00A8">
            <w:pPr>
              <w:pStyle w:val="DHHStablecolhead"/>
              <w:jc w:val="center"/>
              <w:rPr>
                <w:color w:val="FFFFFF"/>
              </w:rPr>
            </w:pPr>
            <w:r w:rsidRPr="00E16A8C">
              <w:rPr>
                <w:color w:val="FFFFFF"/>
              </w:rPr>
              <w:t>Legible</w:t>
            </w:r>
          </w:p>
        </w:tc>
        <w:tc>
          <w:tcPr>
            <w:tcW w:w="1701" w:type="dxa"/>
            <w:shd w:val="clear" w:color="auto" w:fill="201547"/>
            <w:vAlign w:val="center"/>
          </w:tcPr>
          <w:p w14:paraId="4480571B" w14:textId="77777777" w:rsidR="00BA00A8" w:rsidRPr="00E16A8C" w:rsidRDefault="00BA00A8" w:rsidP="00BA00A8">
            <w:pPr>
              <w:pStyle w:val="DHHStablecolhead"/>
              <w:jc w:val="center"/>
              <w:rPr>
                <w:color w:val="FFFFFF"/>
              </w:rPr>
            </w:pPr>
            <w:r w:rsidRPr="00E16A8C">
              <w:rPr>
                <w:color w:val="FFFFFF"/>
              </w:rPr>
              <w:t>Prominent</w:t>
            </w:r>
          </w:p>
        </w:tc>
        <w:tc>
          <w:tcPr>
            <w:tcW w:w="1701" w:type="dxa"/>
            <w:shd w:val="clear" w:color="auto" w:fill="201547"/>
            <w:vAlign w:val="center"/>
          </w:tcPr>
          <w:p w14:paraId="0A9A770F" w14:textId="77777777" w:rsidR="00BA00A8" w:rsidRPr="00E16A8C" w:rsidRDefault="00BA00A8" w:rsidP="00BA00A8">
            <w:pPr>
              <w:pStyle w:val="DHHStablecolhead"/>
              <w:jc w:val="center"/>
              <w:rPr>
                <w:color w:val="FFFFFF"/>
              </w:rPr>
            </w:pPr>
            <w:r w:rsidRPr="00E16A8C">
              <w:rPr>
                <w:color w:val="FFFFFF"/>
              </w:rPr>
              <w:t>Font size</w:t>
            </w:r>
          </w:p>
        </w:tc>
      </w:tr>
      <w:tr w:rsidR="00BA00A8" w14:paraId="47797EDE" w14:textId="77777777" w:rsidTr="00BA00A8">
        <w:trPr>
          <w:trHeight w:val="567"/>
        </w:trPr>
        <w:tc>
          <w:tcPr>
            <w:tcW w:w="1134" w:type="dxa"/>
            <w:vAlign w:val="center"/>
          </w:tcPr>
          <w:p w14:paraId="50C32B34" w14:textId="77777777" w:rsidR="00BA00A8" w:rsidRPr="00BA00A8" w:rsidRDefault="00BA00A8" w:rsidP="00BA00A8">
            <w:pPr>
              <w:pStyle w:val="DHHStabletext6pt"/>
              <w:rPr>
                <w:b/>
              </w:rPr>
            </w:pPr>
            <w:r w:rsidRPr="00BA00A8">
              <w:rPr>
                <w:b/>
              </w:rPr>
              <w:t>2018</w:t>
            </w:r>
          </w:p>
        </w:tc>
        <w:tc>
          <w:tcPr>
            <w:tcW w:w="1701" w:type="dxa"/>
            <w:vAlign w:val="center"/>
          </w:tcPr>
          <w:p w14:paraId="6A5D54E3" w14:textId="77777777" w:rsidR="00BA00A8" w:rsidRDefault="00BA00A8" w:rsidP="00BA00A8">
            <w:pPr>
              <w:pStyle w:val="DHHStabletext6pt"/>
              <w:jc w:val="center"/>
            </w:pPr>
            <w:r>
              <w:t>29.3</w:t>
            </w:r>
          </w:p>
        </w:tc>
        <w:tc>
          <w:tcPr>
            <w:tcW w:w="1701" w:type="dxa"/>
            <w:vAlign w:val="center"/>
          </w:tcPr>
          <w:p w14:paraId="198E70FE" w14:textId="77777777" w:rsidR="00BA00A8" w:rsidRDefault="00BA00A8" w:rsidP="00BA00A8">
            <w:pPr>
              <w:pStyle w:val="DHHStabletext6pt"/>
              <w:jc w:val="center"/>
            </w:pPr>
            <w:r>
              <w:t>100.0</w:t>
            </w:r>
          </w:p>
        </w:tc>
        <w:tc>
          <w:tcPr>
            <w:tcW w:w="1701" w:type="dxa"/>
            <w:vAlign w:val="center"/>
          </w:tcPr>
          <w:p w14:paraId="089182AA" w14:textId="77777777" w:rsidR="00BA00A8" w:rsidRDefault="00BA00A8" w:rsidP="00BA00A8">
            <w:pPr>
              <w:pStyle w:val="DHHStabletext6pt"/>
              <w:jc w:val="center"/>
            </w:pPr>
            <w:r>
              <w:t>90.9</w:t>
            </w:r>
          </w:p>
        </w:tc>
        <w:tc>
          <w:tcPr>
            <w:tcW w:w="1701" w:type="dxa"/>
            <w:vAlign w:val="center"/>
          </w:tcPr>
          <w:p w14:paraId="514E64AF" w14:textId="77777777" w:rsidR="00BA00A8" w:rsidRDefault="00BA00A8" w:rsidP="00BA00A8">
            <w:pPr>
              <w:pStyle w:val="DHHStabletext6pt"/>
              <w:jc w:val="center"/>
            </w:pPr>
            <w:r>
              <w:t>54.5</w:t>
            </w:r>
          </w:p>
        </w:tc>
      </w:tr>
      <w:tr w:rsidR="00BA00A8" w14:paraId="79253204" w14:textId="77777777" w:rsidTr="00BA00A8">
        <w:trPr>
          <w:trHeight w:val="567"/>
        </w:trPr>
        <w:tc>
          <w:tcPr>
            <w:tcW w:w="1134" w:type="dxa"/>
            <w:vAlign w:val="center"/>
          </w:tcPr>
          <w:p w14:paraId="1B04D6B4" w14:textId="77777777" w:rsidR="00BA00A8" w:rsidRPr="00BA00A8" w:rsidRDefault="00BA00A8" w:rsidP="00BA00A8">
            <w:pPr>
              <w:pStyle w:val="DHHStabletext6pt"/>
              <w:rPr>
                <w:b/>
              </w:rPr>
            </w:pPr>
            <w:r>
              <w:rPr>
                <w:b/>
              </w:rPr>
              <w:t>2019</w:t>
            </w:r>
          </w:p>
        </w:tc>
        <w:tc>
          <w:tcPr>
            <w:tcW w:w="1701" w:type="dxa"/>
            <w:vAlign w:val="center"/>
          </w:tcPr>
          <w:p w14:paraId="23AD78E1" w14:textId="77777777" w:rsidR="00BA00A8" w:rsidRPr="00D91A59" w:rsidRDefault="00BA00A8" w:rsidP="00BA00A8">
            <w:pPr>
              <w:pStyle w:val="DHHStabletext6pt"/>
              <w:jc w:val="center"/>
              <w:rPr>
                <w:color w:val="000000" w:themeColor="text1"/>
              </w:rPr>
            </w:pPr>
            <w:r>
              <w:rPr>
                <w:color w:val="000000" w:themeColor="text1"/>
              </w:rPr>
              <w:t>34.2</w:t>
            </w:r>
          </w:p>
        </w:tc>
        <w:tc>
          <w:tcPr>
            <w:tcW w:w="1701" w:type="dxa"/>
            <w:vAlign w:val="center"/>
          </w:tcPr>
          <w:p w14:paraId="51032023" w14:textId="77777777" w:rsidR="00BA00A8" w:rsidRPr="00D91A59" w:rsidRDefault="00BA00A8" w:rsidP="00BA00A8">
            <w:pPr>
              <w:pStyle w:val="DHHStabletext6pt"/>
              <w:jc w:val="center"/>
              <w:rPr>
                <w:color w:val="000000" w:themeColor="text1"/>
              </w:rPr>
            </w:pPr>
            <w:r w:rsidRPr="00D91A59">
              <w:rPr>
                <w:color w:val="000000" w:themeColor="text1"/>
              </w:rPr>
              <w:t>100.0</w:t>
            </w:r>
          </w:p>
        </w:tc>
        <w:tc>
          <w:tcPr>
            <w:tcW w:w="1701" w:type="dxa"/>
            <w:vAlign w:val="center"/>
          </w:tcPr>
          <w:p w14:paraId="7FF4B4BB" w14:textId="77777777" w:rsidR="00BA00A8" w:rsidRPr="00D91A59" w:rsidRDefault="00BA00A8" w:rsidP="00BA00A8">
            <w:pPr>
              <w:pStyle w:val="DHHStabletext6pt"/>
              <w:jc w:val="center"/>
              <w:rPr>
                <w:color w:val="000000" w:themeColor="text1"/>
              </w:rPr>
            </w:pPr>
            <w:r>
              <w:rPr>
                <w:color w:val="000000" w:themeColor="text1"/>
              </w:rPr>
              <w:t>78.6</w:t>
            </w:r>
          </w:p>
        </w:tc>
        <w:tc>
          <w:tcPr>
            <w:tcW w:w="1701" w:type="dxa"/>
            <w:vAlign w:val="center"/>
          </w:tcPr>
          <w:p w14:paraId="69C657DA" w14:textId="77777777" w:rsidR="00BA00A8" w:rsidRPr="00D91A59" w:rsidRDefault="00BA00A8" w:rsidP="00BA00A8">
            <w:pPr>
              <w:pStyle w:val="DHHStabletext6pt"/>
              <w:jc w:val="center"/>
              <w:rPr>
                <w:color w:val="000000" w:themeColor="text1"/>
              </w:rPr>
            </w:pPr>
            <w:r w:rsidRPr="00D91A59">
              <w:rPr>
                <w:color w:val="000000" w:themeColor="text1"/>
              </w:rPr>
              <w:t>50.0</w:t>
            </w:r>
          </w:p>
        </w:tc>
      </w:tr>
    </w:tbl>
    <w:p w14:paraId="22FCABE8" w14:textId="14F51764" w:rsidR="00BA00A8" w:rsidRDefault="00DD519D" w:rsidP="00A92DF6">
      <w:pPr>
        <w:pStyle w:val="DHHSbullet1"/>
        <w:numPr>
          <w:ilvl w:val="0"/>
          <w:numId w:val="0"/>
        </w:numPr>
        <w:spacing w:before="240" w:after="240"/>
        <w:rPr>
          <w:color w:val="FF0000"/>
        </w:rPr>
      </w:pPr>
      <w:r>
        <w:rPr>
          <w:noProof/>
          <w:color w:val="FF0000"/>
        </w:rPr>
        <w:drawing>
          <wp:inline distT="0" distB="0" distL="0" distR="0" wp14:anchorId="198F0B68" wp14:editId="6AAF8016">
            <wp:extent cx="5328366" cy="3200677"/>
            <wp:effectExtent l="0" t="0" r="0" b="0"/>
            <wp:docPr id="96"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pic:nvPicPr>
                  <pic:blipFill>
                    <a:blip r:embed="rId22"/>
                    <a:stretch>
                      <a:fillRect/>
                    </a:stretch>
                  </pic:blipFill>
                  <pic:spPr>
                    <a:xfrm>
                      <a:off x="0" y="0"/>
                      <a:ext cx="5328366" cy="3200677"/>
                    </a:xfrm>
                    <a:prstGeom prst="rect">
                      <a:avLst/>
                    </a:prstGeom>
                  </pic:spPr>
                </pic:pic>
              </a:graphicData>
            </a:graphic>
          </wp:inline>
        </w:drawing>
      </w:r>
    </w:p>
    <w:p w14:paraId="1FE9D42F" w14:textId="77777777" w:rsidR="005D1970" w:rsidRPr="00BA00A8" w:rsidRDefault="00FE03AB" w:rsidP="00BA00A8">
      <w:pPr>
        <w:pStyle w:val="Heading2"/>
      </w:pPr>
      <w:bookmarkStart w:id="11" w:name="_Toc75278959"/>
      <w:r w:rsidRPr="00BA00A8">
        <w:t xml:space="preserve">Key points </w:t>
      </w:r>
      <w:r w:rsidR="000D0EBF" w:rsidRPr="00BA00A8">
        <w:t>–</w:t>
      </w:r>
      <w:r w:rsidRPr="00BA00A8">
        <w:t xml:space="preserve"> </w:t>
      </w:r>
      <w:r w:rsidR="00730A51" w:rsidRPr="00BA00A8">
        <w:t>o</w:t>
      </w:r>
      <w:r w:rsidR="000D0EBF" w:rsidRPr="00BA00A8">
        <w:t>nline menu compliance checks</w:t>
      </w:r>
      <w:bookmarkEnd w:id="11"/>
      <w:r w:rsidR="000D0EBF" w:rsidRPr="00BA00A8">
        <w:t xml:space="preserve"> </w:t>
      </w:r>
    </w:p>
    <w:p w14:paraId="687DD162" w14:textId="77777777" w:rsidR="00432422" w:rsidRPr="00B07B3F" w:rsidRDefault="003928A7" w:rsidP="00327DA2">
      <w:pPr>
        <w:pStyle w:val="DHHSbullet1"/>
        <w:spacing w:before="120"/>
        <w:rPr>
          <w:color w:val="000000" w:themeColor="text1"/>
        </w:rPr>
      </w:pPr>
      <w:r w:rsidRPr="00B07B3F">
        <w:rPr>
          <w:color w:val="000000" w:themeColor="text1"/>
        </w:rPr>
        <w:t xml:space="preserve">Approximately </w:t>
      </w:r>
      <w:r w:rsidR="00432422" w:rsidRPr="00B07B3F">
        <w:rPr>
          <w:color w:val="000000" w:themeColor="text1"/>
        </w:rPr>
        <w:t>30</w:t>
      </w:r>
      <w:r w:rsidR="00D23CD4">
        <w:rPr>
          <w:color w:val="000000" w:themeColor="text1"/>
        </w:rPr>
        <w:t xml:space="preserve"> per</w:t>
      </w:r>
      <w:r w:rsidR="00B07B3F" w:rsidRPr="00B07B3F">
        <w:rPr>
          <w:color w:val="000000" w:themeColor="text1"/>
        </w:rPr>
        <w:t xml:space="preserve"> </w:t>
      </w:r>
      <w:r w:rsidR="00432422" w:rsidRPr="00B07B3F">
        <w:rPr>
          <w:color w:val="000000" w:themeColor="text1"/>
        </w:rPr>
        <w:t>cent of the chain food businesses captured by the scheme provided kJ/nutrition information in PDF format that could be downloaded by the consumer.</w:t>
      </w:r>
      <w:r w:rsidR="008E19F7" w:rsidRPr="00B07B3F">
        <w:rPr>
          <w:color w:val="000000" w:themeColor="text1"/>
        </w:rPr>
        <w:t xml:space="preserve"> </w:t>
      </w:r>
    </w:p>
    <w:p w14:paraId="3DD6934A" w14:textId="77777777" w:rsidR="00432422" w:rsidRPr="00F45685" w:rsidRDefault="00F45685" w:rsidP="00432422">
      <w:pPr>
        <w:pStyle w:val="DHHSbullet1"/>
        <w:rPr>
          <w:color w:val="000000" w:themeColor="text1"/>
        </w:rPr>
      </w:pPr>
      <w:r w:rsidRPr="00F45685">
        <w:rPr>
          <w:color w:val="000000" w:themeColor="text1"/>
        </w:rPr>
        <w:t xml:space="preserve">The frequency of PDF menus displaying the kJ content for standard food items increased from </w:t>
      </w:r>
      <w:r w:rsidR="00432422" w:rsidRPr="00F45685">
        <w:rPr>
          <w:color w:val="000000" w:themeColor="text1"/>
        </w:rPr>
        <w:t>94.4</w:t>
      </w:r>
      <w:r w:rsidR="00D23CD4">
        <w:rPr>
          <w:color w:val="000000" w:themeColor="text1"/>
        </w:rPr>
        <w:t xml:space="preserve"> per cent</w:t>
      </w:r>
      <w:r w:rsidRPr="00F45685">
        <w:rPr>
          <w:color w:val="000000" w:themeColor="text1"/>
        </w:rPr>
        <w:t xml:space="preserve"> in 2018 to 100.0</w:t>
      </w:r>
      <w:r w:rsidR="00D23CD4">
        <w:rPr>
          <w:color w:val="000000" w:themeColor="text1"/>
        </w:rPr>
        <w:t xml:space="preserve"> per cent</w:t>
      </w:r>
      <w:r w:rsidRPr="00F45685">
        <w:rPr>
          <w:color w:val="000000" w:themeColor="text1"/>
        </w:rPr>
        <w:t xml:space="preserve"> in 2019. </w:t>
      </w:r>
      <w:r w:rsidR="00463FEB">
        <w:rPr>
          <w:color w:val="000000" w:themeColor="text1"/>
        </w:rPr>
        <w:t xml:space="preserve">This is an excellent result. </w:t>
      </w:r>
    </w:p>
    <w:p w14:paraId="6BDD4CEE" w14:textId="77777777" w:rsidR="00432422" w:rsidRPr="009A50CF" w:rsidRDefault="002909E6" w:rsidP="00432422">
      <w:pPr>
        <w:pStyle w:val="DHHSbullet1"/>
        <w:rPr>
          <w:color w:val="000000" w:themeColor="text1"/>
        </w:rPr>
      </w:pPr>
      <w:r w:rsidRPr="009A50CF">
        <w:rPr>
          <w:color w:val="000000" w:themeColor="text1"/>
        </w:rPr>
        <w:t>Online</w:t>
      </w:r>
      <w:r w:rsidR="00432422" w:rsidRPr="009A50CF">
        <w:rPr>
          <w:color w:val="000000" w:themeColor="text1"/>
        </w:rPr>
        <w:t xml:space="preserve"> interactive menus display</w:t>
      </w:r>
      <w:r w:rsidR="00DD671C" w:rsidRPr="009A50CF">
        <w:rPr>
          <w:color w:val="000000" w:themeColor="text1"/>
        </w:rPr>
        <w:t xml:space="preserve">ing </w:t>
      </w:r>
      <w:r w:rsidR="00432422" w:rsidRPr="009A50CF">
        <w:rPr>
          <w:color w:val="000000" w:themeColor="text1"/>
        </w:rPr>
        <w:t>the kJ content for standard food items</w:t>
      </w:r>
      <w:r w:rsidR="009A50CF" w:rsidRPr="009A50CF">
        <w:rPr>
          <w:color w:val="000000" w:themeColor="text1"/>
        </w:rPr>
        <w:t xml:space="preserve"> increased from 75.0</w:t>
      </w:r>
      <w:r w:rsidR="00D23CD4">
        <w:rPr>
          <w:color w:val="000000" w:themeColor="text1"/>
        </w:rPr>
        <w:t xml:space="preserve"> per cent</w:t>
      </w:r>
      <w:r w:rsidR="009A50CF" w:rsidRPr="009A50CF">
        <w:rPr>
          <w:color w:val="000000" w:themeColor="text1"/>
        </w:rPr>
        <w:t xml:space="preserve"> in 2018 to 79.0</w:t>
      </w:r>
      <w:r w:rsidR="00D23CD4">
        <w:rPr>
          <w:color w:val="000000" w:themeColor="text1"/>
        </w:rPr>
        <w:t xml:space="preserve"> per cent</w:t>
      </w:r>
      <w:r w:rsidR="009A50CF" w:rsidRPr="009A50CF">
        <w:rPr>
          <w:color w:val="000000" w:themeColor="text1"/>
        </w:rPr>
        <w:t xml:space="preserve"> in 2019. </w:t>
      </w:r>
      <w:r w:rsidR="00432422" w:rsidRPr="009A50CF">
        <w:rPr>
          <w:color w:val="000000" w:themeColor="text1"/>
        </w:rPr>
        <w:t>This is a satisfactory result.</w:t>
      </w:r>
      <w:r w:rsidR="003A40AE" w:rsidRPr="009A50CF">
        <w:rPr>
          <w:color w:val="000000" w:themeColor="text1"/>
        </w:rPr>
        <w:t xml:space="preserve"> </w:t>
      </w:r>
    </w:p>
    <w:p w14:paraId="23DD3881" w14:textId="77777777" w:rsidR="00432422" w:rsidRDefault="00432422" w:rsidP="00432422">
      <w:pPr>
        <w:pStyle w:val="DHHSbullet1"/>
        <w:rPr>
          <w:color w:val="000000" w:themeColor="text1"/>
        </w:rPr>
      </w:pPr>
      <w:r w:rsidRPr="008256D0">
        <w:rPr>
          <w:color w:val="000000" w:themeColor="text1"/>
        </w:rPr>
        <w:t>It has also been observed that navigation and presentation of nutrition and kJ information for some food brands’ web pages is constantly changing; in many cases, the information was different each time it was checked.</w:t>
      </w:r>
      <w:r w:rsidR="0070664F" w:rsidRPr="008256D0">
        <w:rPr>
          <w:color w:val="000000" w:themeColor="text1"/>
        </w:rPr>
        <w:t xml:space="preserve"> </w:t>
      </w:r>
    </w:p>
    <w:p w14:paraId="78CD7205" w14:textId="77777777" w:rsidR="008256D0" w:rsidRPr="005D4627" w:rsidRDefault="004635DA" w:rsidP="00432422">
      <w:pPr>
        <w:pStyle w:val="DHHSbullet1"/>
        <w:rPr>
          <w:color w:val="000000" w:themeColor="text1"/>
        </w:rPr>
      </w:pPr>
      <w:r w:rsidRPr="00F45685">
        <w:rPr>
          <w:color w:val="000000" w:themeColor="text1"/>
        </w:rPr>
        <w:t xml:space="preserve">The frequency of </w:t>
      </w:r>
      <w:r w:rsidR="009178E1">
        <w:rPr>
          <w:color w:val="000000" w:themeColor="text1"/>
        </w:rPr>
        <w:t xml:space="preserve">online </w:t>
      </w:r>
      <w:r w:rsidRPr="00F45685">
        <w:rPr>
          <w:color w:val="000000" w:themeColor="text1"/>
        </w:rPr>
        <w:t xml:space="preserve">PDF menus displaying </w:t>
      </w:r>
      <w:r w:rsidRPr="009178E1">
        <w:rPr>
          <w:color w:val="000000" w:themeColor="text1"/>
        </w:rPr>
        <w:t>the</w:t>
      </w:r>
      <w:r w:rsidR="009178E1" w:rsidRPr="009178E1">
        <w:rPr>
          <w:color w:val="000000" w:themeColor="text1"/>
        </w:rPr>
        <w:t xml:space="preserve"> ‘8,700 kJ reference statement’ in the correct format </w:t>
      </w:r>
      <w:r w:rsidR="009178E1" w:rsidRPr="00171B57">
        <w:rPr>
          <w:color w:val="000000" w:themeColor="text1"/>
        </w:rPr>
        <w:t xml:space="preserve">increased from </w:t>
      </w:r>
      <w:r w:rsidR="008256D0" w:rsidRPr="00171B57">
        <w:rPr>
          <w:color w:val="000000" w:themeColor="text1"/>
        </w:rPr>
        <w:t>50</w:t>
      </w:r>
      <w:r w:rsidR="009178E1" w:rsidRPr="00171B57">
        <w:rPr>
          <w:color w:val="000000" w:themeColor="text1"/>
        </w:rPr>
        <w:t>.0</w:t>
      </w:r>
      <w:r w:rsidR="00D23CD4">
        <w:rPr>
          <w:color w:val="000000" w:themeColor="text1"/>
        </w:rPr>
        <w:t xml:space="preserve"> per cent</w:t>
      </w:r>
      <w:r w:rsidR="009178E1" w:rsidRPr="00171B57">
        <w:rPr>
          <w:color w:val="000000" w:themeColor="text1"/>
        </w:rPr>
        <w:t xml:space="preserve"> in 2018 to 60.0</w:t>
      </w:r>
      <w:r w:rsidR="00D23CD4">
        <w:rPr>
          <w:color w:val="000000" w:themeColor="text1"/>
        </w:rPr>
        <w:t xml:space="preserve"> per cent</w:t>
      </w:r>
      <w:r w:rsidR="009178E1" w:rsidRPr="00171B57">
        <w:rPr>
          <w:color w:val="000000" w:themeColor="text1"/>
        </w:rPr>
        <w:t xml:space="preserve"> in 2019.</w:t>
      </w:r>
      <w:r w:rsidR="00DB2AB7" w:rsidRPr="00171B57">
        <w:rPr>
          <w:color w:val="000000" w:themeColor="text1"/>
        </w:rPr>
        <w:t xml:space="preserve"> This figure would have been higher, but in </w:t>
      </w:r>
      <w:r w:rsidR="006F01ED" w:rsidRPr="00171B57">
        <w:rPr>
          <w:color w:val="000000" w:themeColor="text1"/>
        </w:rPr>
        <w:t xml:space="preserve">many </w:t>
      </w:r>
      <w:r w:rsidR="00DB2AB7" w:rsidRPr="005D4627">
        <w:rPr>
          <w:color w:val="000000" w:themeColor="text1"/>
        </w:rPr>
        <w:t xml:space="preserve">cases, </w:t>
      </w:r>
      <w:r w:rsidR="00F94AFB" w:rsidRPr="005D4627">
        <w:rPr>
          <w:color w:val="000000" w:themeColor="text1"/>
        </w:rPr>
        <w:t xml:space="preserve">websites included </w:t>
      </w:r>
      <w:r w:rsidR="00891963" w:rsidRPr="005D4627">
        <w:rPr>
          <w:color w:val="000000" w:themeColor="text1"/>
        </w:rPr>
        <w:t xml:space="preserve">a </w:t>
      </w:r>
      <w:r w:rsidR="00F94AFB" w:rsidRPr="005D4627">
        <w:rPr>
          <w:color w:val="000000" w:themeColor="text1"/>
        </w:rPr>
        <w:t xml:space="preserve">statement relating to the average kJ </w:t>
      </w:r>
      <w:r w:rsidR="00461CA1" w:rsidRPr="005D4627">
        <w:rPr>
          <w:color w:val="000000" w:themeColor="text1"/>
        </w:rPr>
        <w:t>intake but</w:t>
      </w:r>
      <w:r w:rsidR="00F94AFB" w:rsidRPr="005D4627">
        <w:rPr>
          <w:color w:val="000000" w:themeColor="text1"/>
        </w:rPr>
        <w:t xml:space="preserve"> reworded the reference statement.</w:t>
      </w:r>
      <w:r w:rsidR="00FF1D36" w:rsidRPr="005D4627">
        <w:rPr>
          <w:color w:val="000000" w:themeColor="text1"/>
        </w:rPr>
        <w:t xml:space="preserve"> </w:t>
      </w:r>
      <w:r w:rsidR="00126AAF" w:rsidRPr="005D4627">
        <w:rPr>
          <w:color w:val="000000" w:themeColor="text1"/>
        </w:rPr>
        <w:t>So,</w:t>
      </w:r>
      <w:r w:rsidR="008256D0" w:rsidRPr="005D4627">
        <w:rPr>
          <w:color w:val="000000" w:themeColor="text1"/>
        </w:rPr>
        <w:t xml:space="preserve"> the information was there, but </w:t>
      </w:r>
      <w:r w:rsidR="00FF1D36" w:rsidRPr="005D4627">
        <w:rPr>
          <w:color w:val="000000" w:themeColor="text1"/>
        </w:rPr>
        <w:t xml:space="preserve">technically </w:t>
      </w:r>
      <w:r w:rsidR="008256D0" w:rsidRPr="005D4627">
        <w:rPr>
          <w:color w:val="000000" w:themeColor="text1"/>
        </w:rPr>
        <w:t>not with the correct wording</w:t>
      </w:r>
      <w:r w:rsidR="007958BA" w:rsidRPr="005D4627">
        <w:rPr>
          <w:color w:val="000000" w:themeColor="text1"/>
        </w:rPr>
        <w:t xml:space="preserve">. </w:t>
      </w:r>
    </w:p>
    <w:p w14:paraId="7C9C1CC1" w14:textId="77777777" w:rsidR="003D4521" w:rsidRDefault="00432422" w:rsidP="00432422">
      <w:pPr>
        <w:pStyle w:val="DHHSbullet1"/>
        <w:rPr>
          <w:color w:val="000000" w:themeColor="text1"/>
        </w:rPr>
      </w:pPr>
      <w:r w:rsidRPr="005D4627">
        <w:rPr>
          <w:color w:val="000000" w:themeColor="text1"/>
        </w:rPr>
        <w:t>Interactive online menus</w:t>
      </w:r>
      <w:r w:rsidR="00D76160" w:rsidRPr="005D4627">
        <w:rPr>
          <w:color w:val="000000" w:themeColor="text1"/>
        </w:rPr>
        <w:t xml:space="preserve"> are a difficult </w:t>
      </w:r>
      <w:r w:rsidR="006C07CB" w:rsidRPr="005D4627">
        <w:rPr>
          <w:color w:val="000000" w:themeColor="text1"/>
        </w:rPr>
        <w:t>area to assess.</w:t>
      </w:r>
      <w:r w:rsidR="007D5E1F" w:rsidRPr="005D4627">
        <w:rPr>
          <w:color w:val="000000" w:themeColor="text1"/>
        </w:rPr>
        <w:t xml:space="preserve"> These menus are constantly changing, and</w:t>
      </w:r>
      <w:r w:rsidR="00F918DB" w:rsidRPr="005D4627">
        <w:rPr>
          <w:color w:val="000000" w:themeColor="text1"/>
        </w:rPr>
        <w:t xml:space="preserve"> in many cases, it was necessary to click through numerous pages to find the necessary information. </w:t>
      </w:r>
      <w:r w:rsidR="00171B57" w:rsidRPr="005D4627">
        <w:rPr>
          <w:color w:val="000000" w:themeColor="text1"/>
        </w:rPr>
        <w:t xml:space="preserve">In many instances, the </w:t>
      </w:r>
      <w:r w:rsidR="003D4521" w:rsidRPr="009178E1">
        <w:rPr>
          <w:color w:val="000000" w:themeColor="text1"/>
        </w:rPr>
        <w:t xml:space="preserve">‘8,700 kJ reference statement’ </w:t>
      </w:r>
      <w:r w:rsidR="003D4521">
        <w:rPr>
          <w:color w:val="000000" w:themeColor="text1"/>
        </w:rPr>
        <w:t xml:space="preserve">had </w:t>
      </w:r>
      <w:r w:rsidR="00171B57" w:rsidRPr="005D4627">
        <w:rPr>
          <w:color w:val="000000" w:themeColor="text1"/>
        </w:rPr>
        <w:t>been included somewhere on the website, but not on every page</w:t>
      </w:r>
      <w:r w:rsidR="004D0D2E">
        <w:rPr>
          <w:color w:val="000000" w:themeColor="text1"/>
        </w:rPr>
        <w:t xml:space="preserve">. </w:t>
      </w:r>
    </w:p>
    <w:p w14:paraId="0C080A88" w14:textId="77777777" w:rsidR="00F70944" w:rsidRPr="003C0134" w:rsidRDefault="00F70944" w:rsidP="00BA00A8">
      <w:pPr>
        <w:pStyle w:val="Heading2"/>
      </w:pPr>
      <w:bookmarkStart w:id="12" w:name="_Toc75278960"/>
      <w:r w:rsidRPr="003C0134">
        <w:t>5</w:t>
      </w:r>
      <w:r w:rsidR="00C00B52">
        <w:t>.2</w:t>
      </w:r>
      <w:r w:rsidRPr="003C0134">
        <w:t xml:space="preserve"> Kilojoule Sampling and Verification Program</w:t>
      </w:r>
      <w:bookmarkEnd w:id="12"/>
    </w:p>
    <w:p w14:paraId="2B88C4F8" w14:textId="1701AA9A" w:rsidR="00FE0291" w:rsidRDefault="00FE0291" w:rsidP="00FE0291">
      <w:pPr>
        <w:pStyle w:val="DHHSbody"/>
      </w:pPr>
      <w:r w:rsidRPr="00730D50">
        <w:t xml:space="preserve">The public </w:t>
      </w:r>
      <w:r w:rsidR="002C07AF">
        <w:t>has</w:t>
      </w:r>
      <w:r w:rsidR="0076432A">
        <w:t xml:space="preserve"> </w:t>
      </w:r>
      <w:r w:rsidRPr="00730D50">
        <w:t xml:space="preserve">an expectation that </w:t>
      </w:r>
      <w:r>
        <w:t xml:space="preserve">displayed </w:t>
      </w:r>
      <w:r w:rsidRPr="00730D50">
        <w:t>kJ values</w:t>
      </w:r>
      <w:r>
        <w:t>,</w:t>
      </w:r>
      <w:r w:rsidRPr="00730D50">
        <w:t xml:space="preserve"> </w:t>
      </w:r>
      <w:r>
        <w:t>such as</w:t>
      </w:r>
      <w:r w:rsidRPr="00730D50">
        <w:t xml:space="preserve"> on menu boards</w:t>
      </w:r>
      <w:r>
        <w:t xml:space="preserve"> and</w:t>
      </w:r>
      <w:r w:rsidRPr="00730D50">
        <w:t xml:space="preserve"> food tags</w:t>
      </w:r>
      <w:r>
        <w:t>,</w:t>
      </w:r>
      <w:r w:rsidRPr="00730D50">
        <w:t xml:space="preserve"> correspond with the actual kJ content of the food item. </w:t>
      </w:r>
    </w:p>
    <w:p w14:paraId="38F93576" w14:textId="77777777" w:rsidR="00FE0291" w:rsidRDefault="00FE0291" w:rsidP="00320E26">
      <w:pPr>
        <w:pStyle w:val="DHHSbody"/>
      </w:pPr>
      <w:r w:rsidRPr="00730D50">
        <w:t xml:space="preserve">The aim of the Victorian </w:t>
      </w:r>
      <w:r>
        <w:t>S</w:t>
      </w:r>
      <w:r w:rsidRPr="00730D50">
        <w:t xml:space="preserve">ampling and </w:t>
      </w:r>
      <w:r>
        <w:t>V</w:t>
      </w:r>
      <w:r w:rsidRPr="00730D50">
        <w:t xml:space="preserve">erification </w:t>
      </w:r>
      <w:r>
        <w:t>P</w:t>
      </w:r>
      <w:r w:rsidRPr="00730D50">
        <w:t xml:space="preserve">rogram </w:t>
      </w:r>
      <w:r>
        <w:t xml:space="preserve">(the </w:t>
      </w:r>
      <w:r w:rsidR="0026084E">
        <w:t xml:space="preserve">sampling </w:t>
      </w:r>
      <w:r>
        <w:t xml:space="preserve">program) </w:t>
      </w:r>
      <w:r w:rsidRPr="00730D50">
        <w:t>is to determine whether chain food businesses are complying with the scheme and, where there is non-compliance, the extent and type of non-compliance.</w:t>
      </w:r>
      <w:r>
        <w:t xml:space="preserve"> </w:t>
      </w:r>
      <w:r w:rsidR="00932238">
        <w:t xml:space="preserve">Sampling in the first year of the scheme occurred between </w:t>
      </w:r>
      <w:r w:rsidR="00415A02">
        <w:t xml:space="preserve">May and June 2018. </w:t>
      </w:r>
    </w:p>
    <w:p w14:paraId="4B84C1C3" w14:textId="77777777" w:rsidR="003E688B" w:rsidRPr="00320E26" w:rsidRDefault="003E688B" w:rsidP="003E688B">
      <w:pPr>
        <w:pStyle w:val="DHHSbody"/>
        <w:rPr>
          <w:color w:val="000000" w:themeColor="text1"/>
        </w:rPr>
      </w:pPr>
      <w:r w:rsidRPr="00320E26">
        <w:rPr>
          <w:color w:val="000000" w:themeColor="text1"/>
        </w:rPr>
        <w:t>Further s</w:t>
      </w:r>
      <w:r w:rsidR="00271D8D" w:rsidRPr="00320E26">
        <w:rPr>
          <w:color w:val="000000" w:themeColor="text1"/>
        </w:rPr>
        <w:t xml:space="preserve">ampling of standard food items </w:t>
      </w:r>
      <w:r w:rsidRPr="00320E26">
        <w:rPr>
          <w:color w:val="000000" w:themeColor="text1"/>
        </w:rPr>
        <w:t xml:space="preserve">was conducted one year after the inception of the scheme to evaluate the compliance rate against the baseline data collected in the first year. Surveillance took place over the period between </w:t>
      </w:r>
      <w:r w:rsidR="00271D8D" w:rsidRPr="00320E26">
        <w:rPr>
          <w:color w:val="000000" w:themeColor="text1"/>
        </w:rPr>
        <w:t xml:space="preserve">April </w:t>
      </w:r>
      <w:r w:rsidRPr="00320E26">
        <w:rPr>
          <w:color w:val="000000" w:themeColor="text1"/>
        </w:rPr>
        <w:t>and May 2019.</w:t>
      </w:r>
      <w:r w:rsidR="00271D8D" w:rsidRPr="00320E26">
        <w:rPr>
          <w:color w:val="000000" w:themeColor="text1"/>
        </w:rPr>
        <w:t xml:space="preserve"> </w:t>
      </w:r>
    </w:p>
    <w:p w14:paraId="3F0A4422" w14:textId="77777777" w:rsidR="00FE0291" w:rsidRDefault="00FE0291" w:rsidP="00FE0291">
      <w:pPr>
        <w:pStyle w:val="DHHSbody"/>
      </w:pPr>
      <w:r>
        <w:t xml:space="preserve">It is proposed that periodic and ongoing sampling of food items be undertaken as part of the </w:t>
      </w:r>
      <w:r w:rsidR="005F3FE1">
        <w:t xml:space="preserve">sampling </w:t>
      </w:r>
      <w:r>
        <w:t xml:space="preserve">program. </w:t>
      </w:r>
      <w:r w:rsidR="00271D8D">
        <w:t>This may be subject to</w:t>
      </w:r>
      <w:r w:rsidR="0026084E">
        <w:t xml:space="preserve"> Department</w:t>
      </w:r>
      <w:r w:rsidR="00BA1DF9">
        <w:t xml:space="preserve"> of Health and Human Services</w:t>
      </w:r>
      <w:r w:rsidR="0026084E">
        <w:t xml:space="preserve"> </w:t>
      </w:r>
      <w:r w:rsidR="00271D8D">
        <w:t>budget constraints.</w:t>
      </w:r>
      <w:r w:rsidR="00C77FB5">
        <w:t xml:space="preserve"> </w:t>
      </w:r>
    </w:p>
    <w:p w14:paraId="07E4B495" w14:textId="3472F0E4" w:rsidR="00730D50" w:rsidRPr="00A11305" w:rsidRDefault="00467618" w:rsidP="00BA00A8">
      <w:pPr>
        <w:pStyle w:val="Heading3"/>
      </w:pPr>
      <w:r>
        <w:t>5.2.</w:t>
      </w:r>
      <w:proofErr w:type="gramStart"/>
      <w:r>
        <w:t>1.</w:t>
      </w:r>
      <w:r w:rsidR="00E23D9D" w:rsidRPr="00A11305">
        <w:t>Sampling</w:t>
      </w:r>
      <w:proofErr w:type="gramEnd"/>
      <w:r w:rsidR="00E23D9D" w:rsidRPr="00A11305">
        <w:t xml:space="preserve"> </w:t>
      </w:r>
      <w:r w:rsidR="00C00B52">
        <w:t>m</w:t>
      </w:r>
      <w:r w:rsidR="00730D50" w:rsidRPr="00A11305">
        <w:t>ethodology</w:t>
      </w:r>
      <w:r w:rsidR="00E23D9D" w:rsidRPr="00A11305">
        <w:t xml:space="preserve"> </w:t>
      </w:r>
    </w:p>
    <w:p w14:paraId="6BF05EA4" w14:textId="77777777" w:rsidR="00730D50" w:rsidRPr="00730D50" w:rsidRDefault="00730D50" w:rsidP="0035449D">
      <w:pPr>
        <w:pStyle w:val="DHHSbody"/>
      </w:pPr>
      <w:r w:rsidRPr="00730D50">
        <w:t xml:space="preserve">The </w:t>
      </w:r>
      <w:r w:rsidR="008D20AB">
        <w:t xml:space="preserve">sampling </w:t>
      </w:r>
      <w:r w:rsidR="00E8622B">
        <w:t>p</w:t>
      </w:r>
      <w:r w:rsidRPr="00730D50">
        <w:t xml:space="preserve">rogram </w:t>
      </w:r>
      <w:r w:rsidR="004701B2">
        <w:t>was</w:t>
      </w:r>
      <w:r w:rsidRPr="00730D50">
        <w:t xml:space="preserve"> </w:t>
      </w:r>
      <w:r w:rsidR="00EF6FC6">
        <w:t>established</w:t>
      </w:r>
      <w:r w:rsidRPr="00730D50">
        <w:t xml:space="preserve"> </w:t>
      </w:r>
      <w:r w:rsidR="00CC0CC2">
        <w:t>to support</w:t>
      </w:r>
      <w:r w:rsidRPr="00730D50">
        <w:t xml:space="preserve"> the </w:t>
      </w:r>
      <w:r w:rsidR="00CC0CC2">
        <w:t xml:space="preserve">kJ labelling </w:t>
      </w:r>
      <w:r w:rsidRPr="00730D50">
        <w:t xml:space="preserve">legislation </w:t>
      </w:r>
      <w:r w:rsidR="00CC0CC2">
        <w:t>and</w:t>
      </w:r>
      <w:r w:rsidRPr="00730D50">
        <w:t xml:space="preserve"> to ascertain </w:t>
      </w:r>
      <w:r w:rsidR="00D1709A">
        <w:t>business</w:t>
      </w:r>
      <w:r w:rsidRPr="00730D50">
        <w:t xml:space="preserve"> compliance and </w:t>
      </w:r>
      <w:r w:rsidR="00CC0CC2">
        <w:t xml:space="preserve">identify any </w:t>
      </w:r>
      <w:r w:rsidRPr="00730D50">
        <w:t>issues</w:t>
      </w:r>
      <w:r w:rsidR="00D1709A">
        <w:t xml:space="preserve"> arising with the introduction of the scheme</w:t>
      </w:r>
      <w:r w:rsidRPr="00730D50">
        <w:t xml:space="preserve">. </w:t>
      </w:r>
    </w:p>
    <w:p w14:paraId="7F6BA15A" w14:textId="65009A15" w:rsidR="00730D50" w:rsidRPr="00730D50" w:rsidRDefault="00441026" w:rsidP="00467618">
      <w:pPr>
        <w:pStyle w:val="DHHSbullet1"/>
        <w:numPr>
          <w:ilvl w:val="0"/>
          <w:numId w:val="0"/>
        </w:numPr>
        <w:spacing w:after="60"/>
      </w:pPr>
      <w:r w:rsidRPr="00E23D9D">
        <w:t>During</w:t>
      </w:r>
      <w:r w:rsidR="0076432A">
        <w:t xml:space="preserve"> </w:t>
      </w:r>
      <w:r w:rsidRPr="00E23D9D">
        <w:t>May and June 2018, authorised officers of the Food Safety Unit visited 24 food premises and purchased 74</w:t>
      </w:r>
      <w:r>
        <w:t xml:space="preserve"> standard </w:t>
      </w:r>
      <w:r w:rsidRPr="00E23D9D">
        <w:t>food items for kJ sampling analysis</w:t>
      </w:r>
      <w:r>
        <w:t xml:space="preserve"> In April and May 2019, </w:t>
      </w:r>
      <w:r w:rsidRPr="00E23D9D">
        <w:t>authorised officers of the Food Safety Unit visited</w:t>
      </w:r>
      <w:r>
        <w:t xml:space="preserve"> 17 food premises and purchased 70 standard food </w:t>
      </w:r>
      <w:r w:rsidRPr="00E23D9D">
        <w:t>items for kJ sampling analysis</w:t>
      </w:r>
      <w:r>
        <w:t xml:space="preserve">. </w:t>
      </w:r>
      <w:r w:rsidR="00730D50" w:rsidRPr="005A00CF">
        <w:t xml:space="preserve">The </w:t>
      </w:r>
      <w:r w:rsidR="00730D50" w:rsidRPr="00730D50">
        <w:t>chain food businesses and the types of food items that were selected</w:t>
      </w:r>
      <w:r>
        <w:t xml:space="preserve"> and purchased</w:t>
      </w:r>
      <w:r w:rsidR="00730D50" w:rsidRPr="00730D50">
        <w:t xml:space="preserve"> for</w:t>
      </w:r>
      <w:r w:rsidR="0076432A">
        <w:t xml:space="preserve"> </w:t>
      </w:r>
      <w:r w:rsidR="00730D50" w:rsidRPr="00730D50">
        <w:t xml:space="preserve">kJ sampling were based on the following criteria: </w:t>
      </w:r>
    </w:p>
    <w:p w14:paraId="5F19E990" w14:textId="77777777" w:rsidR="00730D50" w:rsidRPr="00730D50" w:rsidRDefault="00350394" w:rsidP="00C64072">
      <w:pPr>
        <w:pStyle w:val="DHHSbullet1"/>
        <w:spacing w:after="60"/>
      </w:pPr>
      <w:r>
        <w:t>t</w:t>
      </w:r>
      <w:r w:rsidR="00730D50" w:rsidRPr="00730D50">
        <w:t xml:space="preserve">he number of premises predominantly registered in Victoria, but also </w:t>
      </w:r>
      <w:proofErr w:type="gramStart"/>
      <w:r w:rsidR="00730D50" w:rsidRPr="00730D50">
        <w:t>taking into account</w:t>
      </w:r>
      <w:proofErr w:type="gramEnd"/>
      <w:r w:rsidR="00730D50" w:rsidRPr="00730D50">
        <w:t xml:space="preserve"> </w:t>
      </w:r>
      <w:r>
        <w:t>the number of stores nationally</w:t>
      </w:r>
    </w:p>
    <w:p w14:paraId="00221A80" w14:textId="77777777" w:rsidR="00730D50" w:rsidRPr="00730D50" w:rsidRDefault="00350394" w:rsidP="00C64072">
      <w:pPr>
        <w:pStyle w:val="DHHSbullet1"/>
        <w:spacing w:after="60"/>
      </w:pPr>
      <w:r>
        <w:t>t</w:t>
      </w:r>
      <w:r w:rsidR="00730D50" w:rsidRPr="00730D50">
        <w:t>he types of food items selected had to conform to certain constraints that were specified by the testing laboratory</w:t>
      </w:r>
      <w:r w:rsidR="007C1C0F">
        <w:t>, including</w:t>
      </w:r>
      <w:r w:rsidR="00730D50" w:rsidRPr="00730D50">
        <w:t xml:space="preserve"> that the minimum weight per item required to effectively test for kJ content was 100g per sample</w:t>
      </w:r>
    </w:p>
    <w:p w14:paraId="375F442B" w14:textId="77777777" w:rsidR="00730D50" w:rsidRPr="00730D50" w:rsidRDefault="007C1C0F" w:rsidP="00C64072">
      <w:pPr>
        <w:pStyle w:val="DHHSbullet1"/>
        <w:spacing w:after="60"/>
      </w:pPr>
      <w:r>
        <w:t>t</w:t>
      </w:r>
      <w:r w:rsidR="00730D50" w:rsidRPr="00730D50">
        <w:t xml:space="preserve">he food items that were selected had to be ‘standardised’ food items to </w:t>
      </w:r>
      <w:r>
        <w:t>ensure consistency</w:t>
      </w:r>
      <w:r w:rsidR="00730D50" w:rsidRPr="00730D50">
        <w:t xml:space="preserve"> </w:t>
      </w:r>
    </w:p>
    <w:p w14:paraId="5CC6EAC8" w14:textId="45406DC3" w:rsidR="00730D50" w:rsidRPr="00730D50" w:rsidRDefault="007C1C0F" w:rsidP="00C64072">
      <w:pPr>
        <w:pStyle w:val="DHHSbullet1lastline"/>
        <w:spacing w:after="60"/>
      </w:pPr>
      <w:r>
        <w:t>consideration of t</w:t>
      </w:r>
      <w:r w:rsidR="00730D50" w:rsidRPr="00730D50">
        <w:t>he ease of sampling and transporting each food item to the laboratory</w:t>
      </w:r>
      <w:r w:rsidR="00441026">
        <w:t>.</w:t>
      </w:r>
      <w:r w:rsidR="00730D50" w:rsidRPr="00730D50">
        <w:t xml:space="preserve"> </w:t>
      </w:r>
    </w:p>
    <w:p w14:paraId="5A6F5BF3" w14:textId="5CCE33DC" w:rsidR="00730D50" w:rsidRPr="00730D50" w:rsidRDefault="00467618" w:rsidP="007A72F1">
      <w:pPr>
        <w:pStyle w:val="Heading3"/>
      </w:pPr>
      <w:r>
        <w:t xml:space="preserve">5.2.2 </w:t>
      </w:r>
      <w:r w:rsidR="00730D50" w:rsidRPr="00C54919">
        <w:t xml:space="preserve">Product </w:t>
      </w:r>
      <w:r w:rsidR="00C00B52">
        <w:t>s</w:t>
      </w:r>
      <w:r w:rsidR="00730D50" w:rsidRPr="00885621">
        <w:t>ampling</w:t>
      </w:r>
      <w:r w:rsidR="00C54919">
        <w:t xml:space="preserve"> </w:t>
      </w:r>
    </w:p>
    <w:p w14:paraId="7D274D1E" w14:textId="77777777" w:rsidR="00A3053E" w:rsidRDefault="00A3053E" w:rsidP="00A3053E">
      <w:pPr>
        <w:pStyle w:val="DHHSbody"/>
      </w:pPr>
      <w:r>
        <w:t xml:space="preserve">The aim of the sampling regime was to select three items from the menu of each chain food business </w:t>
      </w:r>
      <w:r w:rsidRPr="00730D50">
        <w:t xml:space="preserve">and purchase the same </w:t>
      </w:r>
      <w:r>
        <w:t xml:space="preserve">three </w:t>
      </w:r>
      <w:r w:rsidRPr="00730D50">
        <w:t xml:space="preserve">items from separate outlets. The </w:t>
      </w:r>
      <w:r>
        <w:t>purpose</w:t>
      </w:r>
      <w:r w:rsidRPr="00730D50">
        <w:t xml:space="preserve"> of this was to determine whether the kJ content was consisten</w:t>
      </w:r>
      <w:r>
        <w:t xml:space="preserve">t for the same product prepared and </w:t>
      </w:r>
      <w:r w:rsidRPr="00730D50">
        <w:t xml:space="preserve">sold at different outlets for the same chain food business. </w:t>
      </w:r>
    </w:p>
    <w:p w14:paraId="67C681EA" w14:textId="53B9173E" w:rsidR="00730D50" w:rsidRPr="00730D50" w:rsidRDefault="00730D50" w:rsidP="0035449D">
      <w:pPr>
        <w:pStyle w:val="DHHSbody"/>
      </w:pPr>
      <w:r w:rsidRPr="00730D50">
        <w:t xml:space="preserve">When attending the food premises to purchase food samples, the following details were </w:t>
      </w:r>
      <w:r w:rsidR="00336789" w:rsidRPr="00730D50">
        <w:t>recorded,</w:t>
      </w:r>
      <w:r w:rsidRPr="00730D50">
        <w:t xml:space="preserve"> and actions taken: </w:t>
      </w:r>
    </w:p>
    <w:p w14:paraId="4572DE53" w14:textId="77777777" w:rsidR="00730D50" w:rsidRDefault="000337AC" w:rsidP="0035449D">
      <w:pPr>
        <w:pStyle w:val="DHHSbullet1"/>
      </w:pPr>
      <w:r>
        <w:t>t</w:t>
      </w:r>
      <w:r w:rsidR="00730D50">
        <w:t>he name and address of the stor</w:t>
      </w:r>
      <w:r w:rsidR="003704B9">
        <w:t>e/business and date of sampling</w:t>
      </w:r>
    </w:p>
    <w:p w14:paraId="62C7FAB4" w14:textId="77777777" w:rsidR="00730D50" w:rsidRDefault="000337AC" w:rsidP="0035449D">
      <w:pPr>
        <w:pStyle w:val="DHHSbullet1"/>
      </w:pPr>
      <w:r>
        <w:t>t</w:t>
      </w:r>
      <w:r w:rsidR="00730D50">
        <w:t>he name of the food item and the kJ value stated (</w:t>
      </w:r>
      <w:r w:rsidR="003704B9">
        <w:t xml:space="preserve">for example, </w:t>
      </w:r>
      <w:r w:rsidR="00730D50">
        <w:t>either from t</w:t>
      </w:r>
      <w:r w:rsidR="003704B9">
        <w:t>he menu board, food tag, poster)</w:t>
      </w:r>
    </w:p>
    <w:p w14:paraId="2CE9C274" w14:textId="77777777" w:rsidR="00730D50" w:rsidRDefault="003704B9" w:rsidP="0035449D">
      <w:pPr>
        <w:pStyle w:val="DHHSbullet1"/>
      </w:pPr>
      <w:r>
        <w:t>a</w:t>
      </w:r>
      <w:r w:rsidR="00730D50">
        <w:t xml:space="preserve"> photograph </w:t>
      </w:r>
      <w:r w:rsidR="00F36D46">
        <w:t xml:space="preserve">was </w:t>
      </w:r>
      <w:r>
        <w:t xml:space="preserve">taken </w:t>
      </w:r>
      <w:r w:rsidR="00730D50">
        <w:t xml:space="preserve">of the food item </w:t>
      </w:r>
      <w:r>
        <w:t>and its kJ value</w:t>
      </w:r>
      <w:r w:rsidR="00F36D46">
        <w:t xml:space="preserve"> </w:t>
      </w:r>
    </w:p>
    <w:p w14:paraId="1ED5A7AC" w14:textId="77777777" w:rsidR="00730D50" w:rsidRDefault="003704B9" w:rsidP="0035449D">
      <w:pPr>
        <w:pStyle w:val="DHHSbullet1"/>
      </w:pPr>
      <w:r>
        <w:t>i</w:t>
      </w:r>
      <w:r w:rsidR="00730D50">
        <w:t>f there was a takeaway menu avai</w:t>
      </w:r>
      <w:r>
        <w:t>lable, this was also collected</w:t>
      </w:r>
    </w:p>
    <w:p w14:paraId="058E2890" w14:textId="77777777" w:rsidR="00730D50" w:rsidRDefault="003704B9" w:rsidP="0035449D">
      <w:pPr>
        <w:pStyle w:val="DHHSbullet1"/>
      </w:pPr>
      <w:r>
        <w:t>t</w:t>
      </w:r>
      <w:r w:rsidR="00730D50">
        <w:t>he food item was placed in a sampling bag, sealed and labelled with the appropriate d</w:t>
      </w:r>
      <w:r>
        <w:t>etails</w:t>
      </w:r>
    </w:p>
    <w:p w14:paraId="39B6BCD5" w14:textId="75DF1D85" w:rsidR="00730D50" w:rsidRDefault="003704B9" w:rsidP="0098171E">
      <w:pPr>
        <w:pStyle w:val="DHHSbullet1lastline"/>
        <w:spacing w:after="40"/>
      </w:pPr>
      <w:r>
        <w:t>t</w:t>
      </w:r>
      <w:r w:rsidR="00730D50">
        <w:t>he food samples collected were placed in</w:t>
      </w:r>
      <w:r w:rsidR="00441026">
        <w:t>to</w:t>
      </w:r>
      <w:r w:rsidR="00730D50">
        <w:t xml:space="preserve"> an </w:t>
      </w:r>
      <w:r w:rsidR="00441026">
        <w:t>insulated carrier</w:t>
      </w:r>
      <w:r w:rsidR="0076432A">
        <w:t xml:space="preserve"> </w:t>
      </w:r>
      <w:r w:rsidR="00730D50">
        <w:t>and delivered to</w:t>
      </w:r>
      <w:r w:rsidR="00420827">
        <w:t xml:space="preserve"> a NATA accredited </w:t>
      </w:r>
      <w:r w:rsidR="009511EA">
        <w:t>l</w:t>
      </w:r>
      <w:r w:rsidR="00730D50">
        <w:t>aborator</w:t>
      </w:r>
      <w:r w:rsidR="009511EA">
        <w:t xml:space="preserve">y </w:t>
      </w:r>
      <w:r w:rsidR="00730D50">
        <w:t>for kJ analysis</w:t>
      </w:r>
    </w:p>
    <w:p w14:paraId="32770AC6" w14:textId="77777777" w:rsidR="0098171E" w:rsidRDefault="0098171E" w:rsidP="0098171E">
      <w:pPr>
        <w:pStyle w:val="DHHSbullet1lastline"/>
        <w:spacing w:after="40"/>
        <w:rPr>
          <w:color w:val="000000" w:themeColor="text1"/>
        </w:rPr>
      </w:pPr>
      <w:r w:rsidRPr="0098171E">
        <w:rPr>
          <w:color w:val="000000" w:themeColor="text1"/>
        </w:rPr>
        <w:t>the average energy content of a standard food item was determined in accordance with Standard 1.2.8 of the Code</w:t>
      </w:r>
      <w:r w:rsidR="00643BA3">
        <w:rPr>
          <w:color w:val="000000" w:themeColor="text1"/>
        </w:rPr>
        <w:t xml:space="preserve"> </w:t>
      </w:r>
    </w:p>
    <w:p w14:paraId="1BE52E24" w14:textId="77777777" w:rsidR="0098171E" w:rsidRPr="0098171E" w:rsidRDefault="0098171E" w:rsidP="0035449D">
      <w:pPr>
        <w:pStyle w:val="DHHSbullet1lastline"/>
        <w:rPr>
          <w:color w:val="000000" w:themeColor="text1"/>
        </w:rPr>
      </w:pPr>
      <w:r>
        <w:t>the kJ value of each of the food items sampled was checked on the individual food business’ website if this information was available</w:t>
      </w:r>
      <w:r w:rsidR="007A72F1">
        <w:rPr>
          <w:color w:val="000000" w:themeColor="text1"/>
        </w:rPr>
        <w:t>.</w:t>
      </w:r>
    </w:p>
    <w:p w14:paraId="4227D73F" w14:textId="77777777" w:rsidR="00730D50" w:rsidRPr="00602076" w:rsidRDefault="00730D50" w:rsidP="007A72F1">
      <w:pPr>
        <w:pStyle w:val="DHHSbody"/>
        <w:rPr>
          <w:color w:val="000000" w:themeColor="text1"/>
        </w:rPr>
      </w:pPr>
      <w:r w:rsidRPr="00602076">
        <w:rPr>
          <w:color w:val="000000" w:themeColor="text1"/>
        </w:rPr>
        <w:t>The testing laboratory reported the kJ content of each food item as</w:t>
      </w:r>
      <w:r w:rsidR="007A72F1">
        <w:rPr>
          <w:color w:val="000000" w:themeColor="text1"/>
        </w:rPr>
        <w:t xml:space="preserve"> </w:t>
      </w:r>
      <w:r w:rsidR="005611EB" w:rsidRPr="00602076">
        <w:rPr>
          <w:color w:val="000000" w:themeColor="text1"/>
        </w:rPr>
        <w:t>‘</w:t>
      </w:r>
      <w:r w:rsidRPr="00602076">
        <w:rPr>
          <w:color w:val="000000" w:themeColor="text1"/>
        </w:rPr>
        <w:t>kJ per serve</w:t>
      </w:r>
      <w:r w:rsidR="005611EB" w:rsidRPr="00602076">
        <w:rPr>
          <w:color w:val="000000" w:themeColor="text1"/>
        </w:rPr>
        <w:t>’</w:t>
      </w:r>
      <w:r w:rsidR="007A72F1">
        <w:rPr>
          <w:color w:val="000000" w:themeColor="text1"/>
        </w:rPr>
        <w:t xml:space="preserve"> and </w:t>
      </w:r>
      <w:r w:rsidR="005611EB" w:rsidRPr="00602076">
        <w:rPr>
          <w:color w:val="000000" w:themeColor="text1"/>
        </w:rPr>
        <w:t>‘</w:t>
      </w:r>
      <w:r w:rsidRPr="00602076">
        <w:rPr>
          <w:color w:val="000000" w:themeColor="text1"/>
        </w:rPr>
        <w:t>kJ per 100g</w:t>
      </w:r>
      <w:r w:rsidR="005611EB" w:rsidRPr="00602076">
        <w:rPr>
          <w:color w:val="000000" w:themeColor="text1"/>
        </w:rPr>
        <w:t>’</w:t>
      </w:r>
      <w:r w:rsidR="007A72F1">
        <w:rPr>
          <w:color w:val="000000" w:themeColor="text1"/>
        </w:rPr>
        <w:t>.</w:t>
      </w:r>
    </w:p>
    <w:p w14:paraId="0D796042" w14:textId="77777777" w:rsidR="00730D50" w:rsidRPr="00885621" w:rsidRDefault="00885621" w:rsidP="007A72F1">
      <w:pPr>
        <w:pStyle w:val="Heading1"/>
      </w:pPr>
      <w:bookmarkStart w:id="13" w:name="_Toc75278961"/>
      <w:r w:rsidRPr="00885621">
        <w:t>6</w:t>
      </w:r>
      <w:r w:rsidR="00730D50" w:rsidRPr="00885621">
        <w:t>.</w:t>
      </w:r>
      <w:r w:rsidR="006043A6" w:rsidRPr="00885621">
        <w:t xml:space="preserve"> </w:t>
      </w:r>
      <w:r w:rsidR="00730D50" w:rsidRPr="00885621">
        <w:t>Results</w:t>
      </w:r>
      <w:bookmarkEnd w:id="13"/>
      <w:r w:rsidR="00E02123" w:rsidRPr="00885621">
        <w:t xml:space="preserve"> </w:t>
      </w:r>
    </w:p>
    <w:p w14:paraId="046E8BB0" w14:textId="77777777" w:rsidR="00730D50" w:rsidRPr="001E4861" w:rsidRDefault="00730D50" w:rsidP="006043A6">
      <w:pPr>
        <w:pStyle w:val="DHHSbody"/>
        <w:rPr>
          <w:color w:val="000000" w:themeColor="text1"/>
        </w:rPr>
      </w:pPr>
      <w:r w:rsidRPr="001E4861">
        <w:rPr>
          <w:color w:val="000000" w:themeColor="text1"/>
        </w:rPr>
        <w:t>All details relating to each food item, including the actual kJ value obtained from the testing, the</w:t>
      </w:r>
      <w:r w:rsidR="00FC37A6" w:rsidRPr="001E4861">
        <w:rPr>
          <w:color w:val="000000" w:themeColor="text1"/>
        </w:rPr>
        <w:t xml:space="preserve"> </w:t>
      </w:r>
      <w:r w:rsidRPr="001E4861">
        <w:rPr>
          <w:color w:val="000000" w:themeColor="text1"/>
        </w:rPr>
        <w:t xml:space="preserve">claimed kJ content from the in-store menu, and the claimed kJ content on-line were recorded on the </w:t>
      </w:r>
      <w:r w:rsidR="005611EB" w:rsidRPr="001E4861">
        <w:rPr>
          <w:color w:val="000000" w:themeColor="text1"/>
        </w:rPr>
        <w:t>‘</w:t>
      </w:r>
      <w:r w:rsidR="003B7B47" w:rsidRPr="001E4861">
        <w:rPr>
          <w:color w:val="000000" w:themeColor="text1"/>
        </w:rPr>
        <w:t>k</w:t>
      </w:r>
      <w:r w:rsidRPr="001E4861">
        <w:rPr>
          <w:color w:val="000000" w:themeColor="text1"/>
        </w:rPr>
        <w:t xml:space="preserve">J </w:t>
      </w:r>
      <w:r w:rsidR="00916086" w:rsidRPr="001E4861">
        <w:rPr>
          <w:color w:val="000000" w:themeColor="text1"/>
        </w:rPr>
        <w:t>s</w:t>
      </w:r>
      <w:r w:rsidRPr="001E4861">
        <w:rPr>
          <w:color w:val="000000" w:themeColor="text1"/>
        </w:rPr>
        <w:t xml:space="preserve">ampling </w:t>
      </w:r>
      <w:r w:rsidR="00916086" w:rsidRPr="001E4861">
        <w:rPr>
          <w:color w:val="000000" w:themeColor="text1"/>
        </w:rPr>
        <w:t>r</w:t>
      </w:r>
      <w:r w:rsidRPr="001E4861">
        <w:rPr>
          <w:color w:val="000000" w:themeColor="text1"/>
        </w:rPr>
        <w:t>esults</w:t>
      </w:r>
      <w:r w:rsidR="005611EB" w:rsidRPr="001E4861">
        <w:rPr>
          <w:color w:val="000000" w:themeColor="text1"/>
        </w:rPr>
        <w:t>’</w:t>
      </w:r>
      <w:r w:rsidRPr="001E4861">
        <w:rPr>
          <w:color w:val="000000" w:themeColor="text1"/>
        </w:rPr>
        <w:t xml:space="preserve"> database. </w:t>
      </w:r>
    </w:p>
    <w:p w14:paraId="1FF18BE6" w14:textId="77777777" w:rsidR="00730D50" w:rsidRPr="007A72F1" w:rsidRDefault="00885621" w:rsidP="007A72F1">
      <w:pPr>
        <w:pStyle w:val="Heading2"/>
      </w:pPr>
      <w:bookmarkStart w:id="14" w:name="_Toc75278962"/>
      <w:r w:rsidRPr="007A72F1">
        <w:t>6</w:t>
      </w:r>
      <w:r w:rsidR="00730D50" w:rsidRPr="007A72F1">
        <w:t xml:space="preserve">.1 Analysis of </w:t>
      </w:r>
      <w:r w:rsidR="00333704" w:rsidRPr="007A72F1">
        <w:t>t</w:t>
      </w:r>
      <w:r w:rsidR="00730D50" w:rsidRPr="007A72F1">
        <w:t xml:space="preserve">esting </w:t>
      </w:r>
      <w:r w:rsidR="00333704" w:rsidRPr="007A72F1">
        <w:t>r</w:t>
      </w:r>
      <w:r w:rsidR="00730D50" w:rsidRPr="007A72F1">
        <w:t>esults</w:t>
      </w:r>
      <w:bookmarkEnd w:id="14"/>
    </w:p>
    <w:p w14:paraId="1090A96F" w14:textId="77777777" w:rsidR="00730D50" w:rsidRDefault="00730D50" w:rsidP="00333704">
      <w:pPr>
        <w:pStyle w:val="DHHSbody"/>
      </w:pPr>
      <w:r>
        <w:t>The kJ content of each food item determined by the laboratory analysis was compared to the claimed kJ value provided by the food business on the day of sampling</w:t>
      </w:r>
      <w:r w:rsidR="00EE496B">
        <w:t>,</w:t>
      </w:r>
      <w:r>
        <w:t xml:space="preserve"> and included: </w:t>
      </w:r>
    </w:p>
    <w:p w14:paraId="18C0C79E" w14:textId="77777777" w:rsidR="00730D50" w:rsidRDefault="00EE496B" w:rsidP="00333704">
      <w:pPr>
        <w:pStyle w:val="DHHSbullet1"/>
      </w:pPr>
      <w:r>
        <w:t>t</w:t>
      </w:r>
      <w:r w:rsidR="00730D50">
        <w:t>he kJ value (per serve) printed</w:t>
      </w:r>
      <w:r>
        <w:t>, for example,</w:t>
      </w:r>
      <w:r w:rsidR="00730D50">
        <w:t xml:space="preserve"> </w:t>
      </w:r>
      <w:r w:rsidR="00730D50" w:rsidRPr="00692666">
        <w:t>on menu board</w:t>
      </w:r>
      <w:r w:rsidR="00730D50">
        <w:t>s</w:t>
      </w:r>
      <w:r w:rsidR="00730D50" w:rsidRPr="00692666">
        <w:t>, food tag</w:t>
      </w:r>
      <w:r>
        <w:t>s, posters</w:t>
      </w:r>
      <w:r w:rsidR="005D5D9F">
        <w:t xml:space="preserve"> </w:t>
      </w:r>
    </w:p>
    <w:p w14:paraId="36B6A608" w14:textId="77777777" w:rsidR="00730D50" w:rsidRDefault="00EE496B" w:rsidP="00A13C17">
      <w:pPr>
        <w:pStyle w:val="DHHSbullet1"/>
      </w:pPr>
      <w:r>
        <w:t>t</w:t>
      </w:r>
      <w:r w:rsidR="00730D50">
        <w:t>he kJ value obtained from the com</w:t>
      </w:r>
      <w:r>
        <w:t>pany website (where available)</w:t>
      </w:r>
    </w:p>
    <w:p w14:paraId="180C4C23" w14:textId="77777777" w:rsidR="00730D50" w:rsidRDefault="00EE496B" w:rsidP="00333704">
      <w:pPr>
        <w:pStyle w:val="DHHSbullet1lastline"/>
      </w:pPr>
      <w:r>
        <w:t>the kJ value stated on take</w:t>
      </w:r>
      <w:r w:rsidR="00730D50">
        <w:t>away printed menus (if available)</w:t>
      </w:r>
      <w:r w:rsidR="004E34C7">
        <w:t>.</w:t>
      </w:r>
    </w:p>
    <w:p w14:paraId="2AD19C47" w14:textId="77777777" w:rsidR="00730D50" w:rsidRPr="00730D50" w:rsidRDefault="00730D50" w:rsidP="00333704">
      <w:pPr>
        <w:pStyle w:val="DHHSbody"/>
      </w:pPr>
      <w:r w:rsidRPr="00730D50">
        <w:t>Standard 1.2.8 of the Code</w:t>
      </w:r>
      <w:r w:rsidR="000D4658">
        <w:t xml:space="preserve"> does not prescribe </w:t>
      </w:r>
      <w:r w:rsidR="00D71784">
        <w:t>a</w:t>
      </w:r>
      <w:r w:rsidR="000D4658" w:rsidRPr="00730D50">
        <w:t>ccuracy requirements relating to nutrition information</w:t>
      </w:r>
      <w:r w:rsidRPr="00730D50">
        <w:t xml:space="preserve">. </w:t>
      </w:r>
    </w:p>
    <w:p w14:paraId="46652729" w14:textId="3FC2E958" w:rsidR="00730D50" w:rsidRPr="00730D50" w:rsidRDefault="00730D50" w:rsidP="00333704">
      <w:pPr>
        <w:pStyle w:val="DHHSbody"/>
      </w:pPr>
      <w:r w:rsidRPr="00730D50">
        <w:t xml:space="preserve">As there </w:t>
      </w:r>
      <w:r w:rsidR="002817C9">
        <w:t>is</w:t>
      </w:r>
      <w:r w:rsidR="0076432A">
        <w:t xml:space="preserve"> </w:t>
      </w:r>
      <w:r w:rsidRPr="00730D50">
        <w:t xml:space="preserve">no tolerance prescribed in the Code, </w:t>
      </w:r>
      <w:r w:rsidR="00D71784">
        <w:t xml:space="preserve">the department </w:t>
      </w:r>
      <w:r w:rsidRPr="00730D50">
        <w:t>use</w:t>
      </w:r>
      <w:r w:rsidR="00D71784">
        <w:t>d</w:t>
      </w:r>
      <w:r w:rsidRPr="00730D50">
        <w:t xml:space="preserve"> a variance of 20</w:t>
      </w:r>
      <w:r w:rsidR="006043A6">
        <w:t xml:space="preserve"> per cent</w:t>
      </w:r>
      <w:r w:rsidR="00FC37A6">
        <w:t xml:space="preserve"> </w:t>
      </w:r>
      <w:r w:rsidRPr="00730D50">
        <w:t xml:space="preserve">as </w:t>
      </w:r>
      <w:r w:rsidR="00D71784">
        <w:t>the</w:t>
      </w:r>
      <w:r w:rsidR="00D71784" w:rsidRPr="00730D50">
        <w:t xml:space="preserve"> </w:t>
      </w:r>
      <w:r w:rsidRPr="00730D50">
        <w:t xml:space="preserve">benchmark for categorising a pass or fail for each menu item. </w:t>
      </w:r>
    </w:p>
    <w:p w14:paraId="319C21CB" w14:textId="03C3DB44" w:rsidR="00F51749" w:rsidRDefault="00E15165" w:rsidP="00333704">
      <w:pPr>
        <w:pStyle w:val="DHHSbody"/>
        <w:rPr>
          <w:color w:val="000000" w:themeColor="text1"/>
        </w:rPr>
      </w:pPr>
      <w:r w:rsidRPr="00B70551">
        <w:rPr>
          <w:color w:val="000000" w:themeColor="text1"/>
        </w:rPr>
        <w:t>The department</w:t>
      </w:r>
      <w:r w:rsidR="00730D50" w:rsidRPr="00B70551">
        <w:rPr>
          <w:color w:val="000000" w:themeColor="text1"/>
        </w:rPr>
        <w:t xml:space="preserve"> determined that the kilojoule content was ‘out of specification’ if the actual kJ value differed by more than 20</w:t>
      </w:r>
      <w:r w:rsidR="006043A6" w:rsidRPr="00B70551">
        <w:rPr>
          <w:color w:val="000000" w:themeColor="text1"/>
        </w:rPr>
        <w:t xml:space="preserve"> per cent</w:t>
      </w:r>
      <w:r w:rsidR="00730D50" w:rsidRPr="00B70551">
        <w:rPr>
          <w:color w:val="000000" w:themeColor="text1"/>
        </w:rPr>
        <w:t xml:space="preserve"> </w:t>
      </w:r>
      <w:r w:rsidR="00D71784" w:rsidRPr="00B70551">
        <w:rPr>
          <w:color w:val="000000" w:themeColor="text1"/>
        </w:rPr>
        <w:t xml:space="preserve">from </w:t>
      </w:r>
      <w:r w:rsidR="00730D50" w:rsidRPr="00B70551">
        <w:rPr>
          <w:color w:val="000000" w:themeColor="text1"/>
        </w:rPr>
        <w:t>the kJ value stated</w:t>
      </w:r>
      <w:r w:rsidR="00D71784" w:rsidRPr="00B70551">
        <w:rPr>
          <w:color w:val="000000" w:themeColor="text1"/>
        </w:rPr>
        <w:t>, for example,</w:t>
      </w:r>
      <w:r w:rsidR="00730D50" w:rsidRPr="00B70551">
        <w:rPr>
          <w:color w:val="000000" w:themeColor="text1"/>
        </w:rPr>
        <w:t xml:space="preserve"> on the menu board</w:t>
      </w:r>
      <w:r w:rsidR="002817C9">
        <w:rPr>
          <w:color w:val="000000" w:themeColor="text1"/>
        </w:rPr>
        <w:t xml:space="preserve"> or</w:t>
      </w:r>
      <w:r w:rsidR="00730D50" w:rsidRPr="00B70551">
        <w:rPr>
          <w:color w:val="000000" w:themeColor="text1"/>
        </w:rPr>
        <w:t xml:space="preserve"> food tag on the day of sampling. </w:t>
      </w:r>
    </w:p>
    <w:p w14:paraId="4DC930AD" w14:textId="046B4486" w:rsidR="00730D50" w:rsidRDefault="00730D50" w:rsidP="00333704">
      <w:pPr>
        <w:pStyle w:val="DHHSbody"/>
      </w:pPr>
      <w:r w:rsidRPr="00B70551">
        <w:rPr>
          <w:color w:val="000000" w:themeColor="text1"/>
        </w:rPr>
        <w:t>The tolerance of 20</w:t>
      </w:r>
      <w:r w:rsidR="006043A6" w:rsidRPr="00B70551">
        <w:rPr>
          <w:color w:val="000000" w:themeColor="text1"/>
        </w:rPr>
        <w:t xml:space="preserve"> per cent</w:t>
      </w:r>
      <w:r w:rsidRPr="00B70551">
        <w:rPr>
          <w:color w:val="000000" w:themeColor="text1"/>
        </w:rPr>
        <w:t xml:space="preserve"> was determined by taking into consideration limits that other states in Australia had used in conducting kJ sampling analysis</w:t>
      </w:r>
      <w:r w:rsidR="00E15165" w:rsidRPr="00B70551">
        <w:rPr>
          <w:color w:val="000000" w:themeColor="text1"/>
        </w:rPr>
        <w:t>,</w:t>
      </w:r>
      <w:r w:rsidRPr="00B70551">
        <w:rPr>
          <w:color w:val="000000" w:themeColor="text1"/>
        </w:rPr>
        <w:t xml:space="preserve"> in addition to international regulations </w:t>
      </w:r>
      <w:r w:rsidR="002817C9">
        <w:rPr>
          <w:color w:val="000000" w:themeColor="text1"/>
        </w:rPr>
        <w:t>and</w:t>
      </w:r>
      <w:r w:rsidR="002817C9" w:rsidRPr="00B70551">
        <w:rPr>
          <w:color w:val="000000" w:themeColor="text1"/>
        </w:rPr>
        <w:t xml:space="preserve"> </w:t>
      </w:r>
      <w:r>
        <w:t xml:space="preserve">guidelines. </w:t>
      </w:r>
      <w:r w:rsidR="002817C9">
        <w:t>For instance, t</w:t>
      </w:r>
      <w:r>
        <w:t xml:space="preserve">he NSW Food </w:t>
      </w:r>
      <w:r w:rsidR="00E15165">
        <w:t>A</w:t>
      </w:r>
      <w:r>
        <w:t>uthority has</w:t>
      </w:r>
      <w:r w:rsidR="0076432A">
        <w:t xml:space="preserve"> </w:t>
      </w:r>
      <w:r>
        <w:t>used a tolerance of 20</w:t>
      </w:r>
      <w:r w:rsidR="006043A6">
        <w:t xml:space="preserve"> per cent</w:t>
      </w:r>
      <w:r>
        <w:t xml:space="preserve"> in previous kJ sampling</w:t>
      </w:r>
      <w:r w:rsidR="005840E4">
        <w:t xml:space="preserve"> programs</w:t>
      </w:r>
      <w:r w:rsidR="002817C9">
        <w:t xml:space="preserve"> and the </w:t>
      </w:r>
      <w:r>
        <w:t>US Food and Drug Administration</w:t>
      </w:r>
      <w:r w:rsidR="0076432A">
        <w:t xml:space="preserve"> </w:t>
      </w:r>
      <w:r>
        <w:t xml:space="preserve"> uses a tolerance of </w:t>
      </w:r>
      <w:r w:rsidRPr="00730D50">
        <w:t>20</w:t>
      </w:r>
      <w:r w:rsidR="006043A6">
        <w:t xml:space="preserve"> per cent</w:t>
      </w:r>
      <w:r w:rsidRPr="00730D50">
        <w:t xml:space="preserve"> in the United States Code of Federal Regulation - 21 CFR 101.9(g) in relation to label values relating to energy, saturated fat, sodium and nutrients. </w:t>
      </w:r>
    </w:p>
    <w:p w14:paraId="3A5D4513" w14:textId="7C294C6E" w:rsidR="00C63FFB" w:rsidRPr="00C63FFB" w:rsidRDefault="00C63FFB" w:rsidP="00CB1E04">
      <w:pPr>
        <w:pStyle w:val="DHHSbullet1"/>
        <w:numPr>
          <w:ilvl w:val="0"/>
          <w:numId w:val="0"/>
        </w:numPr>
        <w:spacing w:after="120"/>
        <w:rPr>
          <w:color w:val="FF0000"/>
        </w:rPr>
      </w:pPr>
      <w:r w:rsidRPr="00CF18F2">
        <w:rPr>
          <w:color w:val="000000" w:themeColor="text1"/>
        </w:rPr>
        <w:t xml:space="preserve">The following tables include the </w:t>
      </w:r>
      <w:r w:rsidR="003F146D" w:rsidRPr="00CF18F2">
        <w:rPr>
          <w:color w:val="000000" w:themeColor="text1"/>
        </w:rPr>
        <w:t>proportion of standard food items</w:t>
      </w:r>
      <w:r w:rsidR="00014FB5" w:rsidRPr="00CF18F2">
        <w:rPr>
          <w:color w:val="000000" w:themeColor="text1"/>
        </w:rPr>
        <w:t xml:space="preserve"> that were </w:t>
      </w:r>
      <w:r w:rsidR="0073789F" w:rsidRPr="00CF18F2">
        <w:rPr>
          <w:color w:val="000000" w:themeColor="text1"/>
        </w:rPr>
        <w:t xml:space="preserve">above </w:t>
      </w:r>
      <w:r w:rsidR="00014FB5" w:rsidRPr="00CF18F2">
        <w:rPr>
          <w:color w:val="000000" w:themeColor="text1"/>
        </w:rPr>
        <w:t>the</w:t>
      </w:r>
      <w:r w:rsidR="00CF18F2" w:rsidRPr="00CF18F2">
        <w:rPr>
          <w:color w:val="000000" w:themeColor="text1"/>
        </w:rPr>
        <w:t xml:space="preserve"> tolerance </w:t>
      </w:r>
      <w:r w:rsidR="00014FB5" w:rsidRPr="00CF18F2">
        <w:rPr>
          <w:color w:val="000000" w:themeColor="text1"/>
        </w:rPr>
        <w:t>benchmark figure</w:t>
      </w:r>
      <w:r w:rsidR="002817C9">
        <w:rPr>
          <w:color w:val="000000" w:themeColor="text1"/>
        </w:rPr>
        <w:t>.</w:t>
      </w:r>
      <w:r w:rsidR="008537D9">
        <w:rPr>
          <w:color w:val="000000" w:themeColor="text1"/>
        </w:rPr>
        <w:t xml:space="preserve"> </w:t>
      </w:r>
      <w:r w:rsidR="00CF18F2">
        <w:rPr>
          <w:color w:val="000000" w:themeColor="text1"/>
        </w:rPr>
        <w:t>The information is displayed according to each individual food business chain. The business</w:t>
      </w:r>
      <w:r w:rsidR="000D54A2">
        <w:rPr>
          <w:color w:val="000000" w:themeColor="text1"/>
        </w:rPr>
        <w:t xml:space="preserve"> names </w:t>
      </w:r>
      <w:r w:rsidR="00CF18F2">
        <w:rPr>
          <w:color w:val="000000" w:themeColor="text1"/>
        </w:rPr>
        <w:t xml:space="preserve">have been intentionally de-identified. </w:t>
      </w:r>
    </w:p>
    <w:p w14:paraId="272FB6C8" w14:textId="4095E33F" w:rsidR="000B090D" w:rsidRPr="00553F91" w:rsidRDefault="00CD3023" w:rsidP="00097CD4">
      <w:pPr>
        <w:pStyle w:val="DHHStablecaption"/>
      </w:pPr>
      <w:r>
        <w:t>Table 1</w:t>
      </w:r>
      <w:r w:rsidR="00DD519D">
        <w:t>3</w:t>
      </w:r>
      <w:r>
        <w:t xml:space="preserve">: </w:t>
      </w:r>
      <w:r w:rsidR="00F86C2E" w:rsidRPr="00553F91">
        <w:t xml:space="preserve">kJ </w:t>
      </w:r>
      <w:r w:rsidR="007A72F1">
        <w:t>s</w:t>
      </w:r>
      <w:r w:rsidR="00F86C2E" w:rsidRPr="00553F91">
        <w:t xml:space="preserve">ampling </w:t>
      </w:r>
      <w:r w:rsidR="00CB1E04" w:rsidRPr="00553F91">
        <w:t xml:space="preserve">– </w:t>
      </w:r>
      <w:r w:rsidR="007A72F1">
        <w:t>s</w:t>
      </w:r>
      <w:r w:rsidR="00CB1E04" w:rsidRPr="00553F91">
        <w:t xml:space="preserve">tandard </w:t>
      </w:r>
      <w:r w:rsidR="007A72F1">
        <w:t>f</w:t>
      </w:r>
      <w:r w:rsidR="00CB1E04" w:rsidRPr="00553F91">
        <w:t xml:space="preserve">ood </w:t>
      </w:r>
      <w:r w:rsidR="007A72F1">
        <w:t>i</w:t>
      </w:r>
      <w:r w:rsidR="00CB1E04" w:rsidRPr="00553F91">
        <w:t xml:space="preserve">tems </w:t>
      </w:r>
      <w:r w:rsidR="00ED6A64" w:rsidRPr="00553F91">
        <w:t xml:space="preserve">2018 </w:t>
      </w:r>
    </w:p>
    <w:p w14:paraId="6C83D811" w14:textId="77777777" w:rsidR="00BA79FF" w:rsidRDefault="007A72F1" w:rsidP="00333704">
      <w:pPr>
        <w:pStyle w:val="DHHSbody"/>
      </w:pPr>
      <w:r>
        <w:rPr>
          <w:noProof/>
        </w:rPr>
        <w:drawing>
          <wp:inline distT="0" distB="0" distL="0" distR="0" wp14:anchorId="70EDFA9E" wp14:editId="5E977F35">
            <wp:extent cx="4938188" cy="2725148"/>
            <wp:effectExtent l="0" t="0" r="0" b="0"/>
            <wp:docPr id="15" name="Picture 15" descr="Table 13: kJ sampling – standard food items 20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le 1 kJ sampling.png"/>
                    <pic:cNvPicPr/>
                  </pic:nvPicPr>
                  <pic:blipFill>
                    <a:blip r:embed="rId23"/>
                    <a:stretch>
                      <a:fillRect/>
                    </a:stretch>
                  </pic:blipFill>
                  <pic:spPr>
                    <a:xfrm>
                      <a:off x="0" y="0"/>
                      <a:ext cx="4938188" cy="2725148"/>
                    </a:xfrm>
                    <a:prstGeom prst="rect">
                      <a:avLst/>
                    </a:prstGeom>
                  </pic:spPr>
                </pic:pic>
              </a:graphicData>
            </a:graphic>
          </wp:inline>
        </w:drawing>
      </w:r>
    </w:p>
    <w:p w14:paraId="1904F3F9" w14:textId="013E779A" w:rsidR="00ED6A64" w:rsidRPr="00ED6A64" w:rsidRDefault="00CD3023" w:rsidP="006D777C">
      <w:pPr>
        <w:pStyle w:val="DHHSbody"/>
        <w:spacing w:before="240" w:after="240"/>
        <w:rPr>
          <w:b/>
        </w:rPr>
      </w:pPr>
      <w:r>
        <w:rPr>
          <w:b/>
          <w:color w:val="201547"/>
        </w:rPr>
        <w:t xml:space="preserve">Table </w:t>
      </w:r>
      <w:r w:rsidR="00DD519D">
        <w:rPr>
          <w:b/>
          <w:color w:val="201547"/>
        </w:rPr>
        <w:t>14</w:t>
      </w:r>
      <w:r>
        <w:rPr>
          <w:b/>
          <w:color w:val="201547"/>
        </w:rPr>
        <w:t xml:space="preserve">: </w:t>
      </w:r>
      <w:r w:rsidR="00BC627D">
        <w:rPr>
          <w:b/>
          <w:color w:val="201547"/>
        </w:rPr>
        <w:t xml:space="preserve">kJ </w:t>
      </w:r>
      <w:r w:rsidR="00C00B52">
        <w:rPr>
          <w:b/>
          <w:color w:val="201547"/>
        </w:rPr>
        <w:t>s</w:t>
      </w:r>
      <w:r w:rsidR="00BC627D">
        <w:rPr>
          <w:b/>
          <w:color w:val="201547"/>
        </w:rPr>
        <w:t xml:space="preserve">ampling – </w:t>
      </w:r>
      <w:r w:rsidR="00C00B52">
        <w:rPr>
          <w:b/>
          <w:color w:val="201547"/>
        </w:rPr>
        <w:t>s</w:t>
      </w:r>
      <w:r w:rsidR="00BC627D">
        <w:rPr>
          <w:b/>
          <w:color w:val="201547"/>
        </w:rPr>
        <w:t xml:space="preserve">tandard </w:t>
      </w:r>
      <w:r w:rsidR="00C00B52">
        <w:rPr>
          <w:b/>
          <w:color w:val="201547"/>
        </w:rPr>
        <w:t>f</w:t>
      </w:r>
      <w:r w:rsidR="00BC627D">
        <w:rPr>
          <w:b/>
          <w:color w:val="201547"/>
        </w:rPr>
        <w:t>ood Items</w:t>
      </w:r>
      <w:r w:rsidR="00BC627D" w:rsidRPr="00ED6A64">
        <w:rPr>
          <w:b/>
          <w:color w:val="201547"/>
        </w:rPr>
        <w:t xml:space="preserve"> </w:t>
      </w:r>
      <w:r w:rsidR="00ED6A64" w:rsidRPr="00ED6A64">
        <w:rPr>
          <w:b/>
          <w:color w:val="201547"/>
        </w:rPr>
        <w:t>2019</w:t>
      </w:r>
      <w:r w:rsidR="00BC627D">
        <w:rPr>
          <w:b/>
          <w:color w:val="201547"/>
        </w:rPr>
        <w:t xml:space="preserve"> </w:t>
      </w:r>
    </w:p>
    <w:p w14:paraId="6E104B3B" w14:textId="77777777" w:rsidR="002C4464" w:rsidRDefault="004E34C7" w:rsidP="00333704">
      <w:pPr>
        <w:pStyle w:val="DHHSbody"/>
      </w:pPr>
      <w:r>
        <w:rPr>
          <w:noProof/>
        </w:rPr>
        <w:drawing>
          <wp:inline distT="0" distB="0" distL="0" distR="0" wp14:anchorId="4AC3F1CD" wp14:editId="70AE7BAE">
            <wp:extent cx="5486400" cy="3200400"/>
            <wp:effectExtent l="0" t="0" r="0" b="0"/>
            <wp:docPr id="16" name="Picture 16" descr="Table 14: kJ sampling – standard food Items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ble 2 kJ sampling.jpg"/>
                    <pic:cNvPicPr/>
                  </pic:nvPicPr>
                  <pic:blipFill>
                    <a:blip r:embed="rId24"/>
                    <a:stretch>
                      <a:fillRect/>
                    </a:stretch>
                  </pic:blipFill>
                  <pic:spPr>
                    <a:xfrm>
                      <a:off x="0" y="0"/>
                      <a:ext cx="5486400" cy="3200400"/>
                    </a:xfrm>
                    <a:prstGeom prst="rect">
                      <a:avLst/>
                    </a:prstGeom>
                  </pic:spPr>
                </pic:pic>
              </a:graphicData>
            </a:graphic>
          </wp:inline>
        </w:drawing>
      </w:r>
    </w:p>
    <w:p w14:paraId="022303FC" w14:textId="5989DD0A" w:rsidR="00B93CEF" w:rsidRPr="004E34C7" w:rsidRDefault="00B93CEF" w:rsidP="00B93CEF">
      <w:pPr>
        <w:pStyle w:val="DHHSbullet1lastline"/>
        <w:numPr>
          <w:ilvl w:val="0"/>
          <w:numId w:val="0"/>
        </w:numPr>
        <w:rPr>
          <w:rStyle w:val="Emphasis"/>
        </w:rPr>
      </w:pPr>
      <w:r w:rsidRPr="004E34C7">
        <w:rPr>
          <w:rStyle w:val="Emphasis"/>
        </w:rPr>
        <w:t xml:space="preserve">Note: There is no correlation between chains identified in tables </w:t>
      </w:r>
      <w:r w:rsidR="00815A66">
        <w:rPr>
          <w:rStyle w:val="Emphasis"/>
        </w:rPr>
        <w:t>13</w:t>
      </w:r>
      <w:r w:rsidRPr="004E34C7">
        <w:rPr>
          <w:rStyle w:val="Emphasis"/>
        </w:rPr>
        <w:t xml:space="preserve"> and </w:t>
      </w:r>
      <w:r w:rsidR="00815A66">
        <w:rPr>
          <w:rStyle w:val="Emphasis"/>
        </w:rPr>
        <w:t>14</w:t>
      </w:r>
      <w:r w:rsidRPr="004E34C7">
        <w:rPr>
          <w:rStyle w:val="Emphasis"/>
        </w:rPr>
        <w:t>.</w:t>
      </w:r>
      <w:r w:rsidR="008537D9">
        <w:rPr>
          <w:rStyle w:val="Emphasis"/>
        </w:rPr>
        <w:t xml:space="preserve"> </w:t>
      </w:r>
    </w:p>
    <w:p w14:paraId="145C7D3E" w14:textId="77777777" w:rsidR="00730D50" w:rsidRPr="00885621" w:rsidRDefault="00885621" w:rsidP="00CF2785">
      <w:pPr>
        <w:pStyle w:val="Heading2"/>
        <w:spacing w:before="320" w:after="240"/>
      </w:pPr>
      <w:bookmarkStart w:id="15" w:name="_Toc75278963"/>
      <w:r>
        <w:t>6</w:t>
      </w:r>
      <w:r w:rsidR="00730D50" w:rsidRPr="00885621">
        <w:t xml:space="preserve">.2 Analysis of </w:t>
      </w:r>
      <w:r w:rsidR="00333704" w:rsidRPr="00885621">
        <w:t>k</w:t>
      </w:r>
      <w:r w:rsidR="00730D50" w:rsidRPr="00885621">
        <w:t xml:space="preserve">ilojoule </w:t>
      </w:r>
      <w:r w:rsidR="00333704" w:rsidRPr="00885621">
        <w:t>r</w:t>
      </w:r>
      <w:r w:rsidR="00730D50" w:rsidRPr="00885621">
        <w:t xml:space="preserve">esults and </w:t>
      </w:r>
      <w:r w:rsidR="00333704" w:rsidRPr="00885621">
        <w:t>k</w:t>
      </w:r>
      <w:r w:rsidR="00730D50" w:rsidRPr="00885621">
        <w:t xml:space="preserve">ey </w:t>
      </w:r>
      <w:r w:rsidR="00333704" w:rsidRPr="00885621">
        <w:t>f</w:t>
      </w:r>
      <w:r w:rsidR="00730D50" w:rsidRPr="00885621">
        <w:t>indings</w:t>
      </w:r>
      <w:bookmarkEnd w:id="15"/>
    </w:p>
    <w:p w14:paraId="3B3D6AD3" w14:textId="77777777" w:rsidR="00730D50" w:rsidRPr="00497CAA" w:rsidRDefault="00C735C3" w:rsidP="00333704">
      <w:pPr>
        <w:pStyle w:val="DHHSbody"/>
        <w:rPr>
          <w:color w:val="000000" w:themeColor="text1"/>
        </w:rPr>
      </w:pPr>
      <w:r w:rsidRPr="00497CAA">
        <w:rPr>
          <w:color w:val="000000" w:themeColor="text1"/>
        </w:rPr>
        <w:t xml:space="preserve">Listed below are the </w:t>
      </w:r>
      <w:r w:rsidR="00730D50" w:rsidRPr="00497CAA">
        <w:rPr>
          <w:color w:val="000000" w:themeColor="text1"/>
        </w:rPr>
        <w:t>key findings of the kJ Sampling Verificat</w:t>
      </w:r>
      <w:r w:rsidRPr="00497CAA">
        <w:rPr>
          <w:color w:val="000000" w:themeColor="text1"/>
        </w:rPr>
        <w:t>ion Program.</w:t>
      </w:r>
      <w:r w:rsidR="00B23923" w:rsidRPr="00497CAA">
        <w:rPr>
          <w:color w:val="000000" w:themeColor="text1"/>
        </w:rPr>
        <w:t xml:space="preserve"> </w:t>
      </w:r>
    </w:p>
    <w:p w14:paraId="3E37ED14" w14:textId="1966E305" w:rsidR="00B9490F" w:rsidRDefault="00497CAA" w:rsidP="00A13C17">
      <w:pPr>
        <w:pStyle w:val="DHHSbody"/>
        <w:numPr>
          <w:ilvl w:val="0"/>
          <w:numId w:val="26"/>
        </w:numPr>
        <w:spacing w:after="60"/>
        <w:ind w:left="284" w:hanging="284"/>
        <w:rPr>
          <w:color w:val="000000" w:themeColor="text1"/>
        </w:rPr>
      </w:pPr>
      <w:r>
        <w:rPr>
          <w:color w:val="000000" w:themeColor="text1"/>
        </w:rPr>
        <w:t xml:space="preserve">In 2018, </w:t>
      </w:r>
      <w:r w:rsidR="006774FA">
        <w:rPr>
          <w:color w:val="000000" w:themeColor="text1"/>
        </w:rPr>
        <w:t xml:space="preserve">eight </w:t>
      </w:r>
      <w:r>
        <w:rPr>
          <w:color w:val="000000" w:themeColor="text1"/>
        </w:rPr>
        <w:t xml:space="preserve">different food business chains were </w:t>
      </w:r>
      <w:r w:rsidR="00084A2E">
        <w:rPr>
          <w:color w:val="000000" w:themeColor="text1"/>
        </w:rPr>
        <w:t>visited,</w:t>
      </w:r>
      <w:r>
        <w:rPr>
          <w:color w:val="000000" w:themeColor="text1"/>
        </w:rPr>
        <w:t xml:space="preserve"> </w:t>
      </w:r>
      <w:r w:rsidR="002817C9">
        <w:rPr>
          <w:color w:val="000000" w:themeColor="text1"/>
        </w:rPr>
        <w:t xml:space="preserve">and </w:t>
      </w:r>
      <w:r w:rsidR="006774FA">
        <w:rPr>
          <w:color w:val="000000" w:themeColor="text1"/>
        </w:rPr>
        <w:t xml:space="preserve">74 </w:t>
      </w:r>
      <w:r w:rsidR="006774FA" w:rsidRPr="006774FA">
        <w:rPr>
          <w:color w:val="000000" w:themeColor="text1"/>
        </w:rPr>
        <w:t xml:space="preserve">food samples </w:t>
      </w:r>
      <w:r w:rsidR="002817C9">
        <w:rPr>
          <w:color w:val="000000" w:themeColor="text1"/>
        </w:rPr>
        <w:t xml:space="preserve">were collected </w:t>
      </w:r>
      <w:r w:rsidR="006774FA" w:rsidRPr="006774FA">
        <w:rPr>
          <w:color w:val="000000" w:themeColor="text1"/>
        </w:rPr>
        <w:t xml:space="preserve">for kJ analysis. </w:t>
      </w:r>
      <w:r w:rsidR="002817C9">
        <w:rPr>
          <w:color w:val="000000" w:themeColor="text1"/>
        </w:rPr>
        <w:t xml:space="preserve">Of </w:t>
      </w:r>
      <w:proofErr w:type="gramStart"/>
      <w:r w:rsidR="002817C9">
        <w:rPr>
          <w:color w:val="000000" w:themeColor="text1"/>
        </w:rPr>
        <w:t xml:space="preserve">these </w:t>
      </w:r>
      <w:r w:rsidR="002817C9" w:rsidRPr="006774FA">
        <w:rPr>
          <w:color w:val="000000" w:themeColor="text1"/>
        </w:rPr>
        <w:t>standard food</w:t>
      </w:r>
      <w:proofErr w:type="gramEnd"/>
      <w:r w:rsidR="002817C9" w:rsidRPr="006774FA">
        <w:rPr>
          <w:color w:val="000000" w:themeColor="text1"/>
        </w:rPr>
        <w:t xml:space="preserve"> items </w:t>
      </w:r>
      <w:r w:rsidR="006774FA" w:rsidRPr="006774FA">
        <w:rPr>
          <w:color w:val="000000" w:themeColor="text1"/>
        </w:rPr>
        <w:t>78</w:t>
      </w:r>
      <w:r w:rsidR="00C00B52">
        <w:rPr>
          <w:color w:val="000000" w:themeColor="text1"/>
        </w:rPr>
        <w:t xml:space="preserve"> per cent</w:t>
      </w:r>
      <w:r w:rsidR="006774FA" w:rsidRPr="006774FA">
        <w:rPr>
          <w:color w:val="000000" w:themeColor="text1"/>
        </w:rPr>
        <w:t xml:space="preserve"> were within the allowable tolerance. </w:t>
      </w:r>
    </w:p>
    <w:p w14:paraId="028EFC99" w14:textId="0CC6D3E8" w:rsidR="00A13C17" w:rsidRDefault="009654AC" w:rsidP="00A13C17">
      <w:pPr>
        <w:pStyle w:val="DHHSbody"/>
        <w:numPr>
          <w:ilvl w:val="0"/>
          <w:numId w:val="26"/>
        </w:numPr>
        <w:spacing w:after="60"/>
        <w:ind w:left="284" w:hanging="284"/>
        <w:rPr>
          <w:color w:val="000000" w:themeColor="text1"/>
        </w:rPr>
      </w:pPr>
      <w:r>
        <w:rPr>
          <w:color w:val="000000" w:themeColor="text1"/>
        </w:rPr>
        <w:t xml:space="preserve">Of the chains visited in 2018, </w:t>
      </w:r>
      <w:r w:rsidR="004B4AC6">
        <w:rPr>
          <w:color w:val="000000" w:themeColor="text1"/>
        </w:rPr>
        <w:t>50</w:t>
      </w:r>
      <w:r w:rsidR="00C00B52">
        <w:rPr>
          <w:color w:val="000000" w:themeColor="text1"/>
        </w:rPr>
        <w:t xml:space="preserve"> per cent</w:t>
      </w:r>
      <w:r w:rsidR="004B4AC6">
        <w:rPr>
          <w:color w:val="000000" w:themeColor="text1"/>
        </w:rPr>
        <w:t xml:space="preserve"> </w:t>
      </w:r>
      <w:r w:rsidR="00AE271E">
        <w:rPr>
          <w:color w:val="000000" w:themeColor="text1"/>
        </w:rPr>
        <w:t>were within the tolerance limits for food items</w:t>
      </w:r>
      <w:r w:rsidR="002817C9">
        <w:rPr>
          <w:color w:val="000000" w:themeColor="text1"/>
        </w:rPr>
        <w:t xml:space="preserve"> sampled</w:t>
      </w:r>
      <w:r w:rsidR="00AE271E">
        <w:rPr>
          <w:color w:val="000000" w:themeColor="text1"/>
        </w:rPr>
        <w:t>.</w:t>
      </w:r>
      <w:r w:rsidR="008537D9">
        <w:rPr>
          <w:color w:val="000000" w:themeColor="text1"/>
        </w:rPr>
        <w:t xml:space="preserve"> </w:t>
      </w:r>
    </w:p>
    <w:p w14:paraId="427D3560" w14:textId="6BD26FDA" w:rsidR="00A13C17" w:rsidRDefault="006774FA" w:rsidP="00A13C17">
      <w:pPr>
        <w:pStyle w:val="DHHSbody"/>
        <w:numPr>
          <w:ilvl w:val="0"/>
          <w:numId w:val="26"/>
        </w:numPr>
        <w:spacing w:after="60"/>
        <w:ind w:left="284" w:hanging="284"/>
        <w:rPr>
          <w:color w:val="000000" w:themeColor="text1"/>
        </w:rPr>
      </w:pPr>
      <w:r>
        <w:rPr>
          <w:color w:val="000000" w:themeColor="text1"/>
        </w:rPr>
        <w:t>In 201</w:t>
      </w:r>
      <w:r w:rsidR="00A13C17">
        <w:rPr>
          <w:color w:val="000000" w:themeColor="text1"/>
        </w:rPr>
        <w:t>9</w:t>
      </w:r>
      <w:r>
        <w:rPr>
          <w:color w:val="000000" w:themeColor="text1"/>
        </w:rPr>
        <w:t xml:space="preserve">, eleven different food business chains were </w:t>
      </w:r>
      <w:r w:rsidR="00084A2E">
        <w:rPr>
          <w:color w:val="000000" w:themeColor="text1"/>
        </w:rPr>
        <w:t>visited,</w:t>
      </w:r>
      <w:r>
        <w:rPr>
          <w:color w:val="000000" w:themeColor="text1"/>
        </w:rPr>
        <w:t xml:space="preserve"> </w:t>
      </w:r>
      <w:r w:rsidR="002817C9">
        <w:rPr>
          <w:color w:val="000000" w:themeColor="text1"/>
        </w:rPr>
        <w:t xml:space="preserve">and </w:t>
      </w:r>
      <w:r>
        <w:rPr>
          <w:color w:val="000000" w:themeColor="text1"/>
        </w:rPr>
        <w:t>7</w:t>
      </w:r>
      <w:r w:rsidR="005B664F">
        <w:rPr>
          <w:color w:val="000000" w:themeColor="text1"/>
        </w:rPr>
        <w:t>0</w:t>
      </w:r>
      <w:r>
        <w:rPr>
          <w:color w:val="000000" w:themeColor="text1"/>
        </w:rPr>
        <w:t xml:space="preserve"> </w:t>
      </w:r>
      <w:r w:rsidRPr="006774FA">
        <w:rPr>
          <w:color w:val="000000" w:themeColor="text1"/>
        </w:rPr>
        <w:t xml:space="preserve">food samples </w:t>
      </w:r>
      <w:r w:rsidR="002817C9">
        <w:rPr>
          <w:color w:val="000000" w:themeColor="text1"/>
        </w:rPr>
        <w:t xml:space="preserve">were collected </w:t>
      </w:r>
      <w:r w:rsidRPr="006774FA">
        <w:rPr>
          <w:color w:val="000000" w:themeColor="text1"/>
        </w:rPr>
        <w:t>for kJ analysis.</w:t>
      </w:r>
      <w:r>
        <w:rPr>
          <w:color w:val="000000" w:themeColor="text1"/>
        </w:rPr>
        <w:t xml:space="preserve"> </w:t>
      </w:r>
      <w:r w:rsidR="002817C9">
        <w:rPr>
          <w:color w:val="000000" w:themeColor="text1"/>
        </w:rPr>
        <w:t>O</w:t>
      </w:r>
      <w:r w:rsidR="002817C9" w:rsidRPr="006774FA">
        <w:rPr>
          <w:color w:val="000000" w:themeColor="text1"/>
        </w:rPr>
        <w:t xml:space="preserve">f </w:t>
      </w:r>
      <w:proofErr w:type="gramStart"/>
      <w:r w:rsidR="002817C9" w:rsidRPr="006774FA">
        <w:rPr>
          <w:color w:val="000000" w:themeColor="text1"/>
        </w:rPr>
        <w:t>these standard food</w:t>
      </w:r>
      <w:proofErr w:type="gramEnd"/>
      <w:r w:rsidR="002817C9" w:rsidRPr="006774FA">
        <w:rPr>
          <w:color w:val="000000" w:themeColor="text1"/>
        </w:rPr>
        <w:t xml:space="preserve"> items </w:t>
      </w:r>
      <w:r>
        <w:rPr>
          <w:color w:val="000000" w:themeColor="text1"/>
        </w:rPr>
        <w:t>62.8</w:t>
      </w:r>
      <w:r w:rsidR="00C00B52">
        <w:rPr>
          <w:color w:val="000000" w:themeColor="text1"/>
        </w:rPr>
        <w:t xml:space="preserve"> per cent</w:t>
      </w:r>
      <w:r>
        <w:rPr>
          <w:color w:val="000000" w:themeColor="text1"/>
        </w:rPr>
        <w:t xml:space="preserve"> </w:t>
      </w:r>
      <w:r w:rsidRPr="006774FA">
        <w:rPr>
          <w:color w:val="000000" w:themeColor="text1"/>
        </w:rPr>
        <w:t>were within the allowable tolerance</w:t>
      </w:r>
      <w:r>
        <w:rPr>
          <w:color w:val="000000" w:themeColor="text1"/>
        </w:rPr>
        <w:t>.</w:t>
      </w:r>
      <w:r w:rsidR="00520A16">
        <w:rPr>
          <w:color w:val="000000" w:themeColor="text1"/>
        </w:rPr>
        <w:t xml:space="preserve"> </w:t>
      </w:r>
    </w:p>
    <w:p w14:paraId="58757BC4" w14:textId="41AFC63A" w:rsidR="003C3955" w:rsidRDefault="009654AC" w:rsidP="0080099E">
      <w:pPr>
        <w:pStyle w:val="DHHSbody"/>
        <w:numPr>
          <w:ilvl w:val="0"/>
          <w:numId w:val="26"/>
        </w:numPr>
        <w:spacing w:after="60"/>
        <w:ind w:left="284" w:hanging="284"/>
        <w:rPr>
          <w:color w:val="000000" w:themeColor="text1"/>
        </w:rPr>
      </w:pPr>
      <w:r>
        <w:rPr>
          <w:color w:val="000000" w:themeColor="text1"/>
        </w:rPr>
        <w:t xml:space="preserve">Of the chains visited in 2019, </w:t>
      </w:r>
      <w:r w:rsidR="0080099E">
        <w:rPr>
          <w:color w:val="000000" w:themeColor="text1"/>
        </w:rPr>
        <w:t>45.5</w:t>
      </w:r>
      <w:r w:rsidR="00C00B52">
        <w:rPr>
          <w:color w:val="000000" w:themeColor="text1"/>
        </w:rPr>
        <w:t xml:space="preserve"> per cent</w:t>
      </w:r>
      <w:r w:rsidR="0076432A">
        <w:rPr>
          <w:color w:val="000000" w:themeColor="text1"/>
        </w:rPr>
        <w:t xml:space="preserve"> </w:t>
      </w:r>
      <w:r w:rsidR="0080099E">
        <w:rPr>
          <w:color w:val="000000" w:themeColor="text1"/>
        </w:rPr>
        <w:t>were within the tolerance limits for food items</w:t>
      </w:r>
      <w:r>
        <w:rPr>
          <w:color w:val="000000" w:themeColor="text1"/>
        </w:rPr>
        <w:t xml:space="preserve"> sampled</w:t>
      </w:r>
      <w:r w:rsidR="0080099E">
        <w:rPr>
          <w:color w:val="000000" w:themeColor="text1"/>
        </w:rPr>
        <w:t>.</w:t>
      </w:r>
    </w:p>
    <w:p w14:paraId="2E1A0185" w14:textId="3886DA73" w:rsidR="0080099E" w:rsidRDefault="003C3955" w:rsidP="003C3955">
      <w:pPr>
        <w:pStyle w:val="DHHSbody"/>
        <w:numPr>
          <w:ilvl w:val="0"/>
          <w:numId w:val="26"/>
        </w:numPr>
        <w:spacing w:after="60"/>
        <w:ind w:left="284" w:hanging="284"/>
        <w:rPr>
          <w:color w:val="000000" w:themeColor="text1"/>
        </w:rPr>
      </w:pPr>
      <w:r w:rsidRPr="00520A16">
        <w:rPr>
          <w:color w:val="000000" w:themeColor="text1"/>
        </w:rPr>
        <w:t xml:space="preserve">Most </w:t>
      </w:r>
      <w:r>
        <w:rPr>
          <w:color w:val="000000" w:themeColor="text1"/>
        </w:rPr>
        <w:t xml:space="preserve">of the </w:t>
      </w:r>
      <w:r w:rsidR="00B736A5">
        <w:rPr>
          <w:color w:val="000000" w:themeColor="text1"/>
        </w:rPr>
        <w:t xml:space="preserve">sampled food items </w:t>
      </w:r>
      <w:r w:rsidRPr="00520A16">
        <w:rPr>
          <w:color w:val="000000" w:themeColor="text1"/>
        </w:rPr>
        <w:t>met the guideline limit for energy, but there were results that point to errors in calculation of the kJ information</w:t>
      </w:r>
      <w:r>
        <w:rPr>
          <w:color w:val="000000" w:themeColor="text1"/>
        </w:rPr>
        <w:t>.</w:t>
      </w:r>
      <w:r w:rsidR="008537D9">
        <w:rPr>
          <w:color w:val="000000" w:themeColor="text1"/>
        </w:rPr>
        <w:t xml:space="preserve"> </w:t>
      </w:r>
    </w:p>
    <w:p w14:paraId="36B913B3" w14:textId="44BA197D" w:rsidR="006774FA" w:rsidRPr="00574EE9" w:rsidRDefault="00D825B3" w:rsidP="003C3955">
      <w:pPr>
        <w:pStyle w:val="DHHSbody"/>
        <w:numPr>
          <w:ilvl w:val="0"/>
          <w:numId w:val="26"/>
        </w:numPr>
        <w:spacing w:after="60"/>
        <w:ind w:left="284" w:hanging="284"/>
        <w:rPr>
          <w:color w:val="000000" w:themeColor="text1"/>
        </w:rPr>
      </w:pPr>
      <w:r>
        <w:rPr>
          <w:color w:val="000000" w:themeColor="text1"/>
        </w:rPr>
        <w:t>In Table 2, chains ‘I’ and ‘G’ were new chains that were not sampled in 2018.</w:t>
      </w:r>
      <w:r w:rsidR="00E12EF2">
        <w:rPr>
          <w:color w:val="000000" w:themeColor="text1"/>
        </w:rPr>
        <w:t xml:space="preserve"> </w:t>
      </w:r>
      <w:r w:rsidR="002F2611">
        <w:rPr>
          <w:color w:val="000000" w:themeColor="text1"/>
        </w:rPr>
        <w:t xml:space="preserve">It should be noted that </w:t>
      </w:r>
      <w:r w:rsidR="00C368B0">
        <w:rPr>
          <w:color w:val="000000" w:themeColor="text1"/>
        </w:rPr>
        <w:t xml:space="preserve">five samples or less were purchased from each of these chains, so it cannot be assumed that the remainder of their menu items </w:t>
      </w:r>
      <w:r w:rsidR="00EC14C2">
        <w:rPr>
          <w:color w:val="000000" w:themeColor="text1"/>
        </w:rPr>
        <w:t>w</w:t>
      </w:r>
      <w:r w:rsidR="00C368B0">
        <w:rPr>
          <w:color w:val="000000" w:themeColor="text1"/>
        </w:rPr>
        <w:t xml:space="preserve">ould be outside the </w:t>
      </w:r>
      <w:r w:rsidR="00C368B0" w:rsidRPr="00574EE9">
        <w:rPr>
          <w:color w:val="000000" w:themeColor="text1"/>
        </w:rPr>
        <w:t>allowable tolerance.</w:t>
      </w:r>
      <w:r w:rsidR="008537D9">
        <w:rPr>
          <w:color w:val="000000" w:themeColor="text1"/>
        </w:rPr>
        <w:t xml:space="preserve"> </w:t>
      </w:r>
    </w:p>
    <w:p w14:paraId="75357F55" w14:textId="77777777" w:rsidR="00B753EC" w:rsidRDefault="00574EE9" w:rsidP="00574EE9">
      <w:pPr>
        <w:pStyle w:val="DHHSbullet1lastline"/>
        <w:rPr>
          <w:color w:val="000000" w:themeColor="text1"/>
        </w:rPr>
      </w:pPr>
      <w:r w:rsidRPr="00574EE9">
        <w:rPr>
          <w:color w:val="000000" w:themeColor="text1"/>
        </w:rPr>
        <w:t>In some of the chains that had a higher level of non-compliance, it was observed during the preparation of food items at their premises that there appeared to be a degree of variation in the preparation and assembly of each food item.</w:t>
      </w:r>
      <w:r w:rsidR="005855B4">
        <w:rPr>
          <w:color w:val="000000" w:themeColor="text1"/>
        </w:rPr>
        <w:t xml:space="preserve"> </w:t>
      </w:r>
      <w:r w:rsidRPr="00574EE9">
        <w:rPr>
          <w:color w:val="000000" w:themeColor="text1"/>
        </w:rPr>
        <w:t>This may have had an effect on the kJ value of the food item.</w:t>
      </w:r>
      <w:r w:rsidR="00B753EC">
        <w:rPr>
          <w:color w:val="000000" w:themeColor="text1"/>
        </w:rPr>
        <w:t xml:space="preserve"> </w:t>
      </w:r>
    </w:p>
    <w:p w14:paraId="2062E0C2" w14:textId="77777777" w:rsidR="00730D50" w:rsidRPr="004E34C7" w:rsidRDefault="00AE0008" w:rsidP="004E34C7">
      <w:pPr>
        <w:pStyle w:val="Heading1"/>
      </w:pPr>
      <w:bookmarkStart w:id="16" w:name="_Toc75278964"/>
      <w:r w:rsidRPr="004E34C7">
        <w:t>7</w:t>
      </w:r>
      <w:r w:rsidR="00730D50" w:rsidRPr="004E34C7">
        <w:t>.</w:t>
      </w:r>
      <w:r w:rsidR="006A177D" w:rsidRPr="004E34C7">
        <w:t xml:space="preserve"> </w:t>
      </w:r>
      <w:r w:rsidR="00730D50" w:rsidRPr="004E34C7">
        <w:t>Conclusions</w:t>
      </w:r>
      <w:bookmarkEnd w:id="16"/>
      <w:r w:rsidR="00730D50" w:rsidRPr="004E34C7">
        <w:t xml:space="preserve"> </w:t>
      </w:r>
    </w:p>
    <w:p w14:paraId="0C553624" w14:textId="371C8F67" w:rsidR="00671B3C" w:rsidRPr="00C40DA4" w:rsidRDefault="00671B3C" w:rsidP="00671B3C">
      <w:pPr>
        <w:pStyle w:val="DHHSbody"/>
        <w:rPr>
          <w:color w:val="000000" w:themeColor="text1"/>
        </w:rPr>
      </w:pPr>
      <w:r w:rsidRPr="00C40DA4">
        <w:rPr>
          <w:color w:val="000000" w:themeColor="text1"/>
        </w:rPr>
        <w:t xml:space="preserve">The </w:t>
      </w:r>
      <w:r w:rsidRPr="00C40DA4">
        <w:rPr>
          <w:b/>
          <w:color w:val="000000" w:themeColor="text1"/>
        </w:rPr>
        <w:t>kJ menu surveillance program</w:t>
      </w:r>
      <w:r w:rsidRPr="00C40DA4">
        <w:rPr>
          <w:color w:val="000000" w:themeColor="text1"/>
        </w:rPr>
        <w:t xml:space="preserve"> was conducted to ascertain the level of compliance in large chain food premises that are required to comply with changes to the Act</w:t>
      </w:r>
      <w:r w:rsidR="00B736A5">
        <w:rPr>
          <w:color w:val="000000" w:themeColor="text1"/>
        </w:rPr>
        <w:t xml:space="preserve"> that </w:t>
      </w:r>
      <w:r w:rsidRPr="00C40DA4">
        <w:rPr>
          <w:color w:val="000000" w:themeColor="text1"/>
        </w:rPr>
        <w:t>came into effect on</w:t>
      </w:r>
      <w:r w:rsidR="0076432A">
        <w:rPr>
          <w:color w:val="000000" w:themeColor="text1"/>
        </w:rPr>
        <w:t xml:space="preserve"> </w:t>
      </w:r>
      <w:r w:rsidRPr="00C40DA4">
        <w:rPr>
          <w:color w:val="000000" w:themeColor="text1"/>
        </w:rPr>
        <w:t>1 May 2018.</w:t>
      </w:r>
      <w:r w:rsidR="00C40DA4">
        <w:rPr>
          <w:color w:val="000000" w:themeColor="text1"/>
        </w:rPr>
        <w:t xml:space="preserve"> </w:t>
      </w:r>
      <w:r w:rsidR="00C40DA4" w:rsidRPr="00C40DA4">
        <w:rPr>
          <w:color w:val="000000" w:themeColor="text1"/>
        </w:rPr>
        <w:t xml:space="preserve">Surveillance </w:t>
      </w:r>
      <w:r w:rsidR="00C40DA4">
        <w:rPr>
          <w:color w:val="000000" w:themeColor="text1"/>
        </w:rPr>
        <w:t>was conducted shortly after the scheme came into effect</w:t>
      </w:r>
      <w:r w:rsidR="00B736A5">
        <w:rPr>
          <w:color w:val="000000" w:themeColor="text1"/>
        </w:rPr>
        <w:t>.</w:t>
      </w:r>
      <w:r w:rsidR="008537D9">
        <w:rPr>
          <w:color w:val="000000" w:themeColor="text1"/>
        </w:rPr>
        <w:t xml:space="preserve"> </w:t>
      </w:r>
      <w:r w:rsidR="00B736A5">
        <w:rPr>
          <w:color w:val="000000" w:themeColor="text1"/>
        </w:rPr>
        <w:t>A</w:t>
      </w:r>
      <w:r w:rsidR="00C40DA4">
        <w:rPr>
          <w:color w:val="000000" w:themeColor="text1"/>
        </w:rPr>
        <w:t xml:space="preserve">pproximately one year later in April/May 2019 </w:t>
      </w:r>
      <w:r w:rsidR="00B736A5">
        <w:rPr>
          <w:color w:val="000000" w:themeColor="text1"/>
        </w:rPr>
        <w:t xml:space="preserve">further surveillance was undertaken </w:t>
      </w:r>
      <w:r w:rsidR="00C40DA4">
        <w:rPr>
          <w:color w:val="000000" w:themeColor="text1"/>
        </w:rPr>
        <w:t xml:space="preserve">to compare results against the baseline results </w:t>
      </w:r>
      <w:r w:rsidR="00016918">
        <w:rPr>
          <w:color w:val="000000" w:themeColor="text1"/>
        </w:rPr>
        <w:t xml:space="preserve">obtained in 2018. </w:t>
      </w:r>
    </w:p>
    <w:p w14:paraId="3C0AB761" w14:textId="4B92B01F" w:rsidR="003301B8" w:rsidRPr="00C12FFF" w:rsidRDefault="003301B8" w:rsidP="00671B3C">
      <w:pPr>
        <w:pStyle w:val="DHHSbody"/>
        <w:rPr>
          <w:color w:val="000000" w:themeColor="text1"/>
        </w:rPr>
      </w:pPr>
      <w:r w:rsidRPr="00C12FFF">
        <w:rPr>
          <w:color w:val="000000" w:themeColor="text1"/>
        </w:rPr>
        <w:t>O</w:t>
      </w:r>
      <w:r w:rsidR="00C12FFF" w:rsidRPr="00C12FFF">
        <w:rPr>
          <w:color w:val="000000" w:themeColor="text1"/>
        </w:rPr>
        <w:t>v</w:t>
      </w:r>
      <w:r w:rsidRPr="00C12FFF">
        <w:rPr>
          <w:color w:val="000000" w:themeColor="text1"/>
        </w:rPr>
        <w:t xml:space="preserve">er the course of 2018 and 2019, </w:t>
      </w:r>
      <w:r w:rsidR="00510115">
        <w:rPr>
          <w:color w:val="000000" w:themeColor="text1"/>
        </w:rPr>
        <w:t>o</w:t>
      </w:r>
      <w:r w:rsidR="00510115">
        <w:t xml:space="preserve">fficers of the Food Safety Unit visited thirty-two (32) different food business chains or franchises that are captured by the kJ labelling scheme. </w:t>
      </w:r>
      <w:r w:rsidR="00AA4D15">
        <w:t>In total, one hundred and ten (110) premises were visited to check compliance</w:t>
      </w:r>
      <w:r w:rsidR="00F04D6B">
        <w:t xml:space="preserve"> </w:t>
      </w:r>
      <w:r w:rsidR="00920CB7">
        <w:t xml:space="preserve">over </w:t>
      </w:r>
      <w:r w:rsidR="00F04D6B">
        <w:t>that period.</w:t>
      </w:r>
      <w:r w:rsidR="008537D9">
        <w:t xml:space="preserve"> </w:t>
      </w:r>
    </w:p>
    <w:p w14:paraId="0229D5D7" w14:textId="32A887DB" w:rsidR="00671B3C" w:rsidRDefault="00671B3C" w:rsidP="00671B3C">
      <w:pPr>
        <w:pStyle w:val="DHHSbody"/>
        <w:rPr>
          <w:color w:val="000000" w:themeColor="text1"/>
        </w:rPr>
      </w:pPr>
      <w:r w:rsidRPr="000D6CC5">
        <w:rPr>
          <w:color w:val="000000" w:themeColor="text1"/>
        </w:rPr>
        <w:t xml:space="preserve">It was observed that some food businesses that are not captured by the scheme are also voluntarily displaying kJ information. These businesses are not subject to analysis as they do not need to comply with any of Part ІІA of the Act. </w:t>
      </w:r>
      <w:r w:rsidR="00927742">
        <w:rPr>
          <w:color w:val="000000" w:themeColor="text1"/>
        </w:rPr>
        <w:t xml:space="preserve">Food </w:t>
      </w:r>
      <w:r w:rsidR="00452355" w:rsidRPr="000D6CC5">
        <w:rPr>
          <w:color w:val="000000" w:themeColor="text1"/>
        </w:rPr>
        <w:t>businesses</w:t>
      </w:r>
      <w:r w:rsidR="00452355">
        <w:rPr>
          <w:color w:val="000000" w:themeColor="text1"/>
        </w:rPr>
        <w:t xml:space="preserve"> displaying kJ </w:t>
      </w:r>
      <w:r w:rsidR="00452355" w:rsidRPr="000D6CC5">
        <w:rPr>
          <w:color w:val="000000" w:themeColor="text1"/>
        </w:rPr>
        <w:t>information</w:t>
      </w:r>
      <w:r w:rsidR="00452355">
        <w:rPr>
          <w:color w:val="000000" w:themeColor="text1"/>
        </w:rPr>
        <w:t xml:space="preserve"> </w:t>
      </w:r>
      <w:r w:rsidR="00452355" w:rsidRPr="000D6CC5">
        <w:rPr>
          <w:color w:val="000000" w:themeColor="text1"/>
        </w:rPr>
        <w:t>voluntarily</w:t>
      </w:r>
      <w:r w:rsidR="00452355">
        <w:rPr>
          <w:color w:val="000000" w:themeColor="text1"/>
        </w:rPr>
        <w:t xml:space="preserve"> </w:t>
      </w:r>
      <w:r w:rsidR="00B736A5">
        <w:rPr>
          <w:color w:val="000000" w:themeColor="text1"/>
        </w:rPr>
        <w:t>are</w:t>
      </w:r>
      <w:r w:rsidR="0076432A">
        <w:rPr>
          <w:color w:val="000000" w:themeColor="text1"/>
        </w:rPr>
        <w:t xml:space="preserve"> </w:t>
      </w:r>
      <w:r w:rsidR="00452355">
        <w:rPr>
          <w:color w:val="000000" w:themeColor="text1"/>
        </w:rPr>
        <w:t xml:space="preserve">not within the scope of this report. </w:t>
      </w:r>
    </w:p>
    <w:p w14:paraId="19FD452A" w14:textId="77777777" w:rsidR="00EE4F65" w:rsidRPr="00EE4F65" w:rsidRDefault="00EE4F65" w:rsidP="00671B3C">
      <w:pPr>
        <w:pStyle w:val="DHHSbody"/>
        <w:rPr>
          <w:color w:val="000000" w:themeColor="text1"/>
        </w:rPr>
      </w:pPr>
      <w:r w:rsidRPr="00EE4F65">
        <w:rPr>
          <w:color w:val="000000" w:themeColor="text1"/>
        </w:rPr>
        <w:t>In the first year, o</w:t>
      </w:r>
      <w:r w:rsidR="00671B3C" w:rsidRPr="00EE4F65">
        <w:rPr>
          <w:color w:val="000000" w:themeColor="text1"/>
        </w:rPr>
        <w:t xml:space="preserve">ver 80 per cent of the menu boards in large chain food businesses captured by the scheme displayed the kJ content of standard food items. </w:t>
      </w:r>
      <w:r w:rsidRPr="00EE4F65">
        <w:rPr>
          <w:color w:val="000000" w:themeColor="text1"/>
        </w:rPr>
        <w:t xml:space="preserve">In 2019, 100 per cent of food premises that were visited were displaying kJ information which is a </w:t>
      </w:r>
      <w:r w:rsidR="00671B3C" w:rsidRPr="00EE4F65">
        <w:rPr>
          <w:color w:val="000000" w:themeColor="text1"/>
        </w:rPr>
        <w:t>very good result</w:t>
      </w:r>
      <w:r w:rsidRPr="00EE4F65">
        <w:rPr>
          <w:color w:val="000000" w:themeColor="text1"/>
        </w:rPr>
        <w:t xml:space="preserve">. </w:t>
      </w:r>
    </w:p>
    <w:p w14:paraId="24532E9C" w14:textId="77777777" w:rsidR="00EE4F65" w:rsidRPr="00EE4F65" w:rsidRDefault="00EE4F65" w:rsidP="00EE4F65">
      <w:pPr>
        <w:pStyle w:val="DHHSbullet1lastline"/>
        <w:numPr>
          <w:ilvl w:val="0"/>
          <w:numId w:val="0"/>
        </w:numPr>
        <w:rPr>
          <w:color w:val="000000" w:themeColor="text1"/>
        </w:rPr>
      </w:pPr>
      <w:r w:rsidRPr="00EE4F65">
        <w:rPr>
          <w:color w:val="000000" w:themeColor="text1"/>
        </w:rPr>
        <w:t>There were minor issues related to the size</w:t>
      </w:r>
      <w:r w:rsidR="00D3680F">
        <w:rPr>
          <w:color w:val="000000" w:themeColor="text1"/>
        </w:rPr>
        <w:t xml:space="preserve"> and </w:t>
      </w:r>
      <w:r w:rsidRPr="00EE4F65">
        <w:rPr>
          <w:color w:val="000000" w:themeColor="text1"/>
        </w:rPr>
        <w:t xml:space="preserve">font of the kJ content and the reference statement labelling, but compliance was generally quite high. </w:t>
      </w:r>
    </w:p>
    <w:p w14:paraId="262FD2B1" w14:textId="7D421484" w:rsidR="00E1198F" w:rsidRPr="00DB2064" w:rsidRDefault="00671B3C" w:rsidP="00671B3C">
      <w:pPr>
        <w:pStyle w:val="DHHSbody"/>
        <w:rPr>
          <w:color w:val="000000" w:themeColor="text1"/>
        </w:rPr>
      </w:pPr>
      <w:r w:rsidRPr="00DB2064">
        <w:rPr>
          <w:color w:val="000000" w:themeColor="text1"/>
        </w:rPr>
        <w:t>In printed menus</w:t>
      </w:r>
      <w:r w:rsidR="00E1198F" w:rsidRPr="00DB2064">
        <w:rPr>
          <w:color w:val="000000" w:themeColor="text1"/>
        </w:rPr>
        <w:t xml:space="preserve"> and </w:t>
      </w:r>
      <w:r w:rsidRPr="00DB2064">
        <w:rPr>
          <w:color w:val="000000" w:themeColor="text1"/>
        </w:rPr>
        <w:t>posters, the kJ content of standard food items displayed in</w:t>
      </w:r>
      <w:r w:rsidR="00E1198F" w:rsidRPr="00DB2064">
        <w:rPr>
          <w:color w:val="000000" w:themeColor="text1"/>
        </w:rPr>
        <w:t xml:space="preserve">creased from </w:t>
      </w:r>
      <w:r w:rsidRPr="00DB2064">
        <w:rPr>
          <w:color w:val="000000" w:themeColor="text1"/>
        </w:rPr>
        <w:t>75 per</w:t>
      </w:r>
      <w:r w:rsidR="00DB2064" w:rsidRPr="00DB2064">
        <w:rPr>
          <w:color w:val="000000" w:themeColor="text1"/>
        </w:rPr>
        <w:t xml:space="preserve"> cent in</w:t>
      </w:r>
      <w:r w:rsidR="008537D9">
        <w:rPr>
          <w:color w:val="000000" w:themeColor="text1"/>
        </w:rPr>
        <w:t xml:space="preserve"> </w:t>
      </w:r>
      <w:r w:rsidR="00DB2064" w:rsidRPr="00DB2064">
        <w:rPr>
          <w:color w:val="000000" w:themeColor="text1"/>
        </w:rPr>
        <w:t>2018 to</w:t>
      </w:r>
      <w:r w:rsidRPr="00DB2064">
        <w:rPr>
          <w:color w:val="000000" w:themeColor="text1"/>
        </w:rPr>
        <w:t xml:space="preserve"> </w:t>
      </w:r>
      <w:r w:rsidR="00A2180A" w:rsidRPr="00DB2064">
        <w:rPr>
          <w:color w:val="000000" w:themeColor="text1"/>
        </w:rPr>
        <w:t>100 per cent</w:t>
      </w:r>
      <w:r w:rsidR="00DB2064" w:rsidRPr="00DB2064">
        <w:rPr>
          <w:color w:val="000000" w:themeColor="text1"/>
        </w:rPr>
        <w:t xml:space="preserve"> in 2019 for both. </w:t>
      </w:r>
    </w:p>
    <w:p w14:paraId="13B296BD" w14:textId="4BE5124E" w:rsidR="00950EC1" w:rsidRDefault="00B736A5" w:rsidP="00950EC1">
      <w:pPr>
        <w:pStyle w:val="DHHSbody"/>
        <w:rPr>
          <w:color w:val="00B050"/>
        </w:rPr>
      </w:pPr>
      <w:r>
        <w:rPr>
          <w:color w:val="000000" w:themeColor="text1"/>
        </w:rPr>
        <w:t>O</w:t>
      </w:r>
      <w:r w:rsidR="00950EC1" w:rsidRPr="00966489">
        <w:rPr>
          <w:color w:val="000000" w:themeColor="text1"/>
        </w:rPr>
        <w:t xml:space="preserve">n food tags and labels, the kJ content of standard food items displayed </w:t>
      </w:r>
      <w:r w:rsidR="00966489" w:rsidRPr="00966489">
        <w:rPr>
          <w:color w:val="000000" w:themeColor="text1"/>
        </w:rPr>
        <w:t>varied, most likely due to food tags and labels changing more frequently than the main menu board.</w:t>
      </w:r>
      <w:r w:rsidR="00966489">
        <w:rPr>
          <w:color w:val="000000" w:themeColor="text1"/>
        </w:rPr>
        <w:t xml:space="preserve"> </w:t>
      </w:r>
      <w:r w:rsidR="00CD79B6">
        <w:rPr>
          <w:color w:val="000000" w:themeColor="text1"/>
        </w:rPr>
        <w:t xml:space="preserve">The proportion </w:t>
      </w:r>
      <w:r w:rsidR="00F42287">
        <w:rPr>
          <w:color w:val="000000" w:themeColor="text1"/>
        </w:rPr>
        <w:t xml:space="preserve">that displayed the kJ information decreased slightly from 76.2 per cent in 2018 to 72.7 per cent in 2019. </w:t>
      </w:r>
    </w:p>
    <w:p w14:paraId="454D7A3F" w14:textId="77777777" w:rsidR="00ED7D3A" w:rsidRDefault="00F00276" w:rsidP="00F00276">
      <w:pPr>
        <w:pStyle w:val="DHHSbody"/>
        <w:rPr>
          <w:color w:val="000000" w:themeColor="text1"/>
        </w:rPr>
      </w:pPr>
      <w:r w:rsidRPr="00AA16A3">
        <w:rPr>
          <w:color w:val="000000" w:themeColor="text1"/>
        </w:rPr>
        <w:t xml:space="preserve">The </w:t>
      </w:r>
      <w:r w:rsidR="00ED7D3A" w:rsidRPr="00AA16A3">
        <w:rPr>
          <w:color w:val="000000" w:themeColor="text1"/>
        </w:rPr>
        <w:t>‘8,700 kJ reference statement’ being displayed on menu boards</w:t>
      </w:r>
      <w:r w:rsidRPr="00AA16A3">
        <w:rPr>
          <w:color w:val="000000" w:themeColor="text1"/>
        </w:rPr>
        <w:t xml:space="preserve"> increased from 65.4 per cent in 2018 to 100 per cent in 2019. </w:t>
      </w:r>
    </w:p>
    <w:p w14:paraId="48579575" w14:textId="77777777" w:rsidR="00ED7D3A" w:rsidRDefault="00436EA6" w:rsidP="00671B3C">
      <w:pPr>
        <w:pStyle w:val="DHHSbody"/>
        <w:rPr>
          <w:color w:val="00B050"/>
        </w:rPr>
      </w:pPr>
      <w:r w:rsidRPr="00436EA6">
        <w:rPr>
          <w:color w:val="000000" w:themeColor="text1"/>
        </w:rPr>
        <w:t xml:space="preserve">The </w:t>
      </w:r>
      <w:r w:rsidR="00ED7D3A" w:rsidRPr="00436EA6">
        <w:rPr>
          <w:color w:val="000000" w:themeColor="text1"/>
        </w:rPr>
        <w:t xml:space="preserve">‘8,700 kJ reference statement’ being displayed on food display cabinets </w:t>
      </w:r>
      <w:r>
        <w:rPr>
          <w:color w:val="000000" w:themeColor="text1"/>
        </w:rPr>
        <w:t xml:space="preserve">increased slightly from </w:t>
      </w:r>
      <w:r w:rsidR="00ED7D3A" w:rsidRPr="00436EA6">
        <w:rPr>
          <w:color w:val="000000" w:themeColor="text1"/>
        </w:rPr>
        <w:t>45.5 per cent</w:t>
      </w:r>
      <w:r>
        <w:rPr>
          <w:color w:val="000000" w:themeColor="text1"/>
        </w:rPr>
        <w:t xml:space="preserve"> in 2018 to 58.3 per cent in 2019. It must be noted that in </w:t>
      </w:r>
      <w:r w:rsidR="00ED7D3A" w:rsidRPr="00436EA6">
        <w:rPr>
          <w:color w:val="000000" w:themeColor="text1"/>
        </w:rPr>
        <w:t>most of these food premises, the reference statement was prominent on the main menu board</w:t>
      </w:r>
      <w:r>
        <w:rPr>
          <w:color w:val="000000" w:themeColor="text1"/>
        </w:rPr>
        <w:t xml:space="preserve">. </w:t>
      </w:r>
    </w:p>
    <w:p w14:paraId="630D89C9" w14:textId="2DFC0B8F" w:rsidR="00BD6B24" w:rsidRPr="00F2502C" w:rsidRDefault="00671B3C" w:rsidP="00671B3C">
      <w:pPr>
        <w:pStyle w:val="DHHSbody"/>
        <w:rPr>
          <w:color w:val="000000" w:themeColor="text1"/>
        </w:rPr>
      </w:pPr>
      <w:r w:rsidRPr="006A239F">
        <w:rPr>
          <w:color w:val="000000" w:themeColor="text1"/>
        </w:rPr>
        <w:t>Website compliance varied.</w:t>
      </w:r>
      <w:r w:rsidR="001762E7" w:rsidRPr="006A239F">
        <w:rPr>
          <w:color w:val="000000" w:themeColor="text1"/>
        </w:rPr>
        <w:t xml:space="preserve"> Over the </w:t>
      </w:r>
      <w:r w:rsidR="00F90E37" w:rsidRPr="006A239F">
        <w:rPr>
          <w:color w:val="000000" w:themeColor="text1"/>
        </w:rPr>
        <w:t xml:space="preserve">period between </w:t>
      </w:r>
      <w:r w:rsidR="006A239F" w:rsidRPr="006A239F">
        <w:rPr>
          <w:color w:val="000000" w:themeColor="text1"/>
        </w:rPr>
        <w:t>June 2018 and March 201</w:t>
      </w:r>
      <w:r w:rsidR="006A239F">
        <w:rPr>
          <w:color w:val="000000" w:themeColor="text1"/>
        </w:rPr>
        <w:t>9</w:t>
      </w:r>
      <w:r w:rsidR="006A239F" w:rsidRPr="006A239F">
        <w:rPr>
          <w:color w:val="000000" w:themeColor="text1"/>
        </w:rPr>
        <w:t>,</w:t>
      </w:r>
      <w:r w:rsidR="006A239F" w:rsidRPr="006A239F">
        <w:rPr>
          <w:color w:val="00B050"/>
        </w:rPr>
        <w:t xml:space="preserve"> </w:t>
      </w:r>
      <w:r w:rsidR="006A239F" w:rsidRPr="006A239F">
        <w:rPr>
          <w:color w:val="000000" w:themeColor="text1"/>
        </w:rPr>
        <w:t>a total of</w:t>
      </w:r>
      <w:r w:rsidR="006A239F">
        <w:rPr>
          <w:color w:val="000000" w:themeColor="text1"/>
        </w:rPr>
        <w:t xml:space="preserve"> one hundred and forty-one (141) websites were </w:t>
      </w:r>
      <w:r w:rsidR="00B736A5">
        <w:rPr>
          <w:color w:val="000000" w:themeColor="text1"/>
        </w:rPr>
        <w:t>reviewed</w:t>
      </w:r>
      <w:r w:rsidR="006A239F" w:rsidRPr="001C6763">
        <w:rPr>
          <w:color w:val="000000" w:themeColor="text1"/>
        </w:rPr>
        <w:t xml:space="preserve">. </w:t>
      </w:r>
      <w:r w:rsidRPr="001C6763">
        <w:rPr>
          <w:color w:val="000000" w:themeColor="text1"/>
        </w:rPr>
        <w:t>It was encouraging that</w:t>
      </w:r>
      <w:r w:rsidR="00076447" w:rsidRPr="001C6763">
        <w:rPr>
          <w:color w:val="000000" w:themeColor="text1"/>
        </w:rPr>
        <w:t xml:space="preserve"> 100 per cent of food business websites that provided nutrition/kJ information in PDF format displayed the kJ content for standard food </w:t>
      </w:r>
      <w:r w:rsidR="00076447" w:rsidRPr="00F2502C">
        <w:rPr>
          <w:color w:val="000000" w:themeColor="text1"/>
        </w:rPr>
        <w:t xml:space="preserve">items. </w:t>
      </w:r>
      <w:r w:rsidR="00BD6B24" w:rsidRPr="00F2502C">
        <w:rPr>
          <w:color w:val="000000" w:themeColor="text1"/>
        </w:rPr>
        <w:t xml:space="preserve">This was up from </w:t>
      </w:r>
      <w:r w:rsidRPr="00F2502C">
        <w:rPr>
          <w:color w:val="000000" w:themeColor="text1"/>
        </w:rPr>
        <w:t>94.4 per cent</w:t>
      </w:r>
      <w:r w:rsidR="00BD6B24" w:rsidRPr="00F2502C">
        <w:rPr>
          <w:color w:val="000000" w:themeColor="text1"/>
        </w:rPr>
        <w:t xml:space="preserve"> in 2018. </w:t>
      </w:r>
      <w:r w:rsidR="00902643" w:rsidRPr="00F2502C">
        <w:rPr>
          <w:color w:val="000000" w:themeColor="text1"/>
        </w:rPr>
        <w:t xml:space="preserve">This is very </w:t>
      </w:r>
      <w:r w:rsidR="002D59D9" w:rsidRPr="00F2502C">
        <w:rPr>
          <w:color w:val="000000" w:themeColor="text1"/>
        </w:rPr>
        <w:t>encouraging.</w:t>
      </w:r>
      <w:r w:rsidR="008537D9">
        <w:rPr>
          <w:color w:val="000000" w:themeColor="text1"/>
        </w:rPr>
        <w:t xml:space="preserve"> </w:t>
      </w:r>
    </w:p>
    <w:p w14:paraId="196BCD85" w14:textId="7E9D6D51" w:rsidR="00A87573" w:rsidRPr="00793663" w:rsidRDefault="00BD6B24" w:rsidP="00671B3C">
      <w:pPr>
        <w:pStyle w:val="DHHSbody"/>
        <w:rPr>
          <w:color w:val="000000" w:themeColor="text1"/>
        </w:rPr>
      </w:pPr>
      <w:r w:rsidRPr="00F2502C">
        <w:rPr>
          <w:color w:val="000000" w:themeColor="text1"/>
        </w:rPr>
        <w:t>I</w:t>
      </w:r>
      <w:r w:rsidR="00671B3C" w:rsidRPr="00F2502C">
        <w:rPr>
          <w:color w:val="000000" w:themeColor="text1"/>
        </w:rPr>
        <w:t>nteractive</w:t>
      </w:r>
      <w:r w:rsidR="00F2118D" w:rsidRPr="00F2502C">
        <w:rPr>
          <w:color w:val="000000" w:themeColor="text1"/>
        </w:rPr>
        <w:t xml:space="preserve"> on-line</w:t>
      </w:r>
      <w:r w:rsidR="00671B3C" w:rsidRPr="00F2502C">
        <w:rPr>
          <w:color w:val="000000" w:themeColor="text1"/>
        </w:rPr>
        <w:t xml:space="preserve"> menus </w:t>
      </w:r>
      <w:r w:rsidR="00F2118D" w:rsidRPr="00F2502C">
        <w:rPr>
          <w:color w:val="000000" w:themeColor="text1"/>
        </w:rPr>
        <w:t>on food business</w:t>
      </w:r>
      <w:r w:rsidR="00B736A5">
        <w:rPr>
          <w:color w:val="000000" w:themeColor="text1"/>
        </w:rPr>
        <w:t>es</w:t>
      </w:r>
      <w:r w:rsidR="00F2118D" w:rsidRPr="00F2502C">
        <w:rPr>
          <w:color w:val="000000" w:themeColor="text1"/>
        </w:rPr>
        <w:t xml:space="preserve">’ websites </w:t>
      </w:r>
      <w:r w:rsidR="00671B3C" w:rsidRPr="00F2502C">
        <w:rPr>
          <w:color w:val="000000" w:themeColor="text1"/>
        </w:rPr>
        <w:t xml:space="preserve">displayed the kJ content for standard food items in </w:t>
      </w:r>
      <w:r w:rsidR="00F2502C" w:rsidRPr="00793663">
        <w:rPr>
          <w:color w:val="000000" w:themeColor="text1"/>
        </w:rPr>
        <w:t xml:space="preserve">100 per cent of cases, up from </w:t>
      </w:r>
      <w:r w:rsidR="00671B3C" w:rsidRPr="00793663">
        <w:rPr>
          <w:color w:val="000000" w:themeColor="text1"/>
        </w:rPr>
        <w:t xml:space="preserve">75 per cent </w:t>
      </w:r>
      <w:r w:rsidR="00F2502C" w:rsidRPr="00793663">
        <w:rPr>
          <w:color w:val="000000" w:themeColor="text1"/>
        </w:rPr>
        <w:t>in 2018.</w:t>
      </w:r>
      <w:r w:rsidR="008537D9">
        <w:rPr>
          <w:color w:val="000000" w:themeColor="text1"/>
        </w:rPr>
        <w:t xml:space="preserve"> </w:t>
      </w:r>
    </w:p>
    <w:p w14:paraId="57B83790" w14:textId="395442E5" w:rsidR="00671B3C" w:rsidRPr="005547A3" w:rsidRDefault="00671B3C" w:rsidP="00671B3C">
      <w:pPr>
        <w:pStyle w:val="DHHSbody"/>
        <w:rPr>
          <w:color w:val="000000" w:themeColor="text1"/>
        </w:rPr>
      </w:pPr>
      <w:r w:rsidRPr="005547A3">
        <w:rPr>
          <w:color w:val="000000" w:themeColor="text1"/>
        </w:rPr>
        <w:t>The display of the ‘8,700 kJ reference statement’ on websites was not shown as frequently</w:t>
      </w:r>
      <w:r w:rsidR="00793663" w:rsidRPr="005547A3">
        <w:rPr>
          <w:color w:val="000000" w:themeColor="text1"/>
        </w:rPr>
        <w:t xml:space="preserve">. </w:t>
      </w:r>
      <w:r w:rsidR="0069440E" w:rsidRPr="005547A3">
        <w:rPr>
          <w:color w:val="000000" w:themeColor="text1"/>
        </w:rPr>
        <w:t xml:space="preserve">Online PDF menus displaying the reference statement increased from </w:t>
      </w:r>
      <w:r w:rsidRPr="005547A3">
        <w:rPr>
          <w:color w:val="000000" w:themeColor="text1"/>
        </w:rPr>
        <w:t>50 per cent</w:t>
      </w:r>
      <w:r w:rsidR="0069440E" w:rsidRPr="005547A3">
        <w:rPr>
          <w:color w:val="000000" w:themeColor="text1"/>
        </w:rPr>
        <w:t xml:space="preserve"> in 2018 to 60 per cent in 2019.</w:t>
      </w:r>
      <w:r w:rsidR="0071353A" w:rsidRPr="005547A3">
        <w:rPr>
          <w:color w:val="000000" w:themeColor="text1"/>
        </w:rPr>
        <w:t xml:space="preserve"> </w:t>
      </w:r>
    </w:p>
    <w:p w14:paraId="51387DC2" w14:textId="70970BC7" w:rsidR="00F615B2" w:rsidRPr="005547A3" w:rsidRDefault="00F919D9" w:rsidP="00671B3C">
      <w:pPr>
        <w:pStyle w:val="DHHSbody"/>
        <w:rPr>
          <w:color w:val="000000" w:themeColor="text1"/>
        </w:rPr>
      </w:pPr>
      <w:r>
        <w:rPr>
          <w:color w:val="000000" w:themeColor="text1"/>
        </w:rPr>
        <w:t>It was noted that food business</w:t>
      </w:r>
      <w:r w:rsidR="00B736A5">
        <w:rPr>
          <w:color w:val="000000" w:themeColor="text1"/>
        </w:rPr>
        <w:t>es</w:t>
      </w:r>
      <w:r>
        <w:rPr>
          <w:color w:val="000000" w:themeColor="text1"/>
        </w:rPr>
        <w:t>’ websites were constantly changing, most likely driven by the marketing division</w:t>
      </w:r>
      <w:r w:rsidR="00CE25D2">
        <w:rPr>
          <w:color w:val="000000" w:themeColor="text1"/>
        </w:rPr>
        <w:t>s</w:t>
      </w:r>
      <w:r>
        <w:rPr>
          <w:color w:val="000000" w:themeColor="text1"/>
        </w:rPr>
        <w:t xml:space="preserve"> of </w:t>
      </w:r>
      <w:r w:rsidR="00CE25D2">
        <w:rPr>
          <w:color w:val="000000" w:themeColor="text1"/>
        </w:rPr>
        <w:t xml:space="preserve">each </w:t>
      </w:r>
      <w:r>
        <w:rPr>
          <w:color w:val="000000" w:themeColor="text1"/>
        </w:rPr>
        <w:t xml:space="preserve">business. In some instances, the information and the way it was presented was different every time it was checked. </w:t>
      </w:r>
    </w:p>
    <w:p w14:paraId="7F3D4B46" w14:textId="0B39367B" w:rsidR="00730D50" w:rsidRDefault="00730D50" w:rsidP="006A177D">
      <w:pPr>
        <w:pStyle w:val="DHHSbody"/>
        <w:rPr>
          <w:color w:val="000000" w:themeColor="text1"/>
        </w:rPr>
      </w:pPr>
      <w:r w:rsidRPr="00A734E5">
        <w:rPr>
          <w:color w:val="000000" w:themeColor="text1"/>
        </w:rPr>
        <w:t xml:space="preserve">The </w:t>
      </w:r>
      <w:r w:rsidR="00DF0A7F" w:rsidRPr="00A734E5">
        <w:rPr>
          <w:color w:val="000000" w:themeColor="text1"/>
        </w:rPr>
        <w:t>kJ Sampling and Verification Program</w:t>
      </w:r>
      <w:r w:rsidR="00DF0A7F" w:rsidRPr="005547A3">
        <w:rPr>
          <w:color w:val="000000" w:themeColor="text1"/>
        </w:rPr>
        <w:t xml:space="preserve"> </w:t>
      </w:r>
      <w:r w:rsidRPr="005547A3">
        <w:rPr>
          <w:color w:val="000000" w:themeColor="text1"/>
        </w:rPr>
        <w:t xml:space="preserve">was </w:t>
      </w:r>
      <w:r w:rsidR="007145A2" w:rsidRPr="005547A3">
        <w:rPr>
          <w:color w:val="000000" w:themeColor="text1"/>
        </w:rPr>
        <w:t>established</w:t>
      </w:r>
      <w:r w:rsidRPr="005547A3">
        <w:rPr>
          <w:color w:val="000000" w:themeColor="text1"/>
        </w:rPr>
        <w:t xml:space="preserve"> to </w:t>
      </w:r>
      <w:r w:rsidR="007145A2" w:rsidRPr="005547A3">
        <w:rPr>
          <w:color w:val="000000" w:themeColor="text1"/>
        </w:rPr>
        <w:t xml:space="preserve">assess </w:t>
      </w:r>
      <w:r w:rsidRPr="005547A3">
        <w:rPr>
          <w:color w:val="000000" w:themeColor="text1"/>
        </w:rPr>
        <w:t xml:space="preserve">the kJ content of a sample of standardised food items purchased from large chain food premises that are required to comply with </w:t>
      </w:r>
      <w:r w:rsidR="001D4250" w:rsidRPr="005547A3">
        <w:rPr>
          <w:color w:val="000000" w:themeColor="text1"/>
        </w:rPr>
        <w:t>the scheme.</w:t>
      </w:r>
      <w:r w:rsidR="004665CF">
        <w:rPr>
          <w:color w:val="000000" w:themeColor="text1"/>
        </w:rPr>
        <w:t xml:space="preserve"> </w:t>
      </w:r>
    </w:p>
    <w:p w14:paraId="6D7DA76D" w14:textId="25DF6EFA" w:rsidR="00213EDF" w:rsidRDefault="001B65F6" w:rsidP="006A177D">
      <w:pPr>
        <w:pStyle w:val="DHHSbody"/>
        <w:rPr>
          <w:color w:val="000000" w:themeColor="text1"/>
        </w:rPr>
      </w:pPr>
      <w:r>
        <w:rPr>
          <w:color w:val="000000" w:themeColor="text1"/>
        </w:rPr>
        <w:t xml:space="preserve">In 2018, eight food business chains were targeted for </w:t>
      </w:r>
      <w:r w:rsidR="009036CC">
        <w:rPr>
          <w:color w:val="000000" w:themeColor="text1"/>
        </w:rPr>
        <w:t xml:space="preserve">food sampling and a total of seventy-four food (74) samples were collected. </w:t>
      </w:r>
      <w:r w:rsidR="00485BE8">
        <w:rPr>
          <w:color w:val="000000" w:themeColor="text1"/>
        </w:rPr>
        <w:t>Approximately 78 per cent of these samples were within the allowable tolerance</w:t>
      </w:r>
      <w:r w:rsidR="00733335">
        <w:rPr>
          <w:color w:val="000000" w:themeColor="text1"/>
        </w:rPr>
        <w:t xml:space="preserve"> limits.</w:t>
      </w:r>
      <w:r w:rsidR="008537D9">
        <w:rPr>
          <w:color w:val="000000" w:themeColor="text1"/>
        </w:rPr>
        <w:t xml:space="preserve"> </w:t>
      </w:r>
    </w:p>
    <w:p w14:paraId="088CE920" w14:textId="77777777" w:rsidR="009E3AEC" w:rsidRDefault="001B4EC5" w:rsidP="005A2CF9">
      <w:pPr>
        <w:pStyle w:val="DHHSbody"/>
        <w:rPr>
          <w:color w:val="000000" w:themeColor="text1"/>
        </w:rPr>
      </w:pPr>
      <w:r>
        <w:rPr>
          <w:color w:val="000000" w:themeColor="text1"/>
        </w:rPr>
        <w:t xml:space="preserve">In 2019, eleven </w:t>
      </w:r>
      <w:r w:rsidR="0008080D">
        <w:rPr>
          <w:color w:val="000000" w:themeColor="text1"/>
        </w:rPr>
        <w:t xml:space="preserve">food business chains were selected for the kJ sampling </w:t>
      </w:r>
      <w:r w:rsidR="009E3AEC">
        <w:rPr>
          <w:color w:val="000000" w:themeColor="text1"/>
        </w:rPr>
        <w:t>program, but</w:t>
      </w:r>
      <w:r w:rsidR="0008080D">
        <w:rPr>
          <w:color w:val="000000" w:themeColor="text1"/>
        </w:rPr>
        <w:t xml:space="preserve"> not all</w:t>
      </w:r>
      <w:r w:rsidR="002805EC">
        <w:rPr>
          <w:color w:val="000000" w:themeColor="text1"/>
        </w:rPr>
        <w:t xml:space="preserve"> of these were </w:t>
      </w:r>
      <w:r w:rsidR="0008080D">
        <w:rPr>
          <w:color w:val="000000" w:themeColor="text1"/>
        </w:rPr>
        <w:t xml:space="preserve">the same businesses as those selected in 2018. </w:t>
      </w:r>
      <w:r w:rsidR="002805EC">
        <w:rPr>
          <w:color w:val="000000" w:themeColor="text1"/>
        </w:rPr>
        <w:t xml:space="preserve">Seventy (70) food samples were collected for kJ analysis, with approximately 63 per cent </w:t>
      </w:r>
      <w:r w:rsidR="005A2CF9">
        <w:rPr>
          <w:color w:val="000000" w:themeColor="text1"/>
        </w:rPr>
        <w:t xml:space="preserve">of these food items within the allowable tolerance limits. </w:t>
      </w:r>
    </w:p>
    <w:p w14:paraId="20D83317" w14:textId="77777777" w:rsidR="005A2CF9" w:rsidRDefault="00133A57" w:rsidP="005A2CF9">
      <w:pPr>
        <w:pStyle w:val="DHHSbody"/>
        <w:rPr>
          <w:color w:val="000000" w:themeColor="text1"/>
        </w:rPr>
      </w:pPr>
      <w:r>
        <w:rPr>
          <w:color w:val="000000" w:themeColor="text1"/>
        </w:rPr>
        <w:t xml:space="preserve">The variability of the results obtained between 2018 and 2019 </w:t>
      </w:r>
      <w:r w:rsidR="002346BA">
        <w:rPr>
          <w:color w:val="000000" w:themeColor="text1"/>
        </w:rPr>
        <w:t xml:space="preserve">is most likely due to different </w:t>
      </w:r>
      <w:r w:rsidR="0056523F">
        <w:rPr>
          <w:color w:val="000000" w:themeColor="text1"/>
        </w:rPr>
        <w:t xml:space="preserve">food businesses </w:t>
      </w:r>
      <w:r w:rsidR="002346BA">
        <w:rPr>
          <w:color w:val="000000" w:themeColor="text1"/>
        </w:rPr>
        <w:t xml:space="preserve">being targeted and different food types being sampled. </w:t>
      </w:r>
      <w:r w:rsidR="004A147F">
        <w:rPr>
          <w:color w:val="000000" w:themeColor="text1"/>
        </w:rPr>
        <w:t xml:space="preserve">There did not appear to be any particular trend between </w:t>
      </w:r>
      <w:r w:rsidR="00445D43">
        <w:rPr>
          <w:color w:val="000000" w:themeColor="text1"/>
        </w:rPr>
        <w:t xml:space="preserve">food types. </w:t>
      </w:r>
      <w:r w:rsidR="008B3573">
        <w:rPr>
          <w:color w:val="000000" w:themeColor="text1"/>
        </w:rPr>
        <w:t xml:space="preserve">In future, a larger sample size </w:t>
      </w:r>
      <w:r w:rsidR="0037512E">
        <w:rPr>
          <w:color w:val="000000" w:themeColor="text1"/>
        </w:rPr>
        <w:t xml:space="preserve">may identify any particular trends. </w:t>
      </w:r>
    </w:p>
    <w:p w14:paraId="212CB141" w14:textId="77777777" w:rsidR="00C478A8" w:rsidRDefault="00C478A8" w:rsidP="005A2CF9">
      <w:pPr>
        <w:pStyle w:val="DHHSbody"/>
        <w:rPr>
          <w:color w:val="000000" w:themeColor="text1"/>
        </w:rPr>
      </w:pPr>
      <w:r>
        <w:rPr>
          <w:color w:val="000000" w:themeColor="text1"/>
        </w:rPr>
        <w:t xml:space="preserve">As mentioned previously, </w:t>
      </w:r>
      <w:r w:rsidR="00271C53">
        <w:rPr>
          <w:color w:val="000000" w:themeColor="text1"/>
        </w:rPr>
        <w:t xml:space="preserve">there was variation observed in the preparation and assembly of some ‘standard food items’, </w:t>
      </w:r>
      <w:r w:rsidR="005D531E">
        <w:rPr>
          <w:color w:val="000000" w:themeColor="text1"/>
        </w:rPr>
        <w:t xml:space="preserve">which would have an effect on the final kJ result. It is also questionable if some of the items were in fact standard food items due to the variability of the food items between stores of the same chain. </w:t>
      </w:r>
    </w:p>
    <w:p w14:paraId="4A98D16C" w14:textId="77777777" w:rsidR="000045DA" w:rsidRPr="00781288" w:rsidRDefault="000045DA" w:rsidP="000045DA">
      <w:pPr>
        <w:pStyle w:val="Heading4"/>
        <w:spacing w:before="60" w:after="60"/>
        <w:rPr>
          <w:color w:val="000000" w:themeColor="text1"/>
        </w:rPr>
      </w:pPr>
      <w:r w:rsidRPr="00781288">
        <w:rPr>
          <w:color w:val="000000" w:themeColor="text1"/>
        </w:rPr>
        <w:t xml:space="preserve">Recommendation 1: </w:t>
      </w:r>
    </w:p>
    <w:p w14:paraId="63A6E8A9" w14:textId="6DABC129" w:rsidR="000045DA" w:rsidRPr="00781288" w:rsidRDefault="00CE25D2" w:rsidP="0063264F">
      <w:pPr>
        <w:pStyle w:val="DHHSbody"/>
        <w:spacing w:before="60" w:after="60"/>
        <w:rPr>
          <w:color w:val="000000" w:themeColor="text1"/>
        </w:rPr>
      </w:pPr>
      <w:r>
        <w:rPr>
          <w:color w:val="000000" w:themeColor="text1"/>
        </w:rPr>
        <w:t>Subject to budget availability, c</w:t>
      </w:r>
      <w:r w:rsidR="000045DA" w:rsidRPr="00781288">
        <w:rPr>
          <w:color w:val="000000" w:themeColor="text1"/>
        </w:rPr>
        <w:t xml:space="preserve">onduct further menu board surveillance in chain food businesses in the next twelve months to determine whether there has been an improvement in the kJ content labelling and the display of the ‘8700 kJ reference statement’. </w:t>
      </w:r>
    </w:p>
    <w:p w14:paraId="15387FBA" w14:textId="77777777" w:rsidR="000045DA" w:rsidRPr="00781288" w:rsidRDefault="000045DA" w:rsidP="000045DA">
      <w:pPr>
        <w:pStyle w:val="Heading4"/>
        <w:spacing w:before="60" w:after="60"/>
        <w:rPr>
          <w:color w:val="000000" w:themeColor="text1"/>
        </w:rPr>
      </w:pPr>
      <w:r w:rsidRPr="00781288">
        <w:rPr>
          <w:color w:val="000000" w:themeColor="text1"/>
        </w:rPr>
        <w:t xml:space="preserve">Recommendation 2: </w:t>
      </w:r>
    </w:p>
    <w:p w14:paraId="3388BE5D" w14:textId="2DE6EF28" w:rsidR="00B017C6" w:rsidRDefault="00CE25D2" w:rsidP="0063264F">
      <w:pPr>
        <w:pStyle w:val="DHHSbody"/>
        <w:rPr>
          <w:color w:val="000000" w:themeColor="text1"/>
        </w:rPr>
      </w:pPr>
      <w:r>
        <w:rPr>
          <w:color w:val="000000" w:themeColor="text1"/>
        </w:rPr>
        <w:t xml:space="preserve">Subject to budget availability, </w:t>
      </w:r>
      <w:r w:rsidR="00336789">
        <w:rPr>
          <w:color w:val="000000" w:themeColor="text1"/>
        </w:rPr>
        <w:t>c</w:t>
      </w:r>
      <w:r w:rsidR="00781288" w:rsidRPr="00781288">
        <w:rPr>
          <w:color w:val="000000" w:themeColor="text1"/>
        </w:rPr>
        <w:t>onduct f</w:t>
      </w:r>
      <w:r w:rsidR="0063264F" w:rsidRPr="00781288">
        <w:rPr>
          <w:color w:val="000000" w:themeColor="text1"/>
        </w:rPr>
        <w:t>urther food sampling</w:t>
      </w:r>
      <w:r w:rsidR="00781288" w:rsidRPr="00781288">
        <w:rPr>
          <w:color w:val="000000" w:themeColor="text1"/>
        </w:rPr>
        <w:t xml:space="preserve"> in future</w:t>
      </w:r>
      <w:r>
        <w:rPr>
          <w:color w:val="000000" w:themeColor="text1"/>
        </w:rPr>
        <w:t>,</w:t>
      </w:r>
      <w:r w:rsidR="00781288" w:rsidRPr="00781288">
        <w:rPr>
          <w:color w:val="000000" w:themeColor="text1"/>
        </w:rPr>
        <w:t xml:space="preserve"> preferably with a larger sample size, </w:t>
      </w:r>
      <w:r w:rsidR="0063264F" w:rsidRPr="00781288">
        <w:rPr>
          <w:color w:val="000000" w:themeColor="text1"/>
        </w:rPr>
        <w:t>to determine if there has been an improvement in the accuracy of labelling of kJ content in standard food items</w:t>
      </w:r>
      <w:r w:rsidR="00A72B8A">
        <w:rPr>
          <w:color w:val="000000" w:themeColor="text1"/>
        </w:rPr>
        <w:t>, and to identify any trends.</w:t>
      </w:r>
      <w:r w:rsidR="0076432A">
        <w:rPr>
          <w:color w:val="000000" w:themeColor="text1"/>
        </w:rPr>
        <w:t xml:space="preserve"> </w:t>
      </w:r>
    </w:p>
    <w:p w14:paraId="1FFBCDAE" w14:textId="340AF46F" w:rsidR="00B017C6" w:rsidRPr="00B017C6" w:rsidRDefault="00B017C6" w:rsidP="00B017C6">
      <w:pPr>
        <w:pStyle w:val="Heading4"/>
        <w:spacing w:before="60" w:after="60"/>
        <w:rPr>
          <w:color w:val="000000" w:themeColor="text1"/>
        </w:rPr>
      </w:pPr>
      <w:r w:rsidRPr="00B017C6">
        <w:rPr>
          <w:color w:val="000000" w:themeColor="text1"/>
        </w:rPr>
        <w:t>Recommendation 3:</w:t>
      </w:r>
      <w:r w:rsidR="008537D9">
        <w:rPr>
          <w:color w:val="000000" w:themeColor="text1"/>
        </w:rPr>
        <w:t xml:space="preserve"> </w:t>
      </w:r>
    </w:p>
    <w:p w14:paraId="1A0E4229" w14:textId="77777777" w:rsidR="004B542D" w:rsidRPr="00B017C6" w:rsidRDefault="004B542D" w:rsidP="00B017C6">
      <w:pPr>
        <w:pStyle w:val="DHHSbody"/>
        <w:rPr>
          <w:color w:val="000000" w:themeColor="text1"/>
        </w:rPr>
      </w:pPr>
      <w:r w:rsidRPr="00B017C6">
        <w:rPr>
          <w:color w:val="000000" w:themeColor="text1"/>
        </w:rPr>
        <w:t xml:space="preserve">The </w:t>
      </w:r>
      <w:r w:rsidR="001766F3">
        <w:rPr>
          <w:color w:val="000000" w:themeColor="text1"/>
        </w:rPr>
        <w:t>D</w:t>
      </w:r>
      <w:r w:rsidRPr="00B017C6">
        <w:rPr>
          <w:color w:val="000000" w:themeColor="text1"/>
        </w:rPr>
        <w:t xml:space="preserve">epartment </w:t>
      </w:r>
      <w:r w:rsidR="001766F3">
        <w:rPr>
          <w:color w:val="000000" w:themeColor="text1"/>
        </w:rPr>
        <w:t xml:space="preserve">of Health and Human Services to </w:t>
      </w:r>
      <w:r w:rsidRPr="00B017C6">
        <w:rPr>
          <w:color w:val="000000" w:themeColor="text1"/>
        </w:rPr>
        <w:t>provide further support to food businesses if required</w:t>
      </w:r>
      <w:r w:rsidR="001766F3">
        <w:rPr>
          <w:color w:val="000000" w:themeColor="text1"/>
        </w:rPr>
        <w:t xml:space="preserve"> in future,</w:t>
      </w:r>
      <w:r w:rsidRPr="00B017C6">
        <w:rPr>
          <w:color w:val="000000" w:themeColor="text1"/>
        </w:rPr>
        <w:t xml:space="preserve"> so that they can improve their kJ menu labelling compliance. </w:t>
      </w:r>
    </w:p>
    <w:p w14:paraId="300CF058" w14:textId="77777777" w:rsidR="004B542D" w:rsidRDefault="004B542D" w:rsidP="0063264F">
      <w:pPr>
        <w:pStyle w:val="DHHSbody"/>
        <w:rPr>
          <w:color w:val="0070C0"/>
        </w:rPr>
      </w:pPr>
    </w:p>
    <w:p w14:paraId="7B6D2473" w14:textId="77777777" w:rsidR="004B542D" w:rsidRPr="00671B3C" w:rsidRDefault="004B542D" w:rsidP="0063264F">
      <w:pPr>
        <w:pStyle w:val="DHHSbody"/>
        <w:rPr>
          <w:color w:val="0070C0"/>
        </w:rPr>
      </w:pPr>
    </w:p>
    <w:p w14:paraId="251C50BB" w14:textId="77777777" w:rsidR="0063264F" w:rsidRPr="00671B3C" w:rsidRDefault="0063264F" w:rsidP="000045DA">
      <w:pPr>
        <w:pStyle w:val="DHHSbody"/>
        <w:spacing w:before="60" w:after="60"/>
        <w:rPr>
          <w:color w:val="00B050"/>
        </w:rPr>
      </w:pPr>
    </w:p>
    <w:p w14:paraId="4A51E0A3" w14:textId="77777777" w:rsidR="000045DA" w:rsidRPr="00671B3C" w:rsidRDefault="000045DA" w:rsidP="006A177D">
      <w:pPr>
        <w:pStyle w:val="DHHSbody"/>
        <w:rPr>
          <w:color w:val="0070C0"/>
        </w:rPr>
      </w:pPr>
    </w:p>
    <w:sectPr w:rsidR="000045DA" w:rsidRPr="00671B3C" w:rsidSect="00120060">
      <w:headerReference w:type="even" r:id="rId25"/>
      <w:headerReference w:type="default" r:id="rId26"/>
      <w:footerReference w:type="even" r:id="rId27"/>
      <w:footerReference w:type="default" r:id="rId28"/>
      <w:footerReference w:type="first" r:id="rId29"/>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41E7" w14:textId="77777777" w:rsidR="008537D9" w:rsidRDefault="008537D9">
      <w:r>
        <w:separator/>
      </w:r>
    </w:p>
  </w:endnote>
  <w:endnote w:type="continuationSeparator" w:id="0">
    <w:p w14:paraId="1D0E1250" w14:textId="77777777" w:rsidR="008537D9" w:rsidRDefault="0085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2B9A" w14:textId="77777777" w:rsidR="008537D9" w:rsidRPr="008114D1" w:rsidRDefault="008537D9" w:rsidP="00E969B1">
    <w:pPr>
      <w:pStyle w:val="DHHSfooter"/>
    </w:pPr>
    <w:r>
      <w:t xml:space="preserve">Page </w:t>
    </w:r>
    <w:r w:rsidRPr="005A39EC">
      <w:fldChar w:fldCharType="begin"/>
    </w:r>
    <w:r w:rsidRPr="005A39EC">
      <w:instrText xml:space="preserve"> PAGE </w:instrText>
    </w:r>
    <w:r w:rsidRPr="005A39EC">
      <w:fldChar w:fldCharType="separate"/>
    </w:r>
    <w:r>
      <w:rPr>
        <w:noProof/>
      </w:rPr>
      <w:t>8</w:t>
    </w:r>
    <w:r w:rsidRPr="005A39EC">
      <w:fldChar w:fldCharType="end"/>
    </w:r>
    <w:r>
      <w:tab/>
      <w:t>Kilojoule labelling scheme (Victoria) – 2018 /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1558" w14:textId="77777777" w:rsidR="008537D9" w:rsidRPr="0031753A" w:rsidRDefault="008537D9" w:rsidP="00091727">
    <w:pPr>
      <w:pStyle w:val="DHHSfooter"/>
    </w:pPr>
    <w:r>
      <w:t>Kilojoule labelling scheme (Victoria) – 2018 / 2019</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1A50" w14:textId="77777777" w:rsidR="008537D9" w:rsidRPr="001A7E04" w:rsidRDefault="008537D9"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9719" w14:textId="77777777" w:rsidR="008537D9" w:rsidRDefault="008537D9">
      <w:r>
        <w:separator/>
      </w:r>
    </w:p>
  </w:footnote>
  <w:footnote w:type="continuationSeparator" w:id="0">
    <w:p w14:paraId="28268655" w14:textId="77777777" w:rsidR="008537D9" w:rsidRDefault="0085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4A76" w14:textId="3D5ED9DF" w:rsidR="008537D9" w:rsidRPr="006821A8" w:rsidRDefault="008537D9" w:rsidP="00850BCE">
    <w:pPr>
      <w:pStyle w:val="Header"/>
      <w:jc w:val="cent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A62E" w14:textId="4721D102" w:rsidR="008537D9" w:rsidRPr="008537D9" w:rsidRDefault="008537D9" w:rsidP="0085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8BF"/>
    <w:multiLevelType w:val="hybridMultilevel"/>
    <w:tmpl w:val="0BF8A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F1EAB"/>
    <w:multiLevelType w:val="hybridMultilevel"/>
    <w:tmpl w:val="CE06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86986"/>
    <w:multiLevelType w:val="hybridMultilevel"/>
    <w:tmpl w:val="1A62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51B47"/>
    <w:multiLevelType w:val="multilevel"/>
    <w:tmpl w:val="4B4E7622"/>
    <w:numStyleLink w:val="ZZNumbers"/>
  </w:abstractNum>
  <w:abstractNum w:abstractNumId="4" w15:restartNumberingAfterBreak="0">
    <w:nsid w:val="2B744016"/>
    <w:multiLevelType w:val="hybridMultilevel"/>
    <w:tmpl w:val="951CE6CC"/>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42614687"/>
    <w:multiLevelType w:val="hybridMultilevel"/>
    <w:tmpl w:val="D91A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6104B3"/>
    <w:multiLevelType w:val="hybridMultilevel"/>
    <w:tmpl w:val="0576D984"/>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15:restartNumberingAfterBreak="0">
    <w:nsid w:val="47D44435"/>
    <w:multiLevelType w:val="hybridMultilevel"/>
    <w:tmpl w:val="E2C2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6F58B3"/>
    <w:multiLevelType w:val="hybridMultilevel"/>
    <w:tmpl w:val="1E1C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BA10AD4"/>
    <w:multiLevelType w:val="hybridMultilevel"/>
    <w:tmpl w:val="1680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577A34"/>
    <w:multiLevelType w:val="hybridMultilevel"/>
    <w:tmpl w:val="BB30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7B76FF"/>
    <w:multiLevelType w:val="hybridMultilevel"/>
    <w:tmpl w:val="F028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0C77A4"/>
    <w:multiLevelType w:val="hybridMultilevel"/>
    <w:tmpl w:val="201E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
  </w:num>
  <w:num w:numId="18">
    <w:abstractNumId w:val="8"/>
  </w:num>
  <w:num w:numId="19">
    <w:abstractNumId w:val="6"/>
  </w:num>
  <w:num w:numId="20">
    <w:abstractNumId w:val="11"/>
  </w:num>
  <w:num w:numId="21">
    <w:abstractNumId w:val="7"/>
  </w:num>
  <w:num w:numId="22">
    <w:abstractNumId w:val="13"/>
  </w:num>
  <w:num w:numId="23">
    <w:abstractNumId w:val="4"/>
  </w:num>
  <w:num w:numId="24">
    <w:abstractNumId w:val="9"/>
  </w:num>
  <w:num w:numId="25">
    <w:abstractNumId w:val="0"/>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3C"/>
    <w:rsid w:val="00002990"/>
    <w:rsid w:val="000030E0"/>
    <w:rsid w:val="000045DA"/>
    <w:rsid w:val="000048AC"/>
    <w:rsid w:val="00012ABF"/>
    <w:rsid w:val="00014AB9"/>
    <w:rsid w:val="00014FB5"/>
    <w:rsid w:val="00014FC4"/>
    <w:rsid w:val="00016220"/>
    <w:rsid w:val="00016918"/>
    <w:rsid w:val="00020AAB"/>
    <w:rsid w:val="000223A4"/>
    <w:rsid w:val="00022E60"/>
    <w:rsid w:val="00023B50"/>
    <w:rsid w:val="00023BC1"/>
    <w:rsid w:val="00024AD0"/>
    <w:rsid w:val="00026BE8"/>
    <w:rsid w:val="00026C19"/>
    <w:rsid w:val="000303CA"/>
    <w:rsid w:val="00031263"/>
    <w:rsid w:val="000337AC"/>
    <w:rsid w:val="00034AC8"/>
    <w:rsid w:val="000353C4"/>
    <w:rsid w:val="000406F5"/>
    <w:rsid w:val="00041B3F"/>
    <w:rsid w:val="000439A3"/>
    <w:rsid w:val="00051272"/>
    <w:rsid w:val="00060E93"/>
    <w:rsid w:val="000648B8"/>
    <w:rsid w:val="00064936"/>
    <w:rsid w:val="00072495"/>
    <w:rsid w:val="00072D22"/>
    <w:rsid w:val="000734F8"/>
    <w:rsid w:val="000736B8"/>
    <w:rsid w:val="00075661"/>
    <w:rsid w:val="00076447"/>
    <w:rsid w:val="0008065E"/>
    <w:rsid w:val="0008080D"/>
    <w:rsid w:val="000817CB"/>
    <w:rsid w:val="00084A2E"/>
    <w:rsid w:val="000873EF"/>
    <w:rsid w:val="0009064B"/>
    <w:rsid w:val="00090E18"/>
    <w:rsid w:val="00090F19"/>
    <w:rsid w:val="00091727"/>
    <w:rsid w:val="000920D9"/>
    <w:rsid w:val="000928A5"/>
    <w:rsid w:val="000928DD"/>
    <w:rsid w:val="000929C7"/>
    <w:rsid w:val="00093080"/>
    <w:rsid w:val="00095523"/>
    <w:rsid w:val="0009630D"/>
    <w:rsid w:val="00096B4B"/>
    <w:rsid w:val="00097A19"/>
    <w:rsid w:val="00097CD4"/>
    <w:rsid w:val="000A1592"/>
    <w:rsid w:val="000A18E8"/>
    <w:rsid w:val="000B090D"/>
    <w:rsid w:val="000B3792"/>
    <w:rsid w:val="000B45D0"/>
    <w:rsid w:val="000B7AC1"/>
    <w:rsid w:val="000C076B"/>
    <w:rsid w:val="000C0D0D"/>
    <w:rsid w:val="000C37CE"/>
    <w:rsid w:val="000C511B"/>
    <w:rsid w:val="000C52AB"/>
    <w:rsid w:val="000C6242"/>
    <w:rsid w:val="000C68DB"/>
    <w:rsid w:val="000D0EBF"/>
    <w:rsid w:val="000D2C32"/>
    <w:rsid w:val="000D2DDC"/>
    <w:rsid w:val="000D4658"/>
    <w:rsid w:val="000D54A2"/>
    <w:rsid w:val="000D55F4"/>
    <w:rsid w:val="000D5D28"/>
    <w:rsid w:val="000D6432"/>
    <w:rsid w:val="000D6CC5"/>
    <w:rsid w:val="000E114E"/>
    <w:rsid w:val="000E1801"/>
    <w:rsid w:val="000E6F72"/>
    <w:rsid w:val="000F0478"/>
    <w:rsid w:val="000F0A50"/>
    <w:rsid w:val="000F7C5E"/>
    <w:rsid w:val="00100F4A"/>
    <w:rsid w:val="00101DB7"/>
    <w:rsid w:val="00103D5E"/>
    <w:rsid w:val="00104EA7"/>
    <w:rsid w:val="00105FAD"/>
    <w:rsid w:val="00110379"/>
    <w:rsid w:val="0011155B"/>
    <w:rsid w:val="00111A6A"/>
    <w:rsid w:val="00112E52"/>
    <w:rsid w:val="00113423"/>
    <w:rsid w:val="00113A9B"/>
    <w:rsid w:val="00116447"/>
    <w:rsid w:val="00120060"/>
    <w:rsid w:val="00121BF1"/>
    <w:rsid w:val="001222CA"/>
    <w:rsid w:val="001225DA"/>
    <w:rsid w:val="00122FE5"/>
    <w:rsid w:val="00124D45"/>
    <w:rsid w:val="001265F3"/>
    <w:rsid w:val="00126AAF"/>
    <w:rsid w:val="00127A8B"/>
    <w:rsid w:val="00133431"/>
    <w:rsid w:val="00133A57"/>
    <w:rsid w:val="00134BE5"/>
    <w:rsid w:val="001406E8"/>
    <w:rsid w:val="001412D1"/>
    <w:rsid w:val="001423E3"/>
    <w:rsid w:val="0014292F"/>
    <w:rsid w:val="00143870"/>
    <w:rsid w:val="001475EA"/>
    <w:rsid w:val="00147D30"/>
    <w:rsid w:val="001504F5"/>
    <w:rsid w:val="001517BD"/>
    <w:rsid w:val="001571D9"/>
    <w:rsid w:val="001578F5"/>
    <w:rsid w:val="00157F91"/>
    <w:rsid w:val="001613F5"/>
    <w:rsid w:val="00164A25"/>
    <w:rsid w:val="0016505D"/>
    <w:rsid w:val="001678FA"/>
    <w:rsid w:val="00171B57"/>
    <w:rsid w:val="0017248D"/>
    <w:rsid w:val="001727D6"/>
    <w:rsid w:val="00173626"/>
    <w:rsid w:val="0017614A"/>
    <w:rsid w:val="001762E7"/>
    <w:rsid w:val="001766F3"/>
    <w:rsid w:val="0017680E"/>
    <w:rsid w:val="0018043A"/>
    <w:rsid w:val="001817CD"/>
    <w:rsid w:val="0018235E"/>
    <w:rsid w:val="00182D74"/>
    <w:rsid w:val="00187590"/>
    <w:rsid w:val="0018768C"/>
    <w:rsid w:val="00190452"/>
    <w:rsid w:val="001922E9"/>
    <w:rsid w:val="00192BA0"/>
    <w:rsid w:val="00195C27"/>
    <w:rsid w:val="00197303"/>
    <w:rsid w:val="001A009E"/>
    <w:rsid w:val="001A0148"/>
    <w:rsid w:val="001A1150"/>
    <w:rsid w:val="001A17EA"/>
    <w:rsid w:val="001A1D17"/>
    <w:rsid w:val="001A22AA"/>
    <w:rsid w:val="001A55F7"/>
    <w:rsid w:val="001A7227"/>
    <w:rsid w:val="001A76DD"/>
    <w:rsid w:val="001A7A18"/>
    <w:rsid w:val="001B0B86"/>
    <w:rsid w:val="001B1565"/>
    <w:rsid w:val="001B166D"/>
    <w:rsid w:val="001B2297"/>
    <w:rsid w:val="001B28B5"/>
    <w:rsid w:val="001B2975"/>
    <w:rsid w:val="001B4882"/>
    <w:rsid w:val="001B4EC5"/>
    <w:rsid w:val="001B65F6"/>
    <w:rsid w:val="001C0E5C"/>
    <w:rsid w:val="001C122D"/>
    <w:rsid w:val="001C1E4D"/>
    <w:rsid w:val="001C249A"/>
    <w:rsid w:val="001C4FA5"/>
    <w:rsid w:val="001C54A1"/>
    <w:rsid w:val="001C61E8"/>
    <w:rsid w:val="001C6763"/>
    <w:rsid w:val="001C71C7"/>
    <w:rsid w:val="001D1B09"/>
    <w:rsid w:val="001D2A82"/>
    <w:rsid w:val="001D4250"/>
    <w:rsid w:val="001D569B"/>
    <w:rsid w:val="001D64B2"/>
    <w:rsid w:val="001E0EA3"/>
    <w:rsid w:val="001E2622"/>
    <w:rsid w:val="001E3880"/>
    <w:rsid w:val="001E4861"/>
    <w:rsid w:val="001E4995"/>
    <w:rsid w:val="001E748A"/>
    <w:rsid w:val="001E75EB"/>
    <w:rsid w:val="001E7A42"/>
    <w:rsid w:val="001F09DC"/>
    <w:rsid w:val="001F113E"/>
    <w:rsid w:val="001F28C6"/>
    <w:rsid w:val="001F3788"/>
    <w:rsid w:val="001F43E6"/>
    <w:rsid w:val="001F6C41"/>
    <w:rsid w:val="001F7333"/>
    <w:rsid w:val="00202B34"/>
    <w:rsid w:val="00205928"/>
    <w:rsid w:val="00207636"/>
    <w:rsid w:val="002117CB"/>
    <w:rsid w:val="00211AE5"/>
    <w:rsid w:val="00212A31"/>
    <w:rsid w:val="00213704"/>
    <w:rsid w:val="00213772"/>
    <w:rsid w:val="00213C22"/>
    <w:rsid w:val="00213EDF"/>
    <w:rsid w:val="002164E3"/>
    <w:rsid w:val="0021737C"/>
    <w:rsid w:val="00220749"/>
    <w:rsid w:val="00221F08"/>
    <w:rsid w:val="0022422C"/>
    <w:rsid w:val="0022724E"/>
    <w:rsid w:val="00230666"/>
    <w:rsid w:val="00231153"/>
    <w:rsid w:val="002311D3"/>
    <w:rsid w:val="0023252E"/>
    <w:rsid w:val="002346BA"/>
    <w:rsid w:val="002348A6"/>
    <w:rsid w:val="00237B13"/>
    <w:rsid w:val="00241C31"/>
    <w:rsid w:val="00241ECB"/>
    <w:rsid w:val="0024229C"/>
    <w:rsid w:val="002424E4"/>
    <w:rsid w:val="00245496"/>
    <w:rsid w:val="00245AF6"/>
    <w:rsid w:val="00246998"/>
    <w:rsid w:val="00251384"/>
    <w:rsid w:val="00252C54"/>
    <w:rsid w:val="00252CFD"/>
    <w:rsid w:val="00254CBD"/>
    <w:rsid w:val="00256BDB"/>
    <w:rsid w:val="0026084E"/>
    <w:rsid w:val="00265697"/>
    <w:rsid w:val="00265AE3"/>
    <w:rsid w:val="002679D5"/>
    <w:rsid w:val="002714FD"/>
    <w:rsid w:val="00271A13"/>
    <w:rsid w:val="00271C53"/>
    <w:rsid w:val="00271D8D"/>
    <w:rsid w:val="0027262D"/>
    <w:rsid w:val="00272C9D"/>
    <w:rsid w:val="00273D96"/>
    <w:rsid w:val="00274668"/>
    <w:rsid w:val="00275F94"/>
    <w:rsid w:val="002805EC"/>
    <w:rsid w:val="002817C9"/>
    <w:rsid w:val="00281B9C"/>
    <w:rsid w:val="00282F51"/>
    <w:rsid w:val="00284C9B"/>
    <w:rsid w:val="0029000E"/>
    <w:rsid w:val="002909E6"/>
    <w:rsid w:val="00292E54"/>
    <w:rsid w:val="0029429E"/>
    <w:rsid w:val="002951BD"/>
    <w:rsid w:val="002A141B"/>
    <w:rsid w:val="002A21CB"/>
    <w:rsid w:val="002A26B6"/>
    <w:rsid w:val="002A4C8F"/>
    <w:rsid w:val="002A4DDB"/>
    <w:rsid w:val="002A6A4E"/>
    <w:rsid w:val="002A77DE"/>
    <w:rsid w:val="002B29E9"/>
    <w:rsid w:val="002B5A85"/>
    <w:rsid w:val="002B5FB6"/>
    <w:rsid w:val="002B63A7"/>
    <w:rsid w:val="002C07AF"/>
    <w:rsid w:val="002C2851"/>
    <w:rsid w:val="002C297F"/>
    <w:rsid w:val="002C2A9C"/>
    <w:rsid w:val="002C42A9"/>
    <w:rsid w:val="002C4464"/>
    <w:rsid w:val="002C5543"/>
    <w:rsid w:val="002C787D"/>
    <w:rsid w:val="002D0F7F"/>
    <w:rsid w:val="002D221F"/>
    <w:rsid w:val="002D4F6F"/>
    <w:rsid w:val="002D59D9"/>
    <w:rsid w:val="002D7AF9"/>
    <w:rsid w:val="002D7F22"/>
    <w:rsid w:val="002E0198"/>
    <w:rsid w:val="002E0607"/>
    <w:rsid w:val="002E1D7C"/>
    <w:rsid w:val="002E3033"/>
    <w:rsid w:val="002E5A8F"/>
    <w:rsid w:val="002F044D"/>
    <w:rsid w:val="002F25B5"/>
    <w:rsid w:val="002F2611"/>
    <w:rsid w:val="002F2FA5"/>
    <w:rsid w:val="002F449B"/>
    <w:rsid w:val="002F4D86"/>
    <w:rsid w:val="002F4DBA"/>
    <w:rsid w:val="002F529F"/>
    <w:rsid w:val="002F5D69"/>
    <w:rsid w:val="002F7C77"/>
    <w:rsid w:val="003000A5"/>
    <w:rsid w:val="00300C94"/>
    <w:rsid w:val="00300CB3"/>
    <w:rsid w:val="00302373"/>
    <w:rsid w:val="0030394B"/>
    <w:rsid w:val="00304DC7"/>
    <w:rsid w:val="00304EC8"/>
    <w:rsid w:val="0030547A"/>
    <w:rsid w:val="003072C6"/>
    <w:rsid w:val="00310D8E"/>
    <w:rsid w:val="0031113B"/>
    <w:rsid w:val="0031172C"/>
    <w:rsid w:val="00315198"/>
    <w:rsid w:val="00315BBD"/>
    <w:rsid w:val="0031753A"/>
    <w:rsid w:val="00317903"/>
    <w:rsid w:val="00317F12"/>
    <w:rsid w:val="00320293"/>
    <w:rsid w:val="0032040D"/>
    <w:rsid w:val="00320E26"/>
    <w:rsid w:val="00322CC2"/>
    <w:rsid w:val="00324133"/>
    <w:rsid w:val="003271DC"/>
    <w:rsid w:val="00327D82"/>
    <w:rsid w:val="00327DA2"/>
    <w:rsid w:val="003301B8"/>
    <w:rsid w:val="003310D2"/>
    <w:rsid w:val="00331988"/>
    <w:rsid w:val="00332EE8"/>
    <w:rsid w:val="00332F8C"/>
    <w:rsid w:val="00333704"/>
    <w:rsid w:val="00334B54"/>
    <w:rsid w:val="003352F1"/>
    <w:rsid w:val="00336789"/>
    <w:rsid w:val="0033739E"/>
    <w:rsid w:val="0034160F"/>
    <w:rsid w:val="003427D5"/>
    <w:rsid w:val="00343733"/>
    <w:rsid w:val="0034468F"/>
    <w:rsid w:val="00344AE7"/>
    <w:rsid w:val="00344F21"/>
    <w:rsid w:val="003475F7"/>
    <w:rsid w:val="003478F1"/>
    <w:rsid w:val="00350394"/>
    <w:rsid w:val="0035449D"/>
    <w:rsid w:val="00355132"/>
    <w:rsid w:val="00355886"/>
    <w:rsid w:val="00356814"/>
    <w:rsid w:val="00360EAE"/>
    <w:rsid w:val="003637F6"/>
    <w:rsid w:val="00364304"/>
    <w:rsid w:val="0036486D"/>
    <w:rsid w:val="003704B9"/>
    <w:rsid w:val="0037512E"/>
    <w:rsid w:val="00377AE9"/>
    <w:rsid w:val="0038019F"/>
    <w:rsid w:val="00380E69"/>
    <w:rsid w:val="003810B6"/>
    <w:rsid w:val="00381428"/>
    <w:rsid w:val="00382071"/>
    <w:rsid w:val="003836C3"/>
    <w:rsid w:val="003841A6"/>
    <w:rsid w:val="00386BA4"/>
    <w:rsid w:val="00391F82"/>
    <w:rsid w:val="003928A7"/>
    <w:rsid w:val="00395191"/>
    <w:rsid w:val="003959DC"/>
    <w:rsid w:val="003A2F25"/>
    <w:rsid w:val="003A40AE"/>
    <w:rsid w:val="003A4D0A"/>
    <w:rsid w:val="003A7168"/>
    <w:rsid w:val="003A75EC"/>
    <w:rsid w:val="003B14F6"/>
    <w:rsid w:val="003B2807"/>
    <w:rsid w:val="003B3B39"/>
    <w:rsid w:val="003B7B47"/>
    <w:rsid w:val="003C0134"/>
    <w:rsid w:val="003C1328"/>
    <w:rsid w:val="003C25A7"/>
    <w:rsid w:val="003C3955"/>
    <w:rsid w:val="003C447D"/>
    <w:rsid w:val="003C68F2"/>
    <w:rsid w:val="003D009C"/>
    <w:rsid w:val="003D2A2C"/>
    <w:rsid w:val="003D4521"/>
    <w:rsid w:val="003D5533"/>
    <w:rsid w:val="003D5CFB"/>
    <w:rsid w:val="003D6B07"/>
    <w:rsid w:val="003E17FC"/>
    <w:rsid w:val="003E2636"/>
    <w:rsid w:val="003E2669"/>
    <w:rsid w:val="003E2E12"/>
    <w:rsid w:val="003E56A5"/>
    <w:rsid w:val="003E6230"/>
    <w:rsid w:val="003E688B"/>
    <w:rsid w:val="003F0ABF"/>
    <w:rsid w:val="003F146D"/>
    <w:rsid w:val="003F286D"/>
    <w:rsid w:val="003F31B7"/>
    <w:rsid w:val="003F39CE"/>
    <w:rsid w:val="003F3DBE"/>
    <w:rsid w:val="003F6301"/>
    <w:rsid w:val="003F6661"/>
    <w:rsid w:val="003F6F10"/>
    <w:rsid w:val="00401108"/>
    <w:rsid w:val="0040181E"/>
    <w:rsid w:val="00402036"/>
    <w:rsid w:val="00402927"/>
    <w:rsid w:val="00405F8C"/>
    <w:rsid w:val="00406DC4"/>
    <w:rsid w:val="00407993"/>
    <w:rsid w:val="004109F2"/>
    <w:rsid w:val="00411833"/>
    <w:rsid w:val="00412F64"/>
    <w:rsid w:val="00415A02"/>
    <w:rsid w:val="00415DD2"/>
    <w:rsid w:val="00417186"/>
    <w:rsid w:val="00417BEB"/>
    <w:rsid w:val="00420827"/>
    <w:rsid w:val="00425722"/>
    <w:rsid w:val="00426746"/>
    <w:rsid w:val="00426DF7"/>
    <w:rsid w:val="00432422"/>
    <w:rsid w:val="004324FF"/>
    <w:rsid w:val="00432A55"/>
    <w:rsid w:val="004335FB"/>
    <w:rsid w:val="00436D72"/>
    <w:rsid w:val="00436EA6"/>
    <w:rsid w:val="0043705C"/>
    <w:rsid w:val="004407B0"/>
    <w:rsid w:val="00441026"/>
    <w:rsid w:val="00441358"/>
    <w:rsid w:val="00442328"/>
    <w:rsid w:val="0044260A"/>
    <w:rsid w:val="004441EF"/>
    <w:rsid w:val="00444D82"/>
    <w:rsid w:val="00445AEC"/>
    <w:rsid w:val="00445D43"/>
    <w:rsid w:val="0044612A"/>
    <w:rsid w:val="00452186"/>
    <w:rsid w:val="00452355"/>
    <w:rsid w:val="00453FA7"/>
    <w:rsid w:val="0045452B"/>
    <w:rsid w:val="00455BB5"/>
    <w:rsid w:val="004564C6"/>
    <w:rsid w:val="0045651B"/>
    <w:rsid w:val="0046050D"/>
    <w:rsid w:val="004610CC"/>
    <w:rsid w:val="00461A88"/>
    <w:rsid w:val="00461CA1"/>
    <w:rsid w:val="00462D32"/>
    <w:rsid w:val="004635DA"/>
    <w:rsid w:val="00463FEB"/>
    <w:rsid w:val="00465464"/>
    <w:rsid w:val="00465E87"/>
    <w:rsid w:val="004665CF"/>
    <w:rsid w:val="00467618"/>
    <w:rsid w:val="004701B2"/>
    <w:rsid w:val="00474933"/>
    <w:rsid w:val="0047786A"/>
    <w:rsid w:val="00477A65"/>
    <w:rsid w:val="0048016A"/>
    <w:rsid w:val="00481A3F"/>
    <w:rsid w:val="00482DB3"/>
    <w:rsid w:val="00485BE8"/>
    <w:rsid w:val="004869F4"/>
    <w:rsid w:val="004873FF"/>
    <w:rsid w:val="004909F4"/>
    <w:rsid w:val="00490AF4"/>
    <w:rsid w:val="004923B4"/>
    <w:rsid w:val="00497766"/>
    <w:rsid w:val="00497CAA"/>
    <w:rsid w:val="004A0236"/>
    <w:rsid w:val="004A147F"/>
    <w:rsid w:val="004A369A"/>
    <w:rsid w:val="004A3B3E"/>
    <w:rsid w:val="004A5921"/>
    <w:rsid w:val="004A5ED9"/>
    <w:rsid w:val="004A623C"/>
    <w:rsid w:val="004A69AA"/>
    <w:rsid w:val="004A75D6"/>
    <w:rsid w:val="004B1FED"/>
    <w:rsid w:val="004B2386"/>
    <w:rsid w:val="004B4AC6"/>
    <w:rsid w:val="004B542D"/>
    <w:rsid w:val="004B5720"/>
    <w:rsid w:val="004B7413"/>
    <w:rsid w:val="004B7ADA"/>
    <w:rsid w:val="004C17CB"/>
    <w:rsid w:val="004C5777"/>
    <w:rsid w:val="004C7CBA"/>
    <w:rsid w:val="004D0173"/>
    <w:rsid w:val="004D0D2E"/>
    <w:rsid w:val="004D1056"/>
    <w:rsid w:val="004D10F5"/>
    <w:rsid w:val="004D3A01"/>
    <w:rsid w:val="004D4AA9"/>
    <w:rsid w:val="004D4C1D"/>
    <w:rsid w:val="004D787E"/>
    <w:rsid w:val="004E1251"/>
    <w:rsid w:val="004E1EDE"/>
    <w:rsid w:val="004E21E2"/>
    <w:rsid w:val="004E293F"/>
    <w:rsid w:val="004E34C7"/>
    <w:rsid w:val="004E380D"/>
    <w:rsid w:val="004E4792"/>
    <w:rsid w:val="004E66D4"/>
    <w:rsid w:val="004E7922"/>
    <w:rsid w:val="004F0DFC"/>
    <w:rsid w:val="004F3441"/>
    <w:rsid w:val="004F41B2"/>
    <w:rsid w:val="004F4AFC"/>
    <w:rsid w:val="004F52A5"/>
    <w:rsid w:val="004F7775"/>
    <w:rsid w:val="00500C8C"/>
    <w:rsid w:val="00501375"/>
    <w:rsid w:val="00501D3B"/>
    <w:rsid w:val="00501D73"/>
    <w:rsid w:val="005022C9"/>
    <w:rsid w:val="0050684E"/>
    <w:rsid w:val="0050779D"/>
    <w:rsid w:val="00510115"/>
    <w:rsid w:val="005110B5"/>
    <w:rsid w:val="005139EA"/>
    <w:rsid w:val="00515EAD"/>
    <w:rsid w:val="005162D8"/>
    <w:rsid w:val="00516632"/>
    <w:rsid w:val="005169C2"/>
    <w:rsid w:val="00520A16"/>
    <w:rsid w:val="00520A9C"/>
    <w:rsid w:val="00520BBB"/>
    <w:rsid w:val="0052114E"/>
    <w:rsid w:val="0052399A"/>
    <w:rsid w:val="00524D54"/>
    <w:rsid w:val="00524FD4"/>
    <w:rsid w:val="00525456"/>
    <w:rsid w:val="00530614"/>
    <w:rsid w:val="00532236"/>
    <w:rsid w:val="005378CB"/>
    <w:rsid w:val="00541ADD"/>
    <w:rsid w:val="00541DFE"/>
    <w:rsid w:val="00542707"/>
    <w:rsid w:val="00543E6C"/>
    <w:rsid w:val="00544184"/>
    <w:rsid w:val="005509AE"/>
    <w:rsid w:val="00553F91"/>
    <w:rsid w:val="005547A3"/>
    <w:rsid w:val="0055498B"/>
    <w:rsid w:val="005552FD"/>
    <w:rsid w:val="00555883"/>
    <w:rsid w:val="005600E5"/>
    <w:rsid w:val="005611EB"/>
    <w:rsid w:val="00564E8F"/>
    <w:rsid w:val="0056523F"/>
    <w:rsid w:val="00565D80"/>
    <w:rsid w:val="0057280A"/>
    <w:rsid w:val="005728A4"/>
    <w:rsid w:val="00573CF5"/>
    <w:rsid w:val="00574937"/>
    <w:rsid w:val="00574EE9"/>
    <w:rsid w:val="005763FC"/>
    <w:rsid w:val="00576EB4"/>
    <w:rsid w:val="00582768"/>
    <w:rsid w:val="00583461"/>
    <w:rsid w:val="005840E4"/>
    <w:rsid w:val="005855B4"/>
    <w:rsid w:val="005856A4"/>
    <w:rsid w:val="005856C7"/>
    <w:rsid w:val="00590730"/>
    <w:rsid w:val="00592B20"/>
    <w:rsid w:val="005A2CF9"/>
    <w:rsid w:val="005A2FC6"/>
    <w:rsid w:val="005A3051"/>
    <w:rsid w:val="005A53FE"/>
    <w:rsid w:val="005B0A33"/>
    <w:rsid w:val="005B3693"/>
    <w:rsid w:val="005B4F0B"/>
    <w:rsid w:val="005B664F"/>
    <w:rsid w:val="005B7850"/>
    <w:rsid w:val="005B7D22"/>
    <w:rsid w:val="005C029E"/>
    <w:rsid w:val="005C0D35"/>
    <w:rsid w:val="005C475C"/>
    <w:rsid w:val="005C6D4D"/>
    <w:rsid w:val="005C7479"/>
    <w:rsid w:val="005D0305"/>
    <w:rsid w:val="005D04A9"/>
    <w:rsid w:val="005D112F"/>
    <w:rsid w:val="005D16C8"/>
    <w:rsid w:val="005D1970"/>
    <w:rsid w:val="005D4627"/>
    <w:rsid w:val="005D531E"/>
    <w:rsid w:val="005D5D9F"/>
    <w:rsid w:val="005D66F3"/>
    <w:rsid w:val="005E02E8"/>
    <w:rsid w:val="005E085D"/>
    <w:rsid w:val="005E28A8"/>
    <w:rsid w:val="005E3FA7"/>
    <w:rsid w:val="005E419B"/>
    <w:rsid w:val="005E72D4"/>
    <w:rsid w:val="005E7963"/>
    <w:rsid w:val="005F0129"/>
    <w:rsid w:val="005F0938"/>
    <w:rsid w:val="005F218C"/>
    <w:rsid w:val="005F2718"/>
    <w:rsid w:val="005F3FE1"/>
    <w:rsid w:val="005F4523"/>
    <w:rsid w:val="005F6404"/>
    <w:rsid w:val="005F7EB0"/>
    <w:rsid w:val="00600C31"/>
    <w:rsid w:val="00601D4D"/>
    <w:rsid w:val="00602076"/>
    <w:rsid w:val="006021B4"/>
    <w:rsid w:val="006043A6"/>
    <w:rsid w:val="00604F3E"/>
    <w:rsid w:val="00605B5B"/>
    <w:rsid w:val="006062D8"/>
    <w:rsid w:val="00606827"/>
    <w:rsid w:val="00606A6D"/>
    <w:rsid w:val="00607816"/>
    <w:rsid w:val="00607C89"/>
    <w:rsid w:val="00610738"/>
    <w:rsid w:val="00613AD5"/>
    <w:rsid w:val="00614F04"/>
    <w:rsid w:val="00617340"/>
    <w:rsid w:val="006173DE"/>
    <w:rsid w:val="00620262"/>
    <w:rsid w:val="00621B4C"/>
    <w:rsid w:val="00626110"/>
    <w:rsid w:val="00626649"/>
    <w:rsid w:val="00627C52"/>
    <w:rsid w:val="00630937"/>
    <w:rsid w:val="00632342"/>
    <w:rsid w:val="0063264F"/>
    <w:rsid w:val="00633BC1"/>
    <w:rsid w:val="0063494A"/>
    <w:rsid w:val="006409A5"/>
    <w:rsid w:val="00642CC8"/>
    <w:rsid w:val="00642EAA"/>
    <w:rsid w:val="00643BA3"/>
    <w:rsid w:val="00650738"/>
    <w:rsid w:val="006530AE"/>
    <w:rsid w:val="0065321B"/>
    <w:rsid w:val="00653B84"/>
    <w:rsid w:val="00653E0D"/>
    <w:rsid w:val="00654F75"/>
    <w:rsid w:val="006556A7"/>
    <w:rsid w:val="00662333"/>
    <w:rsid w:val="00662C93"/>
    <w:rsid w:val="00663E6B"/>
    <w:rsid w:val="006640FD"/>
    <w:rsid w:val="0066709B"/>
    <w:rsid w:val="00671B3C"/>
    <w:rsid w:val="006774FA"/>
    <w:rsid w:val="00680962"/>
    <w:rsid w:val="006810D4"/>
    <w:rsid w:val="006821A8"/>
    <w:rsid w:val="006865C8"/>
    <w:rsid w:val="00686B48"/>
    <w:rsid w:val="00687038"/>
    <w:rsid w:val="0068714E"/>
    <w:rsid w:val="006871BE"/>
    <w:rsid w:val="00691C92"/>
    <w:rsid w:val="006921C5"/>
    <w:rsid w:val="006929F7"/>
    <w:rsid w:val="0069374A"/>
    <w:rsid w:val="0069440E"/>
    <w:rsid w:val="00694AB8"/>
    <w:rsid w:val="00695308"/>
    <w:rsid w:val="00695EF7"/>
    <w:rsid w:val="006963E4"/>
    <w:rsid w:val="0069699D"/>
    <w:rsid w:val="006A177D"/>
    <w:rsid w:val="006A2317"/>
    <w:rsid w:val="006A239F"/>
    <w:rsid w:val="006A244E"/>
    <w:rsid w:val="006A2642"/>
    <w:rsid w:val="006A41ED"/>
    <w:rsid w:val="006A5A9B"/>
    <w:rsid w:val="006A65BA"/>
    <w:rsid w:val="006B2C51"/>
    <w:rsid w:val="006B3403"/>
    <w:rsid w:val="006B487E"/>
    <w:rsid w:val="006B6361"/>
    <w:rsid w:val="006C01B8"/>
    <w:rsid w:val="006C07CB"/>
    <w:rsid w:val="006D360C"/>
    <w:rsid w:val="006D5AC9"/>
    <w:rsid w:val="006D66ED"/>
    <w:rsid w:val="006D777C"/>
    <w:rsid w:val="006E2373"/>
    <w:rsid w:val="006E3033"/>
    <w:rsid w:val="006E4B7A"/>
    <w:rsid w:val="006E786B"/>
    <w:rsid w:val="006F01ED"/>
    <w:rsid w:val="006F037F"/>
    <w:rsid w:val="006F5B48"/>
    <w:rsid w:val="006F5CC5"/>
    <w:rsid w:val="007002B1"/>
    <w:rsid w:val="0070266F"/>
    <w:rsid w:val="0070268A"/>
    <w:rsid w:val="007044C2"/>
    <w:rsid w:val="007046C3"/>
    <w:rsid w:val="00704EB7"/>
    <w:rsid w:val="00705742"/>
    <w:rsid w:val="0070664F"/>
    <w:rsid w:val="00706D74"/>
    <w:rsid w:val="007104FE"/>
    <w:rsid w:val="00710603"/>
    <w:rsid w:val="007121A2"/>
    <w:rsid w:val="0071353A"/>
    <w:rsid w:val="00713981"/>
    <w:rsid w:val="007145A2"/>
    <w:rsid w:val="007176D6"/>
    <w:rsid w:val="00721FB7"/>
    <w:rsid w:val="00722B06"/>
    <w:rsid w:val="007235CA"/>
    <w:rsid w:val="00724DE0"/>
    <w:rsid w:val="007255DE"/>
    <w:rsid w:val="007258D2"/>
    <w:rsid w:val="00727D54"/>
    <w:rsid w:val="00730A51"/>
    <w:rsid w:val="00730D50"/>
    <w:rsid w:val="00733335"/>
    <w:rsid w:val="00733E81"/>
    <w:rsid w:val="007344C5"/>
    <w:rsid w:val="00734543"/>
    <w:rsid w:val="00734959"/>
    <w:rsid w:val="00735137"/>
    <w:rsid w:val="0073520D"/>
    <w:rsid w:val="0073789F"/>
    <w:rsid w:val="00741CC3"/>
    <w:rsid w:val="007427D5"/>
    <w:rsid w:val="0074422E"/>
    <w:rsid w:val="007456E2"/>
    <w:rsid w:val="007466F2"/>
    <w:rsid w:val="007504B1"/>
    <w:rsid w:val="0075649D"/>
    <w:rsid w:val="00757299"/>
    <w:rsid w:val="00757B70"/>
    <w:rsid w:val="0076432A"/>
    <w:rsid w:val="00764389"/>
    <w:rsid w:val="0076442D"/>
    <w:rsid w:val="00766AB9"/>
    <w:rsid w:val="00766E8D"/>
    <w:rsid w:val="00767D97"/>
    <w:rsid w:val="007701AE"/>
    <w:rsid w:val="0077185F"/>
    <w:rsid w:val="00773E71"/>
    <w:rsid w:val="0077531E"/>
    <w:rsid w:val="007753CC"/>
    <w:rsid w:val="00780226"/>
    <w:rsid w:val="00781288"/>
    <w:rsid w:val="007816F6"/>
    <w:rsid w:val="00781AB4"/>
    <w:rsid w:val="00782521"/>
    <w:rsid w:val="007839EB"/>
    <w:rsid w:val="007840BD"/>
    <w:rsid w:val="00787D4C"/>
    <w:rsid w:val="00791FDE"/>
    <w:rsid w:val="007923B7"/>
    <w:rsid w:val="00792616"/>
    <w:rsid w:val="007926BB"/>
    <w:rsid w:val="00792B51"/>
    <w:rsid w:val="0079344C"/>
    <w:rsid w:val="00793663"/>
    <w:rsid w:val="00793AEA"/>
    <w:rsid w:val="00794336"/>
    <w:rsid w:val="007958BA"/>
    <w:rsid w:val="0079769C"/>
    <w:rsid w:val="007A0283"/>
    <w:rsid w:val="007A282E"/>
    <w:rsid w:val="007A2AC2"/>
    <w:rsid w:val="007A36A7"/>
    <w:rsid w:val="007A5BD4"/>
    <w:rsid w:val="007A72F1"/>
    <w:rsid w:val="007B358C"/>
    <w:rsid w:val="007B6B1B"/>
    <w:rsid w:val="007B6CAD"/>
    <w:rsid w:val="007C02C7"/>
    <w:rsid w:val="007C0519"/>
    <w:rsid w:val="007C0D9B"/>
    <w:rsid w:val="007C149B"/>
    <w:rsid w:val="007C1C0F"/>
    <w:rsid w:val="007C1D45"/>
    <w:rsid w:val="007C21EE"/>
    <w:rsid w:val="007C5AFA"/>
    <w:rsid w:val="007D2543"/>
    <w:rsid w:val="007D2D60"/>
    <w:rsid w:val="007D3A2E"/>
    <w:rsid w:val="007D540E"/>
    <w:rsid w:val="007D5E1F"/>
    <w:rsid w:val="007D6652"/>
    <w:rsid w:val="007D7A62"/>
    <w:rsid w:val="007E0D22"/>
    <w:rsid w:val="007E1611"/>
    <w:rsid w:val="007E31C9"/>
    <w:rsid w:val="007E343D"/>
    <w:rsid w:val="007E4290"/>
    <w:rsid w:val="007E4D82"/>
    <w:rsid w:val="007E6485"/>
    <w:rsid w:val="007F02BF"/>
    <w:rsid w:val="007F064F"/>
    <w:rsid w:val="007F3F3D"/>
    <w:rsid w:val="007F4383"/>
    <w:rsid w:val="0080099E"/>
    <w:rsid w:val="00800B53"/>
    <w:rsid w:val="00800EED"/>
    <w:rsid w:val="00801601"/>
    <w:rsid w:val="00802731"/>
    <w:rsid w:val="00803966"/>
    <w:rsid w:val="0080397E"/>
    <w:rsid w:val="008045AA"/>
    <w:rsid w:val="00806E51"/>
    <w:rsid w:val="008073C1"/>
    <w:rsid w:val="00810991"/>
    <w:rsid w:val="00810A2A"/>
    <w:rsid w:val="00811CA8"/>
    <w:rsid w:val="00813015"/>
    <w:rsid w:val="00814A9B"/>
    <w:rsid w:val="00814F66"/>
    <w:rsid w:val="008152BF"/>
    <w:rsid w:val="00815A66"/>
    <w:rsid w:val="00817C9E"/>
    <w:rsid w:val="00820451"/>
    <w:rsid w:val="008205AF"/>
    <w:rsid w:val="008225E5"/>
    <w:rsid w:val="0082410B"/>
    <w:rsid w:val="008244C3"/>
    <w:rsid w:val="008250C7"/>
    <w:rsid w:val="00825557"/>
    <w:rsid w:val="008256D0"/>
    <w:rsid w:val="0082737B"/>
    <w:rsid w:val="00830F75"/>
    <w:rsid w:val="00831053"/>
    <w:rsid w:val="00831434"/>
    <w:rsid w:val="008314D2"/>
    <w:rsid w:val="0083254D"/>
    <w:rsid w:val="00832E0A"/>
    <w:rsid w:val="00836249"/>
    <w:rsid w:val="0083626C"/>
    <w:rsid w:val="00836770"/>
    <w:rsid w:val="00836F00"/>
    <w:rsid w:val="00840971"/>
    <w:rsid w:val="008434F9"/>
    <w:rsid w:val="00844F0C"/>
    <w:rsid w:val="00846192"/>
    <w:rsid w:val="00850806"/>
    <w:rsid w:val="00850BCE"/>
    <w:rsid w:val="008531B5"/>
    <w:rsid w:val="008537D9"/>
    <w:rsid w:val="00856A1B"/>
    <w:rsid w:val="008621C3"/>
    <w:rsid w:val="00862766"/>
    <w:rsid w:val="00865486"/>
    <w:rsid w:val="008657BE"/>
    <w:rsid w:val="00867AFB"/>
    <w:rsid w:val="008750EE"/>
    <w:rsid w:val="00876275"/>
    <w:rsid w:val="00882986"/>
    <w:rsid w:val="00882B99"/>
    <w:rsid w:val="00882BF0"/>
    <w:rsid w:val="00884340"/>
    <w:rsid w:val="00885621"/>
    <w:rsid w:val="00886121"/>
    <w:rsid w:val="00886477"/>
    <w:rsid w:val="00891963"/>
    <w:rsid w:val="00894D94"/>
    <w:rsid w:val="008A295B"/>
    <w:rsid w:val="008A40CC"/>
    <w:rsid w:val="008A4B2F"/>
    <w:rsid w:val="008A6604"/>
    <w:rsid w:val="008A6FFA"/>
    <w:rsid w:val="008A7998"/>
    <w:rsid w:val="008A7D0C"/>
    <w:rsid w:val="008B3573"/>
    <w:rsid w:val="008B4A68"/>
    <w:rsid w:val="008B5482"/>
    <w:rsid w:val="008B6B3A"/>
    <w:rsid w:val="008C11F4"/>
    <w:rsid w:val="008C1342"/>
    <w:rsid w:val="008C2BEC"/>
    <w:rsid w:val="008C553B"/>
    <w:rsid w:val="008C5AC5"/>
    <w:rsid w:val="008C5F24"/>
    <w:rsid w:val="008C6523"/>
    <w:rsid w:val="008C6D0E"/>
    <w:rsid w:val="008C73C9"/>
    <w:rsid w:val="008D09D2"/>
    <w:rsid w:val="008D20AB"/>
    <w:rsid w:val="008D39C5"/>
    <w:rsid w:val="008D3D3D"/>
    <w:rsid w:val="008D538E"/>
    <w:rsid w:val="008D73D6"/>
    <w:rsid w:val="008E19F7"/>
    <w:rsid w:val="008E1D89"/>
    <w:rsid w:val="008E2456"/>
    <w:rsid w:val="008E3258"/>
    <w:rsid w:val="008E332B"/>
    <w:rsid w:val="008E3E3E"/>
    <w:rsid w:val="008F0259"/>
    <w:rsid w:val="008F03DF"/>
    <w:rsid w:val="008F5F87"/>
    <w:rsid w:val="00900A34"/>
    <w:rsid w:val="00902643"/>
    <w:rsid w:val="0090318C"/>
    <w:rsid w:val="009036CC"/>
    <w:rsid w:val="00903ADF"/>
    <w:rsid w:val="00903FD9"/>
    <w:rsid w:val="00907073"/>
    <w:rsid w:val="00907908"/>
    <w:rsid w:val="00907CE0"/>
    <w:rsid w:val="00911FD5"/>
    <w:rsid w:val="009124C1"/>
    <w:rsid w:val="00914860"/>
    <w:rsid w:val="00916086"/>
    <w:rsid w:val="009178E1"/>
    <w:rsid w:val="009205BA"/>
    <w:rsid w:val="009208F5"/>
    <w:rsid w:val="00920CB7"/>
    <w:rsid w:val="00921ECD"/>
    <w:rsid w:val="00925156"/>
    <w:rsid w:val="00927742"/>
    <w:rsid w:val="00927D51"/>
    <w:rsid w:val="009303AA"/>
    <w:rsid w:val="009303C8"/>
    <w:rsid w:val="0093041B"/>
    <w:rsid w:val="00932238"/>
    <w:rsid w:val="00932272"/>
    <w:rsid w:val="0093256B"/>
    <w:rsid w:val="00932862"/>
    <w:rsid w:val="00932FD2"/>
    <w:rsid w:val="00934DB0"/>
    <w:rsid w:val="009352E6"/>
    <w:rsid w:val="00935D60"/>
    <w:rsid w:val="00937145"/>
    <w:rsid w:val="00942094"/>
    <w:rsid w:val="009447BB"/>
    <w:rsid w:val="00944C48"/>
    <w:rsid w:val="00946335"/>
    <w:rsid w:val="009474BB"/>
    <w:rsid w:val="009501EC"/>
    <w:rsid w:val="00950EC1"/>
    <w:rsid w:val="009511EA"/>
    <w:rsid w:val="009513C4"/>
    <w:rsid w:val="00951901"/>
    <w:rsid w:val="00953541"/>
    <w:rsid w:val="00953C9B"/>
    <w:rsid w:val="00955E55"/>
    <w:rsid w:val="00960AFC"/>
    <w:rsid w:val="00960B27"/>
    <w:rsid w:val="00962200"/>
    <w:rsid w:val="009654AC"/>
    <w:rsid w:val="009663CD"/>
    <w:rsid w:val="00966489"/>
    <w:rsid w:val="00966F54"/>
    <w:rsid w:val="0096700E"/>
    <w:rsid w:val="00967B87"/>
    <w:rsid w:val="00970371"/>
    <w:rsid w:val="009740C2"/>
    <w:rsid w:val="00975E61"/>
    <w:rsid w:val="0097693C"/>
    <w:rsid w:val="00976E31"/>
    <w:rsid w:val="00977C63"/>
    <w:rsid w:val="00977E82"/>
    <w:rsid w:val="00980087"/>
    <w:rsid w:val="00980C0B"/>
    <w:rsid w:val="0098171E"/>
    <w:rsid w:val="009835B1"/>
    <w:rsid w:val="0098524F"/>
    <w:rsid w:val="009866F5"/>
    <w:rsid w:val="009875B7"/>
    <w:rsid w:val="009879DC"/>
    <w:rsid w:val="00987ABE"/>
    <w:rsid w:val="009906C7"/>
    <w:rsid w:val="00991349"/>
    <w:rsid w:val="00992E62"/>
    <w:rsid w:val="009936C8"/>
    <w:rsid w:val="009963CD"/>
    <w:rsid w:val="009A2945"/>
    <w:rsid w:val="009A50CF"/>
    <w:rsid w:val="009A7AF0"/>
    <w:rsid w:val="009B1C7F"/>
    <w:rsid w:val="009B1DE3"/>
    <w:rsid w:val="009B1E6E"/>
    <w:rsid w:val="009B266D"/>
    <w:rsid w:val="009B4796"/>
    <w:rsid w:val="009B5CBF"/>
    <w:rsid w:val="009C0388"/>
    <w:rsid w:val="009C184A"/>
    <w:rsid w:val="009C29F6"/>
    <w:rsid w:val="009C2CA5"/>
    <w:rsid w:val="009C3D4B"/>
    <w:rsid w:val="009C7FDE"/>
    <w:rsid w:val="009D3E45"/>
    <w:rsid w:val="009D5FD7"/>
    <w:rsid w:val="009E0B0F"/>
    <w:rsid w:val="009E113B"/>
    <w:rsid w:val="009E1FD7"/>
    <w:rsid w:val="009E3AEC"/>
    <w:rsid w:val="009E51CE"/>
    <w:rsid w:val="009E592D"/>
    <w:rsid w:val="009F0017"/>
    <w:rsid w:val="009F0170"/>
    <w:rsid w:val="009F0991"/>
    <w:rsid w:val="009F1A03"/>
    <w:rsid w:val="009F2325"/>
    <w:rsid w:val="009F351F"/>
    <w:rsid w:val="009F3D0D"/>
    <w:rsid w:val="009F3F89"/>
    <w:rsid w:val="009F480E"/>
    <w:rsid w:val="00A022A2"/>
    <w:rsid w:val="00A02D15"/>
    <w:rsid w:val="00A047E1"/>
    <w:rsid w:val="00A06CC9"/>
    <w:rsid w:val="00A07391"/>
    <w:rsid w:val="00A11305"/>
    <w:rsid w:val="00A11403"/>
    <w:rsid w:val="00A13C17"/>
    <w:rsid w:val="00A17204"/>
    <w:rsid w:val="00A2180A"/>
    <w:rsid w:val="00A241A5"/>
    <w:rsid w:val="00A25137"/>
    <w:rsid w:val="00A26B0D"/>
    <w:rsid w:val="00A26EA7"/>
    <w:rsid w:val="00A26FB8"/>
    <w:rsid w:val="00A3053E"/>
    <w:rsid w:val="00A32C1F"/>
    <w:rsid w:val="00A35C2D"/>
    <w:rsid w:val="00A3735A"/>
    <w:rsid w:val="00A4033B"/>
    <w:rsid w:val="00A42F1B"/>
    <w:rsid w:val="00A47BEE"/>
    <w:rsid w:val="00A504D9"/>
    <w:rsid w:val="00A50F2E"/>
    <w:rsid w:val="00A52F63"/>
    <w:rsid w:val="00A546BC"/>
    <w:rsid w:val="00A5580D"/>
    <w:rsid w:val="00A55989"/>
    <w:rsid w:val="00A5694A"/>
    <w:rsid w:val="00A56B0D"/>
    <w:rsid w:val="00A57BA2"/>
    <w:rsid w:val="00A63DA4"/>
    <w:rsid w:val="00A66E7E"/>
    <w:rsid w:val="00A71654"/>
    <w:rsid w:val="00A72B8A"/>
    <w:rsid w:val="00A73030"/>
    <w:rsid w:val="00A7311B"/>
    <w:rsid w:val="00A734E5"/>
    <w:rsid w:val="00A74E58"/>
    <w:rsid w:val="00A75CD5"/>
    <w:rsid w:val="00A81BC6"/>
    <w:rsid w:val="00A82BA8"/>
    <w:rsid w:val="00A83DF3"/>
    <w:rsid w:val="00A84430"/>
    <w:rsid w:val="00A84467"/>
    <w:rsid w:val="00A85915"/>
    <w:rsid w:val="00A87573"/>
    <w:rsid w:val="00A9119F"/>
    <w:rsid w:val="00A918DE"/>
    <w:rsid w:val="00A92DF6"/>
    <w:rsid w:val="00A948C1"/>
    <w:rsid w:val="00A952AB"/>
    <w:rsid w:val="00A964FD"/>
    <w:rsid w:val="00A9783D"/>
    <w:rsid w:val="00AA16A3"/>
    <w:rsid w:val="00AA37FE"/>
    <w:rsid w:val="00AA45E6"/>
    <w:rsid w:val="00AA47B6"/>
    <w:rsid w:val="00AA4D15"/>
    <w:rsid w:val="00AA4D9D"/>
    <w:rsid w:val="00AA5A37"/>
    <w:rsid w:val="00AB1D3B"/>
    <w:rsid w:val="00AB489C"/>
    <w:rsid w:val="00AB50C1"/>
    <w:rsid w:val="00AB6936"/>
    <w:rsid w:val="00AC0C3B"/>
    <w:rsid w:val="00AC2D63"/>
    <w:rsid w:val="00AD03D8"/>
    <w:rsid w:val="00AD0711"/>
    <w:rsid w:val="00AD252E"/>
    <w:rsid w:val="00AD3B38"/>
    <w:rsid w:val="00AD579E"/>
    <w:rsid w:val="00AD704E"/>
    <w:rsid w:val="00AE0008"/>
    <w:rsid w:val="00AE271E"/>
    <w:rsid w:val="00AE47EA"/>
    <w:rsid w:val="00AE5FE0"/>
    <w:rsid w:val="00AE60B7"/>
    <w:rsid w:val="00AF2AB7"/>
    <w:rsid w:val="00AF2B1C"/>
    <w:rsid w:val="00AF409C"/>
    <w:rsid w:val="00AF4143"/>
    <w:rsid w:val="00AF4D3F"/>
    <w:rsid w:val="00AF5897"/>
    <w:rsid w:val="00B000DA"/>
    <w:rsid w:val="00B015DA"/>
    <w:rsid w:val="00B017C6"/>
    <w:rsid w:val="00B0300B"/>
    <w:rsid w:val="00B04936"/>
    <w:rsid w:val="00B05457"/>
    <w:rsid w:val="00B05A53"/>
    <w:rsid w:val="00B07B3F"/>
    <w:rsid w:val="00B1040B"/>
    <w:rsid w:val="00B113A6"/>
    <w:rsid w:val="00B12041"/>
    <w:rsid w:val="00B12605"/>
    <w:rsid w:val="00B128A0"/>
    <w:rsid w:val="00B14865"/>
    <w:rsid w:val="00B15B23"/>
    <w:rsid w:val="00B20240"/>
    <w:rsid w:val="00B23281"/>
    <w:rsid w:val="00B23923"/>
    <w:rsid w:val="00B27571"/>
    <w:rsid w:val="00B3078D"/>
    <w:rsid w:val="00B31B99"/>
    <w:rsid w:val="00B3419B"/>
    <w:rsid w:val="00B4164B"/>
    <w:rsid w:val="00B46413"/>
    <w:rsid w:val="00B510DC"/>
    <w:rsid w:val="00B5409A"/>
    <w:rsid w:val="00B55235"/>
    <w:rsid w:val="00B55574"/>
    <w:rsid w:val="00B558E6"/>
    <w:rsid w:val="00B62658"/>
    <w:rsid w:val="00B63EAA"/>
    <w:rsid w:val="00B6525D"/>
    <w:rsid w:val="00B6580C"/>
    <w:rsid w:val="00B65ABA"/>
    <w:rsid w:val="00B66181"/>
    <w:rsid w:val="00B66CAC"/>
    <w:rsid w:val="00B6790F"/>
    <w:rsid w:val="00B70551"/>
    <w:rsid w:val="00B7134D"/>
    <w:rsid w:val="00B71B3B"/>
    <w:rsid w:val="00B729BD"/>
    <w:rsid w:val="00B736A5"/>
    <w:rsid w:val="00B73DA4"/>
    <w:rsid w:val="00B753EC"/>
    <w:rsid w:val="00B7569C"/>
    <w:rsid w:val="00B76467"/>
    <w:rsid w:val="00B76D4E"/>
    <w:rsid w:val="00B81466"/>
    <w:rsid w:val="00B82E13"/>
    <w:rsid w:val="00B83A37"/>
    <w:rsid w:val="00B861BD"/>
    <w:rsid w:val="00B87848"/>
    <w:rsid w:val="00B87D61"/>
    <w:rsid w:val="00B90B39"/>
    <w:rsid w:val="00B93948"/>
    <w:rsid w:val="00B93CEF"/>
    <w:rsid w:val="00B9490F"/>
    <w:rsid w:val="00B964BE"/>
    <w:rsid w:val="00B9688F"/>
    <w:rsid w:val="00BA00A8"/>
    <w:rsid w:val="00BA1DF9"/>
    <w:rsid w:val="00BA2132"/>
    <w:rsid w:val="00BA2F9D"/>
    <w:rsid w:val="00BA4BC7"/>
    <w:rsid w:val="00BA55B7"/>
    <w:rsid w:val="00BA5E47"/>
    <w:rsid w:val="00BA6365"/>
    <w:rsid w:val="00BA6F3B"/>
    <w:rsid w:val="00BA79FF"/>
    <w:rsid w:val="00BA7D57"/>
    <w:rsid w:val="00BB156E"/>
    <w:rsid w:val="00BB167B"/>
    <w:rsid w:val="00BB2BFB"/>
    <w:rsid w:val="00BB3330"/>
    <w:rsid w:val="00BB47D7"/>
    <w:rsid w:val="00BB4A62"/>
    <w:rsid w:val="00BB6A4D"/>
    <w:rsid w:val="00BB7164"/>
    <w:rsid w:val="00BB787B"/>
    <w:rsid w:val="00BB78CB"/>
    <w:rsid w:val="00BC01C1"/>
    <w:rsid w:val="00BC1C1E"/>
    <w:rsid w:val="00BC1E3B"/>
    <w:rsid w:val="00BC4AC4"/>
    <w:rsid w:val="00BC5A34"/>
    <w:rsid w:val="00BC627D"/>
    <w:rsid w:val="00BC7DD7"/>
    <w:rsid w:val="00BD17F5"/>
    <w:rsid w:val="00BD2937"/>
    <w:rsid w:val="00BD3116"/>
    <w:rsid w:val="00BD58F7"/>
    <w:rsid w:val="00BD5E60"/>
    <w:rsid w:val="00BD6066"/>
    <w:rsid w:val="00BD6B24"/>
    <w:rsid w:val="00BD6B7B"/>
    <w:rsid w:val="00BD6E05"/>
    <w:rsid w:val="00BD7275"/>
    <w:rsid w:val="00BD7E25"/>
    <w:rsid w:val="00BE06DE"/>
    <w:rsid w:val="00BE0A72"/>
    <w:rsid w:val="00BE20A7"/>
    <w:rsid w:val="00BE2DFE"/>
    <w:rsid w:val="00BE54D0"/>
    <w:rsid w:val="00BF02DC"/>
    <w:rsid w:val="00BF6B6C"/>
    <w:rsid w:val="00BF7251"/>
    <w:rsid w:val="00BF7F28"/>
    <w:rsid w:val="00C0060C"/>
    <w:rsid w:val="00C00B52"/>
    <w:rsid w:val="00C00D04"/>
    <w:rsid w:val="00C00E73"/>
    <w:rsid w:val="00C01909"/>
    <w:rsid w:val="00C01F63"/>
    <w:rsid w:val="00C0214F"/>
    <w:rsid w:val="00C024B0"/>
    <w:rsid w:val="00C04CF3"/>
    <w:rsid w:val="00C05787"/>
    <w:rsid w:val="00C117FB"/>
    <w:rsid w:val="00C12FFF"/>
    <w:rsid w:val="00C13059"/>
    <w:rsid w:val="00C1307E"/>
    <w:rsid w:val="00C13E80"/>
    <w:rsid w:val="00C156D4"/>
    <w:rsid w:val="00C1589B"/>
    <w:rsid w:val="00C159E8"/>
    <w:rsid w:val="00C167A3"/>
    <w:rsid w:val="00C17227"/>
    <w:rsid w:val="00C17898"/>
    <w:rsid w:val="00C2181C"/>
    <w:rsid w:val="00C21F84"/>
    <w:rsid w:val="00C25E84"/>
    <w:rsid w:val="00C2657D"/>
    <w:rsid w:val="00C301C2"/>
    <w:rsid w:val="00C30DD0"/>
    <w:rsid w:val="00C32AA4"/>
    <w:rsid w:val="00C32C2E"/>
    <w:rsid w:val="00C346F0"/>
    <w:rsid w:val="00C3518E"/>
    <w:rsid w:val="00C35BEC"/>
    <w:rsid w:val="00C368B0"/>
    <w:rsid w:val="00C36E0C"/>
    <w:rsid w:val="00C378BD"/>
    <w:rsid w:val="00C37BC7"/>
    <w:rsid w:val="00C40DA4"/>
    <w:rsid w:val="00C416E1"/>
    <w:rsid w:val="00C46107"/>
    <w:rsid w:val="00C478A8"/>
    <w:rsid w:val="00C47BF8"/>
    <w:rsid w:val="00C51B1C"/>
    <w:rsid w:val="00C52A32"/>
    <w:rsid w:val="00C53DCE"/>
    <w:rsid w:val="00C54919"/>
    <w:rsid w:val="00C550D3"/>
    <w:rsid w:val="00C6367E"/>
    <w:rsid w:val="00C63FFB"/>
    <w:rsid w:val="00C64072"/>
    <w:rsid w:val="00C64815"/>
    <w:rsid w:val="00C655F2"/>
    <w:rsid w:val="00C65B61"/>
    <w:rsid w:val="00C674D0"/>
    <w:rsid w:val="00C706B6"/>
    <w:rsid w:val="00C707CA"/>
    <w:rsid w:val="00C70E53"/>
    <w:rsid w:val="00C72979"/>
    <w:rsid w:val="00C72D44"/>
    <w:rsid w:val="00C735C3"/>
    <w:rsid w:val="00C76544"/>
    <w:rsid w:val="00C77FB5"/>
    <w:rsid w:val="00C81529"/>
    <w:rsid w:val="00C81BA6"/>
    <w:rsid w:val="00C8377C"/>
    <w:rsid w:val="00C85810"/>
    <w:rsid w:val="00C871DD"/>
    <w:rsid w:val="00C87351"/>
    <w:rsid w:val="00C877CD"/>
    <w:rsid w:val="00C902E9"/>
    <w:rsid w:val="00C908B7"/>
    <w:rsid w:val="00C91D81"/>
    <w:rsid w:val="00C92768"/>
    <w:rsid w:val="00C92A33"/>
    <w:rsid w:val="00C92A42"/>
    <w:rsid w:val="00C9639B"/>
    <w:rsid w:val="00C966E4"/>
    <w:rsid w:val="00CA0020"/>
    <w:rsid w:val="00CA1539"/>
    <w:rsid w:val="00CA18F2"/>
    <w:rsid w:val="00CA1AD2"/>
    <w:rsid w:val="00CA2BF6"/>
    <w:rsid w:val="00CA3E1C"/>
    <w:rsid w:val="00CA458B"/>
    <w:rsid w:val="00CA4871"/>
    <w:rsid w:val="00CA6722"/>
    <w:rsid w:val="00CA6D4E"/>
    <w:rsid w:val="00CA7B4B"/>
    <w:rsid w:val="00CB0C21"/>
    <w:rsid w:val="00CB1762"/>
    <w:rsid w:val="00CB1D93"/>
    <w:rsid w:val="00CB1E04"/>
    <w:rsid w:val="00CB2DE6"/>
    <w:rsid w:val="00CB36A8"/>
    <w:rsid w:val="00CB3D36"/>
    <w:rsid w:val="00CB5C1D"/>
    <w:rsid w:val="00CC0CC2"/>
    <w:rsid w:val="00CC1198"/>
    <w:rsid w:val="00CC139A"/>
    <w:rsid w:val="00CC1E7A"/>
    <w:rsid w:val="00CC4F64"/>
    <w:rsid w:val="00CD058C"/>
    <w:rsid w:val="00CD1A4A"/>
    <w:rsid w:val="00CD2BA9"/>
    <w:rsid w:val="00CD3023"/>
    <w:rsid w:val="00CD3B98"/>
    <w:rsid w:val="00CD4216"/>
    <w:rsid w:val="00CD733F"/>
    <w:rsid w:val="00CD79B6"/>
    <w:rsid w:val="00CE0942"/>
    <w:rsid w:val="00CE17DF"/>
    <w:rsid w:val="00CE183C"/>
    <w:rsid w:val="00CE25D2"/>
    <w:rsid w:val="00CE402A"/>
    <w:rsid w:val="00CE7CA5"/>
    <w:rsid w:val="00CF1662"/>
    <w:rsid w:val="00CF18F2"/>
    <w:rsid w:val="00CF1D81"/>
    <w:rsid w:val="00CF2785"/>
    <w:rsid w:val="00CF285C"/>
    <w:rsid w:val="00CF2DC9"/>
    <w:rsid w:val="00CF3A18"/>
    <w:rsid w:val="00CF4B51"/>
    <w:rsid w:val="00CF7CB6"/>
    <w:rsid w:val="00D00047"/>
    <w:rsid w:val="00D00E62"/>
    <w:rsid w:val="00D02CA4"/>
    <w:rsid w:val="00D033F9"/>
    <w:rsid w:val="00D067E7"/>
    <w:rsid w:val="00D0712A"/>
    <w:rsid w:val="00D13140"/>
    <w:rsid w:val="00D1709A"/>
    <w:rsid w:val="00D17598"/>
    <w:rsid w:val="00D223FD"/>
    <w:rsid w:val="00D23CD4"/>
    <w:rsid w:val="00D250E9"/>
    <w:rsid w:val="00D25214"/>
    <w:rsid w:val="00D311AB"/>
    <w:rsid w:val="00D316B1"/>
    <w:rsid w:val="00D325A8"/>
    <w:rsid w:val="00D331FE"/>
    <w:rsid w:val="00D343E9"/>
    <w:rsid w:val="00D35D9E"/>
    <w:rsid w:val="00D3644C"/>
    <w:rsid w:val="00D3680F"/>
    <w:rsid w:val="00D369C0"/>
    <w:rsid w:val="00D43621"/>
    <w:rsid w:val="00D442AD"/>
    <w:rsid w:val="00D456B4"/>
    <w:rsid w:val="00D51047"/>
    <w:rsid w:val="00D51456"/>
    <w:rsid w:val="00D53CE7"/>
    <w:rsid w:val="00D5618A"/>
    <w:rsid w:val="00D566DB"/>
    <w:rsid w:val="00D57084"/>
    <w:rsid w:val="00D5784B"/>
    <w:rsid w:val="00D61A06"/>
    <w:rsid w:val="00D63950"/>
    <w:rsid w:val="00D63EFB"/>
    <w:rsid w:val="00D658AF"/>
    <w:rsid w:val="00D703F2"/>
    <w:rsid w:val="00D71784"/>
    <w:rsid w:val="00D74B58"/>
    <w:rsid w:val="00D76160"/>
    <w:rsid w:val="00D77836"/>
    <w:rsid w:val="00D80029"/>
    <w:rsid w:val="00D805CB"/>
    <w:rsid w:val="00D8113F"/>
    <w:rsid w:val="00D825B3"/>
    <w:rsid w:val="00D82A93"/>
    <w:rsid w:val="00D8376B"/>
    <w:rsid w:val="00D83DE9"/>
    <w:rsid w:val="00D8450D"/>
    <w:rsid w:val="00D90926"/>
    <w:rsid w:val="00D95AF9"/>
    <w:rsid w:val="00D95F79"/>
    <w:rsid w:val="00D96A02"/>
    <w:rsid w:val="00DA0261"/>
    <w:rsid w:val="00DA09C9"/>
    <w:rsid w:val="00DA1822"/>
    <w:rsid w:val="00DB2064"/>
    <w:rsid w:val="00DB2AB7"/>
    <w:rsid w:val="00DB5E1F"/>
    <w:rsid w:val="00DB6673"/>
    <w:rsid w:val="00DB7801"/>
    <w:rsid w:val="00DC155A"/>
    <w:rsid w:val="00DC19D8"/>
    <w:rsid w:val="00DC2613"/>
    <w:rsid w:val="00DC4512"/>
    <w:rsid w:val="00DC745B"/>
    <w:rsid w:val="00DD3691"/>
    <w:rsid w:val="00DD377D"/>
    <w:rsid w:val="00DD4573"/>
    <w:rsid w:val="00DD48CA"/>
    <w:rsid w:val="00DD4B55"/>
    <w:rsid w:val="00DD519D"/>
    <w:rsid w:val="00DD671C"/>
    <w:rsid w:val="00DD6746"/>
    <w:rsid w:val="00DE1E90"/>
    <w:rsid w:val="00DE24E6"/>
    <w:rsid w:val="00DE5A0B"/>
    <w:rsid w:val="00DE69CD"/>
    <w:rsid w:val="00DE69F6"/>
    <w:rsid w:val="00DE73DF"/>
    <w:rsid w:val="00DE7471"/>
    <w:rsid w:val="00DE7BF9"/>
    <w:rsid w:val="00DF07AD"/>
    <w:rsid w:val="00DF0A7F"/>
    <w:rsid w:val="00DF309E"/>
    <w:rsid w:val="00DF3364"/>
    <w:rsid w:val="00DF4F70"/>
    <w:rsid w:val="00DF5A4A"/>
    <w:rsid w:val="00DF70CE"/>
    <w:rsid w:val="00DF7B0C"/>
    <w:rsid w:val="00E02123"/>
    <w:rsid w:val="00E055BB"/>
    <w:rsid w:val="00E100A2"/>
    <w:rsid w:val="00E10C18"/>
    <w:rsid w:val="00E11988"/>
    <w:rsid w:val="00E1198F"/>
    <w:rsid w:val="00E12EF2"/>
    <w:rsid w:val="00E15165"/>
    <w:rsid w:val="00E15DA9"/>
    <w:rsid w:val="00E16160"/>
    <w:rsid w:val="00E16BED"/>
    <w:rsid w:val="00E2095D"/>
    <w:rsid w:val="00E22AA6"/>
    <w:rsid w:val="00E23D9D"/>
    <w:rsid w:val="00E24322"/>
    <w:rsid w:val="00E27BAA"/>
    <w:rsid w:val="00E27E10"/>
    <w:rsid w:val="00E301FF"/>
    <w:rsid w:val="00E30414"/>
    <w:rsid w:val="00E310D4"/>
    <w:rsid w:val="00E33BEF"/>
    <w:rsid w:val="00E33C9D"/>
    <w:rsid w:val="00E343A4"/>
    <w:rsid w:val="00E3534F"/>
    <w:rsid w:val="00E40769"/>
    <w:rsid w:val="00E40CA6"/>
    <w:rsid w:val="00E428AE"/>
    <w:rsid w:val="00E42E8B"/>
    <w:rsid w:val="00E436BE"/>
    <w:rsid w:val="00E4453F"/>
    <w:rsid w:val="00E445FF"/>
    <w:rsid w:val="00E448B8"/>
    <w:rsid w:val="00E46397"/>
    <w:rsid w:val="00E50CD8"/>
    <w:rsid w:val="00E51407"/>
    <w:rsid w:val="00E51C7A"/>
    <w:rsid w:val="00E52065"/>
    <w:rsid w:val="00E5272B"/>
    <w:rsid w:val="00E53A47"/>
    <w:rsid w:val="00E54F50"/>
    <w:rsid w:val="00E55315"/>
    <w:rsid w:val="00E56875"/>
    <w:rsid w:val="00E57ED7"/>
    <w:rsid w:val="00E60F12"/>
    <w:rsid w:val="00E63ECD"/>
    <w:rsid w:val="00E642E8"/>
    <w:rsid w:val="00E652FB"/>
    <w:rsid w:val="00E65BFA"/>
    <w:rsid w:val="00E6664E"/>
    <w:rsid w:val="00E66C20"/>
    <w:rsid w:val="00E71C46"/>
    <w:rsid w:val="00E731A8"/>
    <w:rsid w:val="00E75ED2"/>
    <w:rsid w:val="00E777E2"/>
    <w:rsid w:val="00E8280C"/>
    <w:rsid w:val="00E83E4C"/>
    <w:rsid w:val="00E8622B"/>
    <w:rsid w:val="00E86CA9"/>
    <w:rsid w:val="00E90AA8"/>
    <w:rsid w:val="00E91442"/>
    <w:rsid w:val="00E91933"/>
    <w:rsid w:val="00E92A81"/>
    <w:rsid w:val="00E930BA"/>
    <w:rsid w:val="00E96638"/>
    <w:rsid w:val="00E969B1"/>
    <w:rsid w:val="00E976CF"/>
    <w:rsid w:val="00EA0520"/>
    <w:rsid w:val="00EA25E7"/>
    <w:rsid w:val="00EA2D53"/>
    <w:rsid w:val="00EA302B"/>
    <w:rsid w:val="00EA4CE6"/>
    <w:rsid w:val="00EA6FE2"/>
    <w:rsid w:val="00EB023C"/>
    <w:rsid w:val="00EB0C4B"/>
    <w:rsid w:val="00EB0CA1"/>
    <w:rsid w:val="00EB3CE1"/>
    <w:rsid w:val="00EB3E96"/>
    <w:rsid w:val="00EB5689"/>
    <w:rsid w:val="00EB6552"/>
    <w:rsid w:val="00EC02F8"/>
    <w:rsid w:val="00EC06BC"/>
    <w:rsid w:val="00EC14C2"/>
    <w:rsid w:val="00EC18E6"/>
    <w:rsid w:val="00EC1984"/>
    <w:rsid w:val="00EC1CEB"/>
    <w:rsid w:val="00EC234C"/>
    <w:rsid w:val="00EC6636"/>
    <w:rsid w:val="00EC6959"/>
    <w:rsid w:val="00ED10C3"/>
    <w:rsid w:val="00ED3442"/>
    <w:rsid w:val="00ED3529"/>
    <w:rsid w:val="00ED4D17"/>
    <w:rsid w:val="00ED6A64"/>
    <w:rsid w:val="00ED7D3A"/>
    <w:rsid w:val="00EE0C8C"/>
    <w:rsid w:val="00EE1EBF"/>
    <w:rsid w:val="00EE3D1F"/>
    <w:rsid w:val="00EE496B"/>
    <w:rsid w:val="00EE4F65"/>
    <w:rsid w:val="00EE6CD3"/>
    <w:rsid w:val="00EE77B3"/>
    <w:rsid w:val="00EF20D7"/>
    <w:rsid w:val="00EF295E"/>
    <w:rsid w:val="00EF3419"/>
    <w:rsid w:val="00EF3BDB"/>
    <w:rsid w:val="00EF46D6"/>
    <w:rsid w:val="00EF6030"/>
    <w:rsid w:val="00EF6FC6"/>
    <w:rsid w:val="00EF7DCF"/>
    <w:rsid w:val="00F00276"/>
    <w:rsid w:val="00F00BB0"/>
    <w:rsid w:val="00F00C4C"/>
    <w:rsid w:val="00F0119C"/>
    <w:rsid w:val="00F01B05"/>
    <w:rsid w:val="00F02BDB"/>
    <w:rsid w:val="00F03ADC"/>
    <w:rsid w:val="00F03FF7"/>
    <w:rsid w:val="00F0441B"/>
    <w:rsid w:val="00F04BEF"/>
    <w:rsid w:val="00F04CA3"/>
    <w:rsid w:val="00F04D6B"/>
    <w:rsid w:val="00F068F7"/>
    <w:rsid w:val="00F07623"/>
    <w:rsid w:val="00F07DB1"/>
    <w:rsid w:val="00F121BE"/>
    <w:rsid w:val="00F15A49"/>
    <w:rsid w:val="00F16B00"/>
    <w:rsid w:val="00F178F4"/>
    <w:rsid w:val="00F17F3E"/>
    <w:rsid w:val="00F2118D"/>
    <w:rsid w:val="00F24BDB"/>
    <w:rsid w:val="00F2502C"/>
    <w:rsid w:val="00F25FB6"/>
    <w:rsid w:val="00F3136B"/>
    <w:rsid w:val="00F31397"/>
    <w:rsid w:val="00F3146E"/>
    <w:rsid w:val="00F314F1"/>
    <w:rsid w:val="00F32283"/>
    <w:rsid w:val="00F327EA"/>
    <w:rsid w:val="00F33641"/>
    <w:rsid w:val="00F35597"/>
    <w:rsid w:val="00F36D46"/>
    <w:rsid w:val="00F3763B"/>
    <w:rsid w:val="00F4046B"/>
    <w:rsid w:val="00F42287"/>
    <w:rsid w:val="00F42842"/>
    <w:rsid w:val="00F433BD"/>
    <w:rsid w:val="00F440B8"/>
    <w:rsid w:val="00F45685"/>
    <w:rsid w:val="00F45847"/>
    <w:rsid w:val="00F46E40"/>
    <w:rsid w:val="00F46FE7"/>
    <w:rsid w:val="00F4760A"/>
    <w:rsid w:val="00F47FDA"/>
    <w:rsid w:val="00F5071E"/>
    <w:rsid w:val="00F51749"/>
    <w:rsid w:val="00F52B8E"/>
    <w:rsid w:val="00F53CFD"/>
    <w:rsid w:val="00F54AF5"/>
    <w:rsid w:val="00F557E3"/>
    <w:rsid w:val="00F565F6"/>
    <w:rsid w:val="00F573DF"/>
    <w:rsid w:val="00F60514"/>
    <w:rsid w:val="00F615B2"/>
    <w:rsid w:val="00F61C26"/>
    <w:rsid w:val="00F61E78"/>
    <w:rsid w:val="00F61F64"/>
    <w:rsid w:val="00F63218"/>
    <w:rsid w:val="00F635C5"/>
    <w:rsid w:val="00F637E9"/>
    <w:rsid w:val="00F64F65"/>
    <w:rsid w:val="00F70944"/>
    <w:rsid w:val="00F736E3"/>
    <w:rsid w:val="00F765F7"/>
    <w:rsid w:val="00F767E8"/>
    <w:rsid w:val="00F84089"/>
    <w:rsid w:val="00F85077"/>
    <w:rsid w:val="00F86A3F"/>
    <w:rsid w:val="00F86C2E"/>
    <w:rsid w:val="00F90E37"/>
    <w:rsid w:val="00F91297"/>
    <w:rsid w:val="00F9133B"/>
    <w:rsid w:val="00F918DB"/>
    <w:rsid w:val="00F919D9"/>
    <w:rsid w:val="00F93B97"/>
    <w:rsid w:val="00F94AFB"/>
    <w:rsid w:val="00F94EB3"/>
    <w:rsid w:val="00F9573F"/>
    <w:rsid w:val="00F9612D"/>
    <w:rsid w:val="00F96B54"/>
    <w:rsid w:val="00F97730"/>
    <w:rsid w:val="00FA22EE"/>
    <w:rsid w:val="00FA47DD"/>
    <w:rsid w:val="00FA5F56"/>
    <w:rsid w:val="00FB0EA9"/>
    <w:rsid w:val="00FB32A4"/>
    <w:rsid w:val="00FB3595"/>
    <w:rsid w:val="00FB482F"/>
    <w:rsid w:val="00FB594D"/>
    <w:rsid w:val="00FB75F3"/>
    <w:rsid w:val="00FB76EE"/>
    <w:rsid w:val="00FB7EDC"/>
    <w:rsid w:val="00FC37A6"/>
    <w:rsid w:val="00FC49BB"/>
    <w:rsid w:val="00FC5C6C"/>
    <w:rsid w:val="00FD0949"/>
    <w:rsid w:val="00FD4F26"/>
    <w:rsid w:val="00FD5794"/>
    <w:rsid w:val="00FD616B"/>
    <w:rsid w:val="00FD6202"/>
    <w:rsid w:val="00FD6847"/>
    <w:rsid w:val="00FE0291"/>
    <w:rsid w:val="00FE03AB"/>
    <w:rsid w:val="00FE193E"/>
    <w:rsid w:val="00FE367F"/>
    <w:rsid w:val="00FE564C"/>
    <w:rsid w:val="00FF19B5"/>
    <w:rsid w:val="00FF1D36"/>
    <w:rsid w:val="00FF29DC"/>
    <w:rsid w:val="00FF3AB0"/>
    <w:rsid w:val="00FF4CC5"/>
    <w:rsid w:val="00FF6C9B"/>
    <w:rsid w:val="00FF734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DC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730D50"/>
    <w:pPr>
      <w:spacing w:after="200" w:line="280" w:lineRule="exact"/>
      <w:ind w:left="720"/>
      <w:contextualSpacing/>
    </w:pPr>
    <w:rPr>
      <w:rFonts w:eastAsia="MS PMincho"/>
      <w:sz w:val="24"/>
      <w:szCs w:val="22"/>
    </w:rPr>
  </w:style>
  <w:style w:type="paragraph" w:customStyle="1" w:styleId="BodyText1">
    <w:name w:val="Body Text1"/>
    <w:basedOn w:val="Normal"/>
    <w:link w:val="BodytextChar"/>
    <w:rsid w:val="00730D50"/>
    <w:pPr>
      <w:tabs>
        <w:tab w:val="left" w:pos="0"/>
      </w:tabs>
      <w:spacing w:after="120"/>
    </w:pPr>
    <w:rPr>
      <w:rFonts w:ascii="Arial" w:hAnsi="Arial"/>
      <w:szCs w:val="22"/>
      <w:lang w:eastAsia="en-AU"/>
    </w:rPr>
  </w:style>
  <w:style w:type="character" w:customStyle="1" w:styleId="BodytextChar">
    <w:name w:val="Body text Char"/>
    <w:link w:val="BodyText1"/>
    <w:rsid w:val="00730D50"/>
    <w:rPr>
      <w:rFonts w:ascii="Arial" w:hAnsi="Arial"/>
      <w:szCs w:val="22"/>
    </w:rPr>
  </w:style>
  <w:style w:type="character" w:styleId="CommentReference">
    <w:name w:val="annotation reference"/>
    <w:basedOn w:val="DefaultParagraphFont"/>
    <w:uiPriority w:val="99"/>
    <w:semiHidden/>
    <w:unhideWhenUsed/>
    <w:rsid w:val="000D5D28"/>
    <w:rPr>
      <w:sz w:val="16"/>
      <w:szCs w:val="16"/>
    </w:rPr>
  </w:style>
  <w:style w:type="paragraph" w:styleId="CommentText">
    <w:name w:val="annotation text"/>
    <w:basedOn w:val="Normal"/>
    <w:link w:val="CommentTextChar"/>
    <w:uiPriority w:val="99"/>
    <w:semiHidden/>
    <w:unhideWhenUsed/>
    <w:rsid w:val="000D5D28"/>
  </w:style>
  <w:style w:type="character" w:customStyle="1" w:styleId="CommentTextChar">
    <w:name w:val="Comment Text Char"/>
    <w:basedOn w:val="DefaultParagraphFont"/>
    <w:link w:val="CommentText"/>
    <w:uiPriority w:val="99"/>
    <w:semiHidden/>
    <w:rsid w:val="000D5D2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0D5D28"/>
    <w:rPr>
      <w:b/>
      <w:bCs/>
    </w:rPr>
  </w:style>
  <w:style w:type="character" w:customStyle="1" w:styleId="CommentSubjectChar">
    <w:name w:val="Comment Subject Char"/>
    <w:basedOn w:val="CommentTextChar"/>
    <w:link w:val="CommentSubject"/>
    <w:uiPriority w:val="99"/>
    <w:semiHidden/>
    <w:rsid w:val="000D5D28"/>
    <w:rPr>
      <w:rFonts w:ascii="Cambria" w:hAnsi="Cambria"/>
      <w:b/>
      <w:bCs/>
      <w:lang w:eastAsia="en-US"/>
    </w:rPr>
  </w:style>
  <w:style w:type="paragraph" w:styleId="BalloonText">
    <w:name w:val="Balloon Text"/>
    <w:basedOn w:val="Normal"/>
    <w:link w:val="BalloonTextChar"/>
    <w:uiPriority w:val="99"/>
    <w:semiHidden/>
    <w:unhideWhenUsed/>
    <w:rsid w:val="000D5D28"/>
    <w:rPr>
      <w:rFonts w:ascii="Tahoma" w:hAnsi="Tahoma" w:cs="Tahoma"/>
      <w:sz w:val="16"/>
      <w:szCs w:val="16"/>
    </w:rPr>
  </w:style>
  <w:style w:type="character" w:customStyle="1" w:styleId="BalloonTextChar">
    <w:name w:val="Balloon Text Char"/>
    <w:basedOn w:val="DefaultParagraphFont"/>
    <w:link w:val="BalloonText"/>
    <w:uiPriority w:val="99"/>
    <w:semiHidden/>
    <w:rsid w:val="000D5D28"/>
    <w:rPr>
      <w:rFonts w:ascii="Tahoma" w:hAnsi="Tahoma" w:cs="Tahoma"/>
      <w:sz w:val="16"/>
      <w:szCs w:val="16"/>
      <w:lang w:eastAsia="en-US"/>
    </w:rPr>
  </w:style>
  <w:style w:type="paragraph" w:styleId="Revision">
    <w:name w:val="Revision"/>
    <w:hidden/>
    <w:uiPriority w:val="71"/>
    <w:rsid w:val="00867AFB"/>
    <w:rPr>
      <w:rFonts w:ascii="Cambria" w:hAnsi="Cambria"/>
      <w:lang w:eastAsia="en-US"/>
    </w:rPr>
  </w:style>
  <w:style w:type="character" w:styleId="Emphasis">
    <w:name w:val="Emphasis"/>
    <w:basedOn w:val="DefaultParagraphFont"/>
    <w:uiPriority w:val="20"/>
    <w:rsid w:val="004E34C7"/>
    <w:rPr>
      <w:i/>
      <w:iCs/>
    </w:rPr>
  </w:style>
  <w:style w:type="character" w:styleId="UnresolvedMention">
    <w:name w:val="Unresolved Mention"/>
    <w:basedOn w:val="DefaultParagraphFont"/>
    <w:uiPriority w:val="99"/>
    <w:semiHidden/>
    <w:unhideWhenUsed/>
    <w:rsid w:val="0085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hyperlink" Target="https://www2.health.vic.gov.au/public-health/preventive-health/nutrition/healthy-choices-for-retail-outlets-vending-machines-catering"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odsafety@dhhs.vic.go.au"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9E08-4CC6-486B-BB73-A6934675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4631</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Kilojoule labelling scheme Victoria</vt:lpstr>
    </vt:vector>
  </TitlesOfParts>
  <Manager/>
  <Company/>
  <LinksUpToDate>false</LinksUpToDate>
  <CharactersWithSpaces>29793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Kilojoule labelling scheme Victoria</dc:title>
  <dc:creator/>
  <cp:lastModifiedBy/>
  <cp:revision>1</cp:revision>
  <dcterms:created xsi:type="dcterms:W3CDTF">2021-06-28T03:03:00Z</dcterms:created>
  <dcterms:modified xsi:type="dcterms:W3CDTF">2021-06-28T03:04:00Z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2021-06-28T03:04:00Z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c4481e24-9635-4daa-a31e-51b8aab499fd</vt:lpwstr>
  </property>
  <property fmtid="{D5CDD505-2E9C-101B-9397-08002B2CF9AE}" pid="8" name="MSIP_Label_efdf5488-3066-4b6c-8fea-9472b8a1f34c_ContentBits">
    <vt:lpwstr>0</vt:lpwstr>
  </property>
</Properties>
</file>