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0472" w14:textId="77777777" w:rsidR="0074696E" w:rsidRPr="004C6EEE" w:rsidRDefault="00D96063" w:rsidP="00AD784C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 wp14:anchorId="1D9AEBD4" wp14:editId="5B55D9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C86B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001E1E32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C08291E" w14:textId="6207052C" w:rsidR="00AD784C" w:rsidRPr="00161AA0" w:rsidRDefault="00396CEC" w:rsidP="0036581B">
            <w:pPr>
              <w:pStyle w:val="Healthmainheading"/>
            </w:pPr>
            <w:r w:rsidRPr="00624816">
              <w:t>Bulletin #</w:t>
            </w:r>
            <w:r w:rsidR="00F701B0">
              <w:t>39</w:t>
            </w:r>
            <w:r w:rsidR="002D4D8C">
              <w:br/>
              <w:t>Personality Disorder Initiative</w:t>
            </w:r>
            <w:r w:rsidR="0036581B">
              <w:t xml:space="preserve"> </w:t>
            </w:r>
          </w:p>
        </w:tc>
      </w:tr>
      <w:tr w:rsidR="00AD784C" w14:paraId="49474150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E7923C8" w14:textId="5F7CB582" w:rsidR="00D96063" w:rsidRPr="0041787B" w:rsidRDefault="00D96063" w:rsidP="00D96063">
            <w:pPr>
              <w:pStyle w:val="Healthmainsubheading"/>
            </w:pPr>
            <w:r>
              <w:t xml:space="preserve">Mental Health &amp; Drugs </w:t>
            </w:r>
            <w:proofErr w:type="gramStart"/>
            <w:r>
              <w:t xml:space="preserve">Data </w:t>
            </w:r>
            <w:r w:rsidR="00C94EBB">
              <w:t xml:space="preserve"> -</w:t>
            </w:r>
            <w:proofErr w:type="gramEnd"/>
            <w:r w:rsidR="00C94EBB">
              <w:t xml:space="preserve"> December 2019</w:t>
            </w:r>
          </w:p>
          <w:p w14:paraId="285E6B4D" w14:textId="77777777"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14:paraId="4DA179D2" w14:textId="77777777" w:rsidR="00D96063" w:rsidRDefault="00D96063" w:rsidP="00D405D3">
      <w:pPr>
        <w:pStyle w:val="Healthheading2"/>
        <w:spacing w:before="0" w:after="0" w:line="240" w:lineRule="auto"/>
        <w:jc w:val="both"/>
        <w:rPr>
          <w:color w:val="auto"/>
        </w:rPr>
      </w:pPr>
    </w:p>
    <w:p w14:paraId="06945C24" w14:textId="3746355B" w:rsidR="002D4D8C" w:rsidRPr="002D4D8C" w:rsidRDefault="002D4D8C" w:rsidP="002D4D8C">
      <w:pPr>
        <w:pStyle w:val="Heading2"/>
        <w:rPr>
          <w:lang w:eastAsia="en-AU"/>
        </w:rPr>
      </w:pPr>
      <w:r w:rsidRPr="002D4D8C">
        <w:rPr>
          <w:lang w:eastAsia="en-AU"/>
        </w:rPr>
        <w:t>Personality Disorder Initiative</w:t>
      </w:r>
      <w:r>
        <w:rPr>
          <w:lang w:eastAsia="en-AU"/>
        </w:rPr>
        <w:t xml:space="preserve"> - Overview</w:t>
      </w:r>
    </w:p>
    <w:p w14:paraId="003DC59D" w14:textId="77777777" w:rsidR="00D96063" w:rsidRDefault="00D96063" w:rsidP="00D405D3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</w:p>
    <w:p w14:paraId="1AC85571" w14:textId="1681C5D9" w:rsidR="00D96063" w:rsidRPr="004F5FF9" w:rsidRDefault="00D96063" w:rsidP="00D405D3">
      <w:pPr>
        <w:pStyle w:val="Healthheading2"/>
        <w:keepNext w:val="0"/>
        <w:keepLines w:val="0"/>
        <w:spacing w:before="0"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Service overview </w:t>
      </w:r>
    </w:p>
    <w:p w14:paraId="713F9C63" w14:textId="77777777" w:rsidR="002D4D8C" w:rsidRPr="002D4D8C" w:rsidRDefault="002D4D8C" w:rsidP="002D4D8C">
      <w:pPr>
        <w:pStyle w:val="Heading2"/>
        <w:rPr>
          <w:rFonts w:eastAsia="Times" w:cs="Arial"/>
          <w:b w:val="0"/>
          <w:color w:val="auto"/>
          <w:sz w:val="22"/>
          <w:szCs w:val="20"/>
          <w:lang w:eastAsia="en-AU"/>
        </w:rPr>
      </w:pPr>
      <w:r w:rsidRPr="002D4D8C">
        <w:rPr>
          <w:rFonts w:eastAsia="Times" w:cs="Arial"/>
          <w:b w:val="0"/>
          <w:color w:val="auto"/>
          <w:sz w:val="22"/>
          <w:szCs w:val="20"/>
          <w:lang w:eastAsia="en-AU"/>
        </w:rPr>
        <w:t>The Victorian Government is committed to supporting consumers of public clinical mental health services who have complex, high risk presentations resulting from severe personality disorders to access high quality, evidence-based assessment and clinical treatment.</w:t>
      </w:r>
    </w:p>
    <w:p w14:paraId="54AAF21A" w14:textId="360D446F" w:rsidR="002D4D8C" w:rsidRPr="00910C5B" w:rsidRDefault="002D4D8C" w:rsidP="002D4D8C">
      <w:pPr>
        <w:pStyle w:val="Heading2"/>
        <w:rPr>
          <w:rFonts w:eastAsia="Times" w:cs="Arial"/>
          <w:b w:val="0"/>
          <w:color w:val="auto"/>
          <w:sz w:val="22"/>
          <w:szCs w:val="20"/>
          <w:lang w:eastAsia="en-AU"/>
        </w:rPr>
      </w:pPr>
      <w:r w:rsidRPr="002D4D8C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To support this outcome, the Victorian State Budget committed $9.16 million over four years ($2.16 </w:t>
      </w:r>
      <w:r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>million in 2018-19 and $2.45 million ongoing) for the Personality Disorder Initiative</w:t>
      </w:r>
      <w:r w:rsidR="001749D3"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 (PDI)</w:t>
      </w:r>
      <w:r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. This initiative will build the expertise and capability of </w:t>
      </w:r>
      <w:r w:rsidR="00AF30D6"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select </w:t>
      </w:r>
      <w:r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>clinical mental health workforce</w:t>
      </w:r>
      <w:r w:rsidR="00AF30D6"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>s</w:t>
      </w:r>
      <w:r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 to assess, treat</w:t>
      </w:r>
      <w:r w:rsidR="001749D3"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, </w:t>
      </w:r>
      <w:r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>support</w:t>
      </w:r>
      <w:r w:rsidR="001749D3"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 improve outcomes for</w:t>
      </w:r>
      <w:r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 people with severe personality disorders who are at high risk of suicide, high lethality self-harm and/or violent or aggressive behaviour</w:t>
      </w:r>
      <w:r w:rsidR="00910C5B"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>s</w:t>
      </w:r>
      <w:r w:rsidRPr="00910C5B">
        <w:rPr>
          <w:rFonts w:eastAsia="Times" w:cs="Arial"/>
          <w:b w:val="0"/>
          <w:color w:val="auto"/>
          <w:sz w:val="22"/>
          <w:szCs w:val="20"/>
          <w:lang w:eastAsia="en-AU"/>
        </w:rPr>
        <w:t xml:space="preserve">. </w:t>
      </w:r>
    </w:p>
    <w:p w14:paraId="16153373" w14:textId="36072BBE" w:rsidR="00AF30D6" w:rsidRPr="00910C5B" w:rsidRDefault="00AF30D6" w:rsidP="00AF30D6">
      <w:pPr>
        <w:pStyle w:val="DHHSbody"/>
        <w:spacing w:line="320" w:lineRule="atLeast"/>
        <w:rPr>
          <w:rFonts w:cs="Arial"/>
          <w:sz w:val="22"/>
          <w:lang w:eastAsia="en-AU"/>
        </w:rPr>
      </w:pPr>
      <w:r w:rsidRPr="00910C5B">
        <w:rPr>
          <w:rFonts w:cs="Arial"/>
          <w:sz w:val="22"/>
          <w:lang w:eastAsia="en-AU"/>
        </w:rPr>
        <w:t>The initiative will establish Personality Disorder Clinical Specialists who</w:t>
      </w:r>
      <w:r w:rsidR="001749D3" w:rsidRPr="00910C5B">
        <w:rPr>
          <w:rFonts w:cs="Arial"/>
          <w:sz w:val="22"/>
          <w:lang w:eastAsia="en-AU"/>
        </w:rPr>
        <w:t xml:space="preserve"> will manage a small clinical case load of up to four consumers with very complex, high risk presentations at any one time</w:t>
      </w:r>
      <w:r w:rsidRPr="00910C5B">
        <w:rPr>
          <w:rFonts w:cs="Arial"/>
          <w:sz w:val="22"/>
          <w:lang w:eastAsia="en-AU"/>
        </w:rPr>
        <w:t xml:space="preserve">, in addition to building the skills and capabilities of clinicians in their health services to provide effective treatment to consumers with personality disorders. </w:t>
      </w:r>
    </w:p>
    <w:p w14:paraId="7D338783" w14:textId="0F1581F8" w:rsidR="00AF30D6" w:rsidRPr="00910C5B" w:rsidRDefault="00AF30D6" w:rsidP="00AF30D6">
      <w:pPr>
        <w:pStyle w:val="DHHSbody"/>
        <w:spacing w:line="320" w:lineRule="atLeast"/>
        <w:rPr>
          <w:rFonts w:cs="Arial"/>
          <w:sz w:val="22"/>
          <w:lang w:eastAsia="en-AU"/>
        </w:rPr>
      </w:pPr>
      <w:r w:rsidRPr="00910C5B">
        <w:rPr>
          <w:rFonts w:cs="Arial"/>
          <w:sz w:val="22"/>
          <w:lang w:eastAsia="en-AU"/>
        </w:rPr>
        <w:t xml:space="preserve">The Personality Disorder Initiative will be delivered in partnership with Spectrum, Victoria’s </w:t>
      </w:r>
      <w:r w:rsidR="001749D3" w:rsidRPr="00910C5B">
        <w:rPr>
          <w:rFonts w:cs="Arial"/>
          <w:sz w:val="22"/>
          <w:lang w:eastAsia="en-AU"/>
        </w:rPr>
        <w:t>state-wide</w:t>
      </w:r>
      <w:r w:rsidRPr="00910C5B">
        <w:rPr>
          <w:rFonts w:cs="Arial"/>
          <w:sz w:val="22"/>
          <w:lang w:eastAsia="en-AU"/>
        </w:rPr>
        <w:t xml:space="preserve"> specialist personality disorder service</w:t>
      </w:r>
      <w:r w:rsidR="001749D3" w:rsidRPr="00910C5B">
        <w:rPr>
          <w:rFonts w:cs="Arial"/>
          <w:sz w:val="22"/>
          <w:lang w:eastAsia="en-AU"/>
        </w:rPr>
        <w:t>,</w:t>
      </w:r>
      <w:r w:rsidRPr="00910C5B">
        <w:rPr>
          <w:rFonts w:cs="Arial"/>
          <w:sz w:val="22"/>
          <w:lang w:eastAsia="en-AU"/>
        </w:rPr>
        <w:t xml:space="preserve"> who will provide intensive training and active clinical supervision to the Personality Disorder Clinical Specialists.</w:t>
      </w:r>
    </w:p>
    <w:p w14:paraId="4ED3D5B0" w14:textId="4C25F48F" w:rsidR="00202AE3" w:rsidRPr="00202AE3" w:rsidRDefault="00202AE3" w:rsidP="00202AE3">
      <w:pPr>
        <w:pStyle w:val="DHHSbody"/>
        <w:rPr>
          <w:rFonts w:cs="Arial"/>
          <w:sz w:val="22"/>
          <w:lang w:eastAsia="en-AU"/>
        </w:rPr>
      </w:pPr>
      <w:r w:rsidRPr="00910C5B">
        <w:rPr>
          <w:rFonts w:cs="Arial"/>
          <w:sz w:val="22"/>
          <w:lang w:eastAsia="en-AU"/>
        </w:rPr>
        <w:t xml:space="preserve">Six health services across Victoria </w:t>
      </w:r>
      <w:r w:rsidR="001749D3" w:rsidRPr="00910C5B">
        <w:rPr>
          <w:rFonts w:cs="Arial"/>
          <w:sz w:val="22"/>
          <w:lang w:eastAsia="en-AU"/>
        </w:rPr>
        <w:t xml:space="preserve">will </w:t>
      </w:r>
      <w:r w:rsidRPr="00910C5B">
        <w:rPr>
          <w:rFonts w:cs="Arial"/>
          <w:sz w:val="22"/>
          <w:lang w:eastAsia="en-AU"/>
        </w:rPr>
        <w:t>deliver the PDI in partnership</w:t>
      </w:r>
      <w:r w:rsidRPr="00202AE3">
        <w:rPr>
          <w:rFonts w:cs="Arial"/>
          <w:sz w:val="22"/>
          <w:lang w:eastAsia="en-AU"/>
        </w:rPr>
        <w:t xml:space="preserve"> with Spectrum:</w:t>
      </w:r>
    </w:p>
    <w:p w14:paraId="7F200E34" w14:textId="77777777" w:rsidR="00202AE3" w:rsidRPr="00202AE3" w:rsidRDefault="00202AE3" w:rsidP="00202AE3">
      <w:pPr>
        <w:pStyle w:val="DHHSbody"/>
        <w:numPr>
          <w:ilvl w:val="0"/>
          <w:numId w:val="14"/>
        </w:numPr>
        <w:rPr>
          <w:rFonts w:cs="Arial"/>
          <w:sz w:val="22"/>
          <w:lang w:eastAsia="en-AU"/>
        </w:rPr>
      </w:pPr>
      <w:r w:rsidRPr="00202AE3">
        <w:rPr>
          <w:rFonts w:cs="Arial"/>
          <w:sz w:val="22"/>
          <w:lang w:eastAsia="en-AU"/>
        </w:rPr>
        <w:t>Alfred Health</w:t>
      </w:r>
    </w:p>
    <w:p w14:paraId="0BCDCF90" w14:textId="77777777" w:rsidR="00202AE3" w:rsidRPr="00202AE3" w:rsidRDefault="00202AE3" w:rsidP="00202AE3">
      <w:pPr>
        <w:pStyle w:val="DHHSbody"/>
        <w:numPr>
          <w:ilvl w:val="0"/>
          <w:numId w:val="14"/>
        </w:numPr>
        <w:rPr>
          <w:rFonts w:cs="Arial"/>
          <w:sz w:val="22"/>
          <w:lang w:eastAsia="en-AU"/>
        </w:rPr>
      </w:pPr>
      <w:r w:rsidRPr="00202AE3">
        <w:rPr>
          <w:rFonts w:cs="Arial"/>
          <w:sz w:val="22"/>
          <w:lang w:eastAsia="en-AU"/>
        </w:rPr>
        <w:t>Monash Health</w:t>
      </w:r>
    </w:p>
    <w:p w14:paraId="71A085BA" w14:textId="77777777" w:rsidR="00202AE3" w:rsidRPr="00202AE3" w:rsidRDefault="00202AE3" w:rsidP="00202AE3">
      <w:pPr>
        <w:pStyle w:val="DHHSbody"/>
        <w:numPr>
          <w:ilvl w:val="0"/>
          <w:numId w:val="14"/>
        </w:numPr>
        <w:rPr>
          <w:rFonts w:cs="Arial"/>
          <w:sz w:val="22"/>
          <w:lang w:eastAsia="en-AU"/>
        </w:rPr>
      </w:pPr>
      <w:r w:rsidRPr="00202AE3">
        <w:rPr>
          <w:rFonts w:cs="Arial"/>
          <w:sz w:val="22"/>
          <w:lang w:eastAsia="en-AU"/>
        </w:rPr>
        <w:t>Melbourne Health (Northern Area Mental Health Service)</w:t>
      </w:r>
    </w:p>
    <w:p w14:paraId="3637162D" w14:textId="77777777" w:rsidR="00202AE3" w:rsidRPr="00202AE3" w:rsidRDefault="00202AE3" w:rsidP="00202AE3">
      <w:pPr>
        <w:pStyle w:val="DHHSbody"/>
        <w:numPr>
          <w:ilvl w:val="0"/>
          <w:numId w:val="14"/>
        </w:numPr>
        <w:rPr>
          <w:rFonts w:cs="Arial"/>
          <w:sz w:val="22"/>
          <w:lang w:eastAsia="en-AU"/>
        </w:rPr>
      </w:pPr>
      <w:r w:rsidRPr="00202AE3">
        <w:rPr>
          <w:rFonts w:cs="Arial"/>
          <w:sz w:val="22"/>
          <w:lang w:eastAsia="en-AU"/>
        </w:rPr>
        <w:t>Barwon Health</w:t>
      </w:r>
    </w:p>
    <w:p w14:paraId="7A5A7B82" w14:textId="77777777" w:rsidR="00202AE3" w:rsidRPr="00202AE3" w:rsidRDefault="00202AE3" w:rsidP="00202AE3">
      <w:pPr>
        <w:pStyle w:val="DHHSbody"/>
        <w:numPr>
          <w:ilvl w:val="0"/>
          <w:numId w:val="14"/>
        </w:numPr>
        <w:rPr>
          <w:rFonts w:cs="Arial"/>
          <w:sz w:val="22"/>
          <w:lang w:eastAsia="en-AU"/>
        </w:rPr>
      </w:pPr>
      <w:r w:rsidRPr="00202AE3">
        <w:rPr>
          <w:rFonts w:cs="Arial"/>
          <w:sz w:val="22"/>
          <w:lang w:eastAsia="en-AU"/>
        </w:rPr>
        <w:t xml:space="preserve">Goulburn Valley Health </w:t>
      </w:r>
    </w:p>
    <w:p w14:paraId="5F1BDF9C" w14:textId="42D4BE41" w:rsidR="00202AE3" w:rsidRPr="00202AE3" w:rsidRDefault="00202AE3" w:rsidP="00202AE3">
      <w:pPr>
        <w:pStyle w:val="DHHSbody"/>
        <w:numPr>
          <w:ilvl w:val="0"/>
          <w:numId w:val="14"/>
        </w:numPr>
        <w:rPr>
          <w:rFonts w:cs="Arial"/>
          <w:sz w:val="22"/>
          <w:lang w:eastAsia="en-AU"/>
        </w:rPr>
      </w:pPr>
      <w:r w:rsidRPr="00202AE3">
        <w:rPr>
          <w:rFonts w:cs="Arial"/>
          <w:sz w:val="22"/>
          <w:lang w:eastAsia="en-AU"/>
        </w:rPr>
        <w:t>Forensicare</w:t>
      </w:r>
      <w:r w:rsidR="00AF30D6">
        <w:rPr>
          <w:rFonts w:cs="Arial"/>
          <w:sz w:val="22"/>
          <w:lang w:eastAsia="en-AU"/>
        </w:rPr>
        <w:t>.</w:t>
      </w:r>
    </w:p>
    <w:p w14:paraId="78EC21F3" w14:textId="77777777" w:rsidR="00202AE3" w:rsidRPr="00202AE3" w:rsidRDefault="00202AE3" w:rsidP="00202AE3">
      <w:pPr>
        <w:pStyle w:val="DHHSbody"/>
        <w:rPr>
          <w:lang w:eastAsia="en-AU"/>
        </w:rPr>
      </w:pPr>
    </w:p>
    <w:p w14:paraId="75B84D00" w14:textId="1FD2A782" w:rsidR="005C0B6C" w:rsidRPr="00C43ECB" w:rsidRDefault="002D4D8C" w:rsidP="005C0B6C">
      <w:pPr>
        <w:pStyle w:val="Heading2"/>
        <w:rPr>
          <w:lang w:eastAsia="en-AU"/>
        </w:rPr>
      </w:pPr>
      <w:r w:rsidRPr="002D4D8C">
        <w:rPr>
          <w:lang w:eastAsia="en-AU"/>
        </w:rPr>
        <w:lastRenderedPageBreak/>
        <w:t>Personality Disorder Initiative</w:t>
      </w:r>
      <w:r>
        <w:rPr>
          <w:lang w:eastAsia="en-AU"/>
        </w:rPr>
        <w:t xml:space="preserve"> </w:t>
      </w:r>
      <w:r w:rsidR="005C0B6C" w:rsidRPr="00C43ECB">
        <w:rPr>
          <w:lang w:eastAsia="en-AU"/>
        </w:rPr>
        <w:t xml:space="preserve">Subcentre/Program setup </w:t>
      </w:r>
    </w:p>
    <w:p w14:paraId="566E66B4" w14:textId="151E4D74" w:rsidR="005C0B6C" w:rsidRPr="00F701B0" w:rsidRDefault="005C0B6C" w:rsidP="005C0B6C">
      <w:pPr>
        <w:pStyle w:val="DHHStablecaption"/>
        <w:rPr>
          <w:sz w:val="22"/>
          <w:szCs w:val="22"/>
          <w:lang w:eastAsia="en-AU"/>
        </w:rPr>
      </w:pPr>
      <w:r w:rsidRPr="00F701B0">
        <w:rPr>
          <w:sz w:val="22"/>
          <w:szCs w:val="22"/>
          <w:lang w:eastAsia="en-AU"/>
        </w:rPr>
        <w:t xml:space="preserve">Table </w:t>
      </w:r>
      <w:r w:rsidR="0021445E" w:rsidRPr="00F701B0">
        <w:rPr>
          <w:sz w:val="22"/>
          <w:szCs w:val="22"/>
          <w:lang w:eastAsia="en-AU"/>
        </w:rPr>
        <w:t>1</w:t>
      </w:r>
      <w:r w:rsidRPr="00F701B0">
        <w:rPr>
          <w:sz w:val="22"/>
          <w:szCs w:val="22"/>
          <w:lang w:eastAsia="en-AU"/>
        </w:rPr>
        <w:t>. Program Maintenance</w:t>
      </w:r>
    </w:p>
    <w:tbl>
      <w:tblPr>
        <w:tblW w:w="92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416"/>
        <w:gridCol w:w="1418"/>
        <w:gridCol w:w="1843"/>
        <w:gridCol w:w="1984"/>
      </w:tblGrid>
      <w:tr w:rsidR="005C0B6C" w:rsidRPr="00776C76" w14:paraId="48251747" w14:textId="77777777" w:rsidTr="0036581B">
        <w:tc>
          <w:tcPr>
            <w:tcW w:w="1552" w:type="dxa"/>
            <w:shd w:val="clear" w:color="auto" w:fill="auto"/>
          </w:tcPr>
          <w:p w14:paraId="6466F96E" w14:textId="77777777" w:rsidR="005C0B6C" w:rsidRPr="0037024B" w:rsidRDefault="005C0B6C" w:rsidP="007A724E">
            <w:pPr>
              <w:pStyle w:val="DHHStablecolhead"/>
              <w:rPr>
                <w:rFonts w:eastAsia="Times"/>
                <w:lang w:eastAsia="en-AU"/>
              </w:rPr>
            </w:pPr>
            <w:bookmarkStart w:id="0" w:name="_Hlk16750473"/>
            <w:r w:rsidRPr="0037024B">
              <w:rPr>
                <w:rFonts w:eastAsia="Times"/>
                <w:lang w:eastAsia="en-AU"/>
              </w:rPr>
              <w:t>Program Classification</w:t>
            </w:r>
          </w:p>
        </w:tc>
        <w:tc>
          <w:tcPr>
            <w:tcW w:w="2416" w:type="dxa"/>
            <w:shd w:val="clear" w:color="auto" w:fill="auto"/>
          </w:tcPr>
          <w:p w14:paraId="5D7BDC55" w14:textId="77777777" w:rsidR="005C0B6C" w:rsidRPr="0037024B" w:rsidRDefault="005C0B6C" w:rsidP="007A724E">
            <w:pPr>
              <w:pStyle w:val="DHHStablecolhead"/>
              <w:rPr>
                <w:rFonts w:eastAsia="Times"/>
                <w:lang w:eastAsia="en-AU"/>
              </w:rPr>
            </w:pPr>
            <w:r w:rsidRPr="0037024B">
              <w:rPr>
                <w:rFonts w:eastAsia="Times"/>
                <w:lang w:eastAsia="en-AU"/>
              </w:rPr>
              <w:t>Program Type</w:t>
            </w:r>
          </w:p>
        </w:tc>
        <w:tc>
          <w:tcPr>
            <w:tcW w:w="1418" w:type="dxa"/>
            <w:shd w:val="clear" w:color="auto" w:fill="auto"/>
          </w:tcPr>
          <w:p w14:paraId="73C08DE1" w14:textId="77777777" w:rsidR="005C0B6C" w:rsidRPr="0037024B" w:rsidRDefault="005C0B6C" w:rsidP="007A724E">
            <w:pPr>
              <w:pStyle w:val="DHHStablecolhead"/>
              <w:rPr>
                <w:rFonts w:eastAsia="Times"/>
                <w:lang w:eastAsia="en-AU"/>
              </w:rPr>
            </w:pPr>
            <w:r w:rsidRPr="0037024B">
              <w:rPr>
                <w:rFonts w:eastAsia="Times"/>
                <w:lang w:eastAsia="en-AU"/>
              </w:rPr>
              <w:t>Program Description</w:t>
            </w:r>
          </w:p>
        </w:tc>
        <w:tc>
          <w:tcPr>
            <w:tcW w:w="1843" w:type="dxa"/>
            <w:shd w:val="clear" w:color="auto" w:fill="auto"/>
          </w:tcPr>
          <w:p w14:paraId="3D0FEB3F" w14:textId="77777777" w:rsidR="005C0B6C" w:rsidRPr="0037024B" w:rsidRDefault="005C0B6C" w:rsidP="007A724E">
            <w:pPr>
              <w:pStyle w:val="DHHStablecolhead"/>
              <w:rPr>
                <w:rFonts w:eastAsia="Times"/>
                <w:lang w:eastAsia="en-AU"/>
              </w:rPr>
            </w:pPr>
            <w:r w:rsidRPr="0037024B">
              <w:rPr>
                <w:rFonts w:eastAsia="Times"/>
                <w:lang w:eastAsia="en-AU"/>
              </w:rPr>
              <w:t>Fund Source</w:t>
            </w:r>
          </w:p>
        </w:tc>
        <w:tc>
          <w:tcPr>
            <w:tcW w:w="1984" w:type="dxa"/>
            <w:shd w:val="clear" w:color="auto" w:fill="auto"/>
          </w:tcPr>
          <w:p w14:paraId="26C0A921" w14:textId="77777777" w:rsidR="005C0B6C" w:rsidRPr="0037024B" w:rsidRDefault="005C0B6C" w:rsidP="007A724E">
            <w:pPr>
              <w:pStyle w:val="DHHStablecolhead"/>
              <w:rPr>
                <w:rFonts w:eastAsia="Times"/>
                <w:lang w:eastAsia="en-AU"/>
              </w:rPr>
            </w:pPr>
            <w:r w:rsidRPr="0037024B">
              <w:rPr>
                <w:rFonts w:eastAsia="Times"/>
                <w:lang w:eastAsia="en-AU"/>
              </w:rPr>
              <w:t>Target Population</w:t>
            </w:r>
          </w:p>
        </w:tc>
      </w:tr>
      <w:tr w:rsidR="008E05BA" w:rsidRPr="00776C76" w14:paraId="4AA11847" w14:textId="77777777" w:rsidTr="004C24C0">
        <w:tc>
          <w:tcPr>
            <w:tcW w:w="1552" w:type="dxa"/>
            <w:shd w:val="clear" w:color="auto" w:fill="auto"/>
          </w:tcPr>
          <w:p w14:paraId="51FAD2C9" w14:textId="77777777" w:rsidR="008E05BA" w:rsidRPr="00A8367B" w:rsidRDefault="008E05BA" w:rsidP="004C24C0">
            <w:pPr>
              <w:pStyle w:val="DHHSbody"/>
              <w:rPr>
                <w:rFonts w:cs="Arial"/>
                <w:sz w:val="22"/>
                <w:lang w:eastAsia="en-AU"/>
              </w:rPr>
            </w:pPr>
            <w:r w:rsidRPr="00A8367B">
              <w:rPr>
                <w:rFonts w:cs="Arial"/>
                <w:sz w:val="22"/>
                <w:lang w:eastAsia="en-AU"/>
              </w:rPr>
              <w:t>Community</w:t>
            </w:r>
          </w:p>
        </w:tc>
        <w:tc>
          <w:tcPr>
            <w:tcW w:w="2416" w:type="dxa"/>
            <w:shd w:val="clear" w:color="auto" w:fill="auto"/>
          </w:tcPr>
          <w:p w14:paraId="1E755A9D" w14:textId="178EEA86" w:rsidR="008E05BA" w:rsidRPr="008E05BA" w:rsidRDefault="008E05BA" w:rsidP="004C24C0">
            <w:pPr>
              <w:pStyle w:val="DHHSbody"/>
              <w:rPr>
                <w:rFonts w:cs="Arial"/>
                <w:color w:val="FF0000"/>
                <w:sz w:val="22"/>
                <w:szCs w:val="22"/>
                <w:lang w:eastAsia="en-AU"/>
              </w:rPr>
            </w:pPr>
            <w:r w:rsidRPr="004C24C0">
              <w:rPr>
                <w:rFonts w:cs="Arial"/>
                <w:sz w:val="22"/>
                <w:lang w:eastAsia="en-AU"/>
              </w:rPr>
              <w:t>Comm, Clinical Specialist Personality Disorder - Adult</w:t>
            </w:r>
          </w:p>
        </w:tc>
        <w:tc>
          <w:tcPr>
            <w:tcW w:w="1418" w:type="dxa"/>
            <w:shd w:val="clear" w:color="auto" w:fill="auto"/>
          </w:tcPr>
          <w:p w14:paraId="1721FA9A" w14:textId="7B9A853A" w:rsidR="008E05BA" w:rsidRPr="0037024B" w:rsidRDefault="008E05BA" w:rsidP="004C24C0">
            <w:pPr>
              <w:rPr>
                <w:rFonts w:cs="Arial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09B36F6D" w14:textId="77777777" w:rsidR="008E05BA" w:rsidRPr="00A8367B" w:rsidRDefault="008E05BA" w:rsidP="004C24C0">
            <w:pPr>
              <w:rPr>
                <w:rFonts w:ascii="Arial" w:eastAsia="Times" w:hAnsi="Arial" w:cs="Arial"/>
                <w:sz w:val="22"/>
                <w:lang w:eastAsia="en-AU"/>
              </w:rPr>
            </w:pPr>
            <w:r w:rsidRPr="00A8367B">
              <w:rPr>
                <w:rFonts w:ascii="Arial" w:eastAsia="Times" w:hAnsi="Arial" w:cs="Arial"/>
                <w:sz w:val="22"/>
                <w:lang w:eastAsia="en-AU"/>
              </w:rPr>
              <w:t>Community Specialist/Statewide Services</w:t>
            </w:r>
          </w:p>
          <w:p w14:paraId="0D9796F4" w14:textId="2A621B36" w:rsidR="008E05BA" w:rsidRPr="00A8367B" w:rsidRDefault="008E05BA" w:rsidP="004C24C0">
            <w:pPr>
              <w:pStyle w:val="DHHSbody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0B86BA2D" w14:textId="2A656939" w:rsidR="008E05BA" w:rsidRPr="00A8367B" w:rsidRDefault="008E05BA" w:rsidP="004C24C0">
            <w:pPr>
              <w:pStyle w:val="DHHSbody"/>
              <w:rPr>
                <w:rFonts w:cs="Arial"/>
                <w:sz w:val="22"/>
                <w:lang w:eastAsia="en-AU"/>
              </w:rPr>
            </w:pPr>
            <w:r w:rsidRPr="00A8367B">
              <w:rPr>
                <w:rFonts w:cs="Arial"/>
                <w:sz w:val="22"/>
                <w:lang w:eastAsia="en-AU"/>
              </w:rPr>
              <w:t>Personality Disorder</w:t>
            </w:r>
          </w:p>
        </w:tc>
      </w:tr>
      <w:bookmarkEnd w:id="0"/>
    </w:tbl>
    <w:p w14:paraId="212D4405" w14:textId="471C8754" w:rsidR="005C0B6C" w:rsidRDefault="005C0B6C" w:rsidP="005C0B6C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</w:p>
    <w:p w14:paraId="2C8079C8" w14:textId="364FC825" w:rsidR="004C24C0" w:rsidRDefault="004C24C0" w:rsidP="005C0B6C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</w:p>
    <w:p w14:paraId="36E62E3A" w14:textId="77777777" w:rsidR="00F701B0" w:rsidRPr="00F701B0" w:rsidRDefault="00F701B0" w:rsidP="00F701B0">
      <w:pPr>
        <w:pStyle w:val="Healthheading2"/>
        <w:keepNext w:val="0"/>
        <w:keepLines w:val="0"/>
        <w:spacing w:before="0" w:after="0" w:line="240" w:lineRule="auto"/>
        <w:jc w:val="both"/>
        <w:rPr>
          <w:color w:val="auto"/>
          <w:sz w:val="22"/>
          <w:szCs w:val="22"/>
        </w:rPr>
      </w:pPr>
      <w:r w:rsidRPr="00F701B0">
        <w:rPr>
          <w:color w:val="auto"/>
          <w:sz w:val="22"/>
          <w:szCs w:val="22"/>
        </w:rPr>
        <w:t>Subcentre Setup</w:t>
      </w:r>
    </w:p>
    <w:p w14:paraId="3788317A" w14:textId="7FA4083E" w:rsidR="00F701B0" w:rsidRPr="00A05742" w:rsidRDefault="00F701B0" w:rsidP="00F701B0">
      <w:pPr>
        <w:pStyle w:val="DHHSbody"/>
        <w:spacing w:after="480"/>
        <w:rPr>
          <w:rFonts w:cs="Arial"/>
          <w:sz w:val="22"/>
          <w:lang w:eastAsia="en-AU"/>
        </w:rPr>
      </w:pPr>
      <w:r w:rsidRPr="00A05742">
        <w:rPr>
          <w:rFonts w:cs="Arial"/>
          <w:sz w:val="22"/>
          <w:lang w:eastAsia="en-AU"/>
        </w:rPr>
        <w:t xml:space="preserve">Personality Disorder Initiative must be attached to a community subcentre which is setup to collect outcome measures. This can be a new or existing subcentre, provided it </w:t>
      </w:r>
      <w:r w:rsidR="00910C5B">
        <w:rPr>
          <w:rFonts w:cs="Arial"/>
          <w:sz w:val="22"/>
          <w:lang w:eastAsia="en-AU"/>
        </w:rPr>
        <w:t>is setup to collect community outcome measures</w:t>
      </w:r>
      <w:r w:rsidRPr="00A05742">
        <w:rPr>
          <w:rFonts w:cs="Arial"/>
          <w:sz w:val="22"/>
          <w:lang w:eastAsia="en-AU"/>
        </w:rPr>
        <w:t>.</w:t>
      </w:r>
    </w:p>
    <w:p w14:paraId="2279D0E6" w14:textId="77777777" w:rsidR="00F701B0" w:rsidRDefault="00F701B0" w:rsidP="005C0B6C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</w:p>
    <w:p w14:paraId="3E406DF0" w14:textId="77777777" w:rsidR="004C24C0" w:rsidRDefault="004C24C0" w:rsidP="004C24C0">
      <w:pPr>
        <w:pStyle w:val="Healthheading2"/>
        <w:keepNext w:val="0"/>
        <w:keepLines w:val="0"/>
        <w:spacing w:before="0"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Service activity data</w:t>
      </w:r>
    </w:p>
    <w:p w14:paraId="18E3A2B6" w14:textId="73915D57" w:rsidR="004C24C0" w:rsidRPr="00910C5B" w:rsidRDefault="00F701B0" w:rsidP="004C24C0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 w:rsidRPr="00910C5B">
        <w:rPr>
          <w:b w:val="0"/>
          <w:color w:val="auto"/>
          <w:sz w:val="22"/>
          <w:szCs w:val="22"/>
        </w:rPr>
        <w:t>Much of</w:t>
      </w:r>
      <w:r w:rsidR="00E41EE6" w:rsidRPr="00910C5B">
        <w:rPr>
          <w:b w:val="0"/>
          <w:color w:val="auto"/>
          <w:sz w:val="22"/>
          <w:szCs w:val="22"/>
        </w:rPr>
        <w:t xml:space="preserve"> the</w:t>
      </w:r>
      <w:r w:rsidR="004C24C0" w:rsidRPr="00910C5B">
        <w:rPr>
          <w:b w:val="0"/>
          <w:color w:val="auto"/>
          <w:sz w:val="22"/>
          <w:szCs w:val="22"/>
        </w:rPr>
        <w:t xml:space="preserve"> </w:t>
      </w:r>
      <w:r w:rsidR="001749D3" w:rsidRPr="00910C5B">
        <w:rPr>
          <w:b w:val="0"/>
          <w:color w:val="auto"/>
          <w:sz w:val="22"/>
          <w:szCs w:val="22"/>
        </w:rPr>
        <w:t xml:space="preserve">Personality Disorder Initiative </w:t>
      </w:r>
      <w:r w:rsidRPr="00910C5B">
        <w:rPr>
          <w:b w:val="0"/>
          <w:color w:val="auto"/>
          <w:sz w:val="22"/>
          <w:szCs w:val="22"/>
        </w:rPr>
        <w:t>reportable contact</w:t>
      </w:r>
      <w:r w:rsidR="004C24C0" w:rsidRPr="00910C5B">
        <w:rPr>
          <w:b w:val="0"/>
          <w:color w:val="auto"/>
          <w:sz w:val="22"/>
          <w:szCs w:val="22"/>
        </w:rPr>
        <w:t xml:space="preserve"> activity</w:t>
      </w:r>
      <w:r w:rsidRPr="00910C5B">
        <w:rPr>
          <w:b w:val="0"/>
          <w:color w:val="auto"/>
          <w:sz w:val="22"/>
          <w:szCs w:val="22"/>
        </w:rPr>
        <w:t xml:space="preserve"> falls within the following Community contact type categories</w:t>
      </w:r>
      <w:r w:rsidR="004C24C0" w:rsidRPr="00910C5B">
        <w:rPr>
          <w:b w:val="0"/>
          <w:color w:val="auto"/>
          <w:sz w:val="22"/>
          <w:szCs w:val="22"/>
        </w:rPr>
        <w:t>:</w:t>
      </w:r>
    </w:p>
    <w:p w14:paraId="107858A4" w14:textId="77777777" w:rsidR="004C24C0" w:rsidRPr="00910C5B" w:rsidRDefault="004C24C0" w:rsidP="00034C97">
      <w:pPr>
        <w:pStyle w:val="Healthheading2"/>
        <w:keepNext w:val="0"/>
        <w:keepLines w:val="0"/>
        <w:numPr>
          <w:ilvl w:val="0"/>
          <w:numId w:val="15"/>
        </w:numPr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 w:rsidRPr="00910C5B">
        <w:rPr>
          <w:b w:val="0"/>
          <w:color w:val="auto"/>
          <w:sz w:val="22"/>
          <w:szCs w:val="22"/>
        </w:rPr>
        <w:t>Primary consultation</w:t>
      </w:r>
    </w:p>
    <w:p w14:paraId="13328721" w14:textId="7001CF3D" w:rsidR="004C24C0" w:rsidRPr="00910C5B" w:rsidRDefault="004C24C0" w:rsidP="00034C97">
      <w:pPr>
        <w:pStyle w:val="Healthheading2"/>
        <w:keepNext w:val="0"/>
        <w:keepLines w:val="0"/>
        <w:numPr>
          <w:ilvl w:val="0"/>
          <w:numId w:val="15"/>
        </w:numPr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 w:rsidRPr="00910C5B">
        <w:rPr>
          <w:b w:val="0"/>
          <w:color w:val="auto"/>
          <w:sz w:val="22"/>
          <w:szCs w:val="22"/>
        </w:rPr>
        <w:t>Secondary consultation</w:t>
      </w:r>
    </w:p>
    <w:p w14:paraId="555C9F77" w14:textId="0AF791F7" w:rsidR="004C24C0" w:rsidRPr="00910C5B" w:rsidRDefault="004C24C0" w:rsidP="004C24C0">
      <w:pPr>
        <w:pStyle w:val="Healthheading2"/>
        <w:keepNext w:val="0"/>
        <w:keepLines w:val="0"/>
        <w:numPr>
          <w:ilvl w:val="0"/>
          <w:numId w:val="15"/>
        </w:numPr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 w:rsidRPr="00910C5B">
        <w:rPr>
          <w:b w:val="0"/>
          <w:color w:val="auto"/>
          <w:sz w:val="22"/>
          <w:szCs w:val="22"/>
        </w:rPr>
        <w:t>Specialty MH Service Development</w:t>
      </w:r>
    </w:p>
    <w:p w14:paraId="7B26C55C" w14:textId="0BD22BB6" w:rsidR="004C24C0" w:rsidRPr="00910C5B" w:rsidRDefault="004C24C0" w:rsidP="004C24C0">
      <w:pPr>
        <w:pStyle w:val="Healthheading2"/>
        <w:keepNext w:val="0"/>
        <w:keepLines w:val="0"/>
        <w:spacing w:before="0" w:after="0" w:line="240" w:lineRule="auto"/>
        <w:jc w:val="both"/>
        <w:rPr>
          <w:color w:val="auto"/>
          <w:sz w:val="22"/>
          <w:szCs w:val="22"/>
        </w:rPr>
      </w:pPr>
      <w:r w:rsidRPr="00910C5B">
        <w:rPr>
          <w:color w:val="auto"/>
          <w:sz w:val="22"/>
          <w:szCs w:val="22"/>
        </w:rPr>
        <w:t xml:space="preserve"> </w:t>
      </w:r>
    </w:p>
    <w:p w14:paraId="40D8D40E" w14:textId="474511F2" w:rsidR="004C24C0" w:rsidRDefault="00F701B0" w:rsidP="00F701B0">
      <w:pPr>
        <w:rPr>
          <w:rFonts w:ascii="Arial" w:eastAsia="Times" w:hAnsi="Arial" w:cs="Arial"/>
          <w:sz w:val="22"/>
          <w:lang w:eastAsia="en-AU"/>
        </w:rPr>
      </w:pPr>
      <w:r w:rsidRPr="00910C5B">
        <w:rPr>
          <w:rFonts w:ascii="Arial" w:eastAsia="Times" w:hAnsi="Arial" w:cs="Arial"/>
          <w:sz w:val="22"/>
          <w:lang w:eastAsia="en-AU"/>
        </w:rPr>
        <w:t xml:space="preserve">The </w:t>
      </w:r>
      <w:bookmarkStart w:id="1" w:name="_Hlk26184821"/>
      <w:r w:rsidR="001749D3" w:rsidRPr="00910C5B">
        <w:rPr>
          <w:rFonts w:ascii="Arial" w:eastAsia="Times" w:hAnsi="Arial" w:cs="Arial"/>
          <w:sz w:val="22"/>
          <w:lang w:eastAsia="en-AU"/>
        </w:rPr>
        <w:t>P</w:t>
      </w:r>
      <w:r w:rsidRPr="00910C5B">
        <w:rPr>
          <w:rFonts w:ascii="Arial" w:eastAsia="Times" w:hAnsi="Arial" w:cs="Arial"/>
          <w:sz w:val="22"/>
          <w:lang w:eastAsia="en-AU"/>
        </w:rPr>
        <w:t xml:space="preserve">ersonality </w:t>
      </w:r>
      <w:r w:rsidR="001749D3" w:rsidRPr="00910C5B">
        <w:rPr>
          <w:rFonts w:ascii="Arial" w:eastAsia="Times" w:hAnsi="Arial" w:cs="Arial"/>
          <w:sz w:val="22"/>
          <w:lang w:eastAsia="en-AU"/>
        </w:rPr>
        <w:t>D</w:t>
      </w:r>
      <w:r w:rsidRPr="00910C5B">
        <w:rPr>
          <w:rFonts w:ascii="Arial" w:eastAsia="Times" w:hAnsi="Arial" w:cs="Arial"/>
          <w:sz w:val="22"/>
          <w:lang w:eastAsia="en-AU"/>
        </w:rPr>
        <w:t xml:space="preserve">isorder </w:t>
      </w:r>
      <w:r w:rsidR="001749D3" w:rsidRPr="00910C5B">
        <w:rPr>
          <w:rFonts w:ascii="Arial" w:eastAsia="Times" w:hAnsi="Arial" w:cs="Arial"/>
          <w:sz w:val="22"/>
          <w:lang w:eastAsia="en-AU"/>
        </w:rPr>
        <w:t>I</w:t>
      </w:r>
      <w:r w:rsidRPr="00910C5B">
        <w:rPr>
          <w:rFonts w:ascii="Arial" w:eastAsia="Times" w:hAnsi="Arial" w:cs="Arial"/>
          <w:sz w:val="22"/>
          <w:lang w:eastAsia="en-AU"/>
        </w:rPr>
        <w:t xml:space="preserve">nitiative </w:t>
      </w:r>
      <w:bookmarkEnd w:id="1"/>
      <w:r w:rsidRPr="00910C5B">
        <w:rPr>
          <w:rFonts w:ascii="Arial" w:eastAsia="Times" w:hAnsi="Arial" w:cs="Arial"/>
          <w:sz w:val="22"/>
          <w:lang w:eastAsia="en-AU"/>
        </w:rPr>
        <w:t>will</w:t>
      </w:r>
      <w:r>
        <w:rPr>
          <w:rFonts w:ascii="Arial" w:eastAsia="Times" w:hAnsi="Arial" w:cs="Arial"/>
          <w:sz w:val="22"/>
          <w:lang w:eastAsia="en-AU"/>
        </w:rPr>
        <w:t xml:space="preserve"> also provide</w:t>
      </w:r>
      <w:r w:rsidR="00E41EE6" w:rsidRPr="00E41EE6">
        <w:rPr>
          <w:rFonts w:ascii="Arial" w:eastAsia="Times" w:hAnsi="Arial" w:cs="Arial"/>
          <w:sz w:val="22"/>
          <w:lang w:eastAsia="en-AU"/>
        </w:rPr>
        <w:t xml:space="preserve"> client contact type</w:t>
      </w:r>
      <w:r>
        <w:rPr>
          <w:rFonts w:ascii="Arial" w:eastAsia="Times" w:hAnsi="Arial" w:cs="Arial"/>
          <w:sz w:val="22"/>
          <w:lang w:eastAsia="en-AU"/>
        </w:rPr>
        <w:t xml:space="preserve"> services</w:t>
      </w:r>
      <w:r w:rsidR="00E41EE6" w:rsidRPr="00E41EE6">
        <w:rPr>
          <w:rFonts w:ascii="Arial" w:eastAsia="Times" w:hAnsi="Arial" w:cs="Arial"/>
          <w:sz w:val="22"/>
          <w:lang w:eastAsia="en-AU"/>
        </w:rPr>
        <w:t>.</w:t>
      </w:r>
      <w:r>
        <w:rPr>
          <w:rFonts w:ascii="Arial" w:eastAsia="Times" w:hAnsi="Arial" w:cs="Arial"/>
          <w:sz w:val="22"/>
          <w:lang w:eastAsia="en-AU"/>
        </w:rPr>
        <w:t xml:space="preserve"> </w:t>
      </w:r>
      <w:r w:rsidR="00E41EE6" w:rsidRPr="00E41EE6">
        <w:rPr>
          <w:rFonts w:ascii="Arial" w:eastAsia="Times" w:hAnsi="Arial" w:cs="Arial"/>
          <w:sz w:val="22"/>
          <w:lang w:eastAsia="en-AU"/>
        </w:rPr>
        <w:t xml:space="preserve">Please refer to the CMI/ODS Contact </w:t>
      </w:r>
      <w:r w:rsidR="00E41EE6">
        <w:rPr>
          <w:rFonts w:ascii="Arial" w:eastAsia="Times" w:hAnsi="Arial" w:cs="Arial"/>
          <w:sz w:val="22"/>
          <w:lang w:eastAsia="en-AU"/>
        </w:rPr>
        <w:t>definitions</w:t>
      </w:r>
      <w:r w:rsidR="00E41EE6" w:rsidRPr="00E41EE6">
        <w:rPr>
          <w:rFonts w:ascii="Arial" w:eastAsia="Times" w:hAnsi="Arial" w:cs="Arial"/>
          <w:sz w:val="22"/>
          <w:lang w:eastAsia="en-AU"/>
        </w:rPr>
        <w:t xml:space="preserve"> and program management circular </w:t>
      </w:r>
      <w:r>
        <w:rPr>
          <w:rFonts w:ascii="Arial" w:eastAsia="Times" w:hAnsi="Arial" w:cs="Arial"/>
          <w:sz w:val="22"/>
          <w:lang w:eastAsia="en-AU"/>
        </w:rPr>
        <w:t xml:space="preserve">available in the below link </w:t>
      </w:r>
      <w:r w:rsidR="00E41EE6" w:rsidRPr="00E41EE6">
        <w:rPr>
          <w:rFonts w:ascii="Arial" w:eastAsia="Times" w:hAnsi="Arial" w:cs="Arial"/>
          <w:sz w:val="22"/>
          <w:lang w:eastAsia="en-AU"/>
        </w:rPr>
        <w:t>for further information on contact reporting rules</w:t>
      </w:r>
      <w:r>
        <w:rPr>
          <w:rFonts w:ascii="Arial" w:eastAsia="Times" w:hAnsi="Arial" w:cs="Arial"/>
          <w:sz w:val="22"/>
          <w:lang w:eastAsia="en-AU"/>
        </w:rPr>
        <w:t>, and data submission timeframes.</w:t>
      </w:r>
    </w:p>
    <w:p w14:paraId="0766C484" w14:textId="4710E140" w:rsidR="00F701B0" w:rsidRDefault="00F701B0" w:rsidP="00D405D3">
      <w:pPr>
        <w:spacing w:line="360" w:lineRule="auto"/>
        <w:rPr>
          <w:rFonts w:ascii="Arial" w:eastAsia="Times" w:hAnsi="Arial" w:cs="Arial"/>
          <w:sz w:val="22"/>
          <w:lang w:eastAsia="en-AU"/>
        </w:rPr>
      </w:pPr>
    </w:p>
    <w:p w14:paraId="6D9E39ED" w14:textId="77777777" w:rsidR="00F701B0" w:rsidRPr="00E41EE6" w:rsidRDefault="00F701B0" w:rsidP="00D405D3">
      <w:pPr>
        <w:spacing w:line="360" w:lineRule="auto"/>
        <w:rPr>
          <w:rFonts w:ascii="Arial" w:eastAsia="Times" w:hAnsi="Arial" w:cs="Arial"/>
          <w:sz w:val="22"/>
          <w:lang w:eastAsia="en-AU"/>
        </w:rPr>
      </w:pPr>
    </w:p>
    <w:p w14:paraId="52C56E56" w14:textId="77777777" w:rsidR="004C24C0" w:rsidRDefault="004C24C0" w:rsidP="00D405D3">
      <w:pPr>
        <w:spacing w:line="360" w:lineRule="auto"/>
        <w:rPr>
          <w:rFonts w:ascii="Arial" w:eastAsia="MS Mincho" w:hAnsi="Arial"/>
          <w:sz w:val="22"/>
          <w:szCs w:val="22"/>
        </w:rPr>
      </w:pPr>
    </w:p>
    <w:p w14:paraId="0AED4E09" w14:textId="77777777" w:rsidR="00D96063" w:rsidRPr="00F701B0" w:rsidRDefault="00D96063" w:rsidP="00D405D3">
      <w:pPr>
        <w:pStyle w:val="Healthheading2"/>
        <w:keepNext w:val="0"/>
        <w:keepLines w:val="0"/>
        <w:spacing w:before="0" w:after="0" w:line="360" w:lineRule="auto"/>
        <w:jc w:val="both"/>
        <w:rPr>
          <w:color w:val="auto"/>
          <w:sz w:val="22"/>
          <w:szCs w:val="22"/>
        </w:rPr>
      </w:pPr>
      <w:r w:rsidRPr="00F701B0">
        <w:rPr>
          <w:color w:val="auto"/>
          <w:sz w:val="22"/>
          <w:szCs w:val="22"/>
        </w:rPr>
        <w:t>For more information:</w:t>
      </w:r>
    </w:p>
    <w:p w14:paraId="4CD773D4" w14:textId="77777777" w:rsidR="00044D52" w:rsidRDefault="00044D52" w:rsidP="00044D52">
      <w:pPr>
        <w:pStyle w:val="Healthheading2"/>
        <w:keepNext w:val="0"/>
        <w:keepLines w:val="0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Further information about mental health service data reporting requirements, including contact reporting, </w:t>
      </w:r>
      <w:r w:rsidR="0044503D">
        <w:rPr>
          <w:b w:val="0"/>
          <w:color w:val="auto"/>
          <w:sz w:val="22"/>
          <w:szCs w:val="22"/>
        </w:rPr>
        <w:t xml:space="preserve">and CMI/ODS client registration requirements, </w:t>
      </w:r>
      <w:r w:rsidR="006E29DA">
        <w:rPr>
          <w:b w:val="0"/>
          <w:color w:val="auto"/>
          <w:sz w:val="22"/>
          <w:szCs w:val="22"/>
        </w:rPr>
        <w:t>is available</w:t>
      </w:r>
      <w:r>
        <w:rPr>
          <w:b w:val="0"/>
          <w:color w:val="auto"/>
          <w:sz w:val="22"/>
          <w:szCs w:val="22"/>
        </w:rPr>
        <w:t xml:space="preserve"> here: </w:t>
      </w:r>
      <w:hyperlink r:id="rId10" w:history="1">
        <w:r w:rsidRPr="009675B2">
          <w:rPr>
            <w:rStyle w:val="Hyperlink"/>
            <w:b w:val="0"/>
            <w:sz w:val="22"/>
            <w:szCs w:val="22"/>
          </w:rPr>
          <w:t>https://www2.health.vic.gov.au/mental-health/research-and-reporting/reporting-requirements-for-clinical%20mental-health-services</w:t>
        </w:r>
      </w:hyperlink>
      <w:r>
        <w:rPr>
          <w:b w:val="0"/>
          <w:color w:val="auto"/>
          <w:sz w:val="22"/>
          <w:szCs w:val="22"/>
        </w:rPr>
        <w:t xml:space="preserve">  </w:t>
      </w:r>
    </w:p>
    <w:p w14:paraId="38D101CA" w14:textId="77777777" w:rsidR="00A05742" w:rsidRDefault="00A05742" w:rsidP="0044503D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</w:p>
    <w:p w14:paraId="4D0F66E9" w14:textId="3410B20C" w:rsidR="0044503D" w:rsidRDefault="0044503D" w:rsidP="0044503D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 w:rsidRPr="0044503D">
        <w:rPr>
          <w:b w:val="0"/>
          <w:color w:val="auto"/>
          <w:sz w:val="22"/>
          <w:szCs w:val="22"/>
        </w:rPr>
        <w:t xml:space="preserve">For further information relating to </w:t>
      </w:r>
      <w:r w:rsidR="00F251AC">
        <w:rPr>
          <w:b w:val="0"/>
          <w:color w:val="auto"/>
          <w:sz w:val="22"/>
          <w:szCs w:val="22"/>
        </w:rPr>
        <w:t>PDI</w:t>
      </w:r>
      <w:r w:rsidRPr="0044503D">
        <w:rPr>
          <w:b w:val="0"/>
          <w:color w:val="auto"/>
          <w:sz w:val="22"/>
          <w:szCs w:val="22"/>
        </w:rPr>
        <w:t xml:space="preserve">, please refer to the </w:t>
      </w:r>
      <w:r w:rsidR="00F251AC">
        <w:rPr>
          <w:b w:val="0"/>
          <w:color w:val="auto"/>
          <w:sz w:val="22"/>
          <w:szCs w:val="22"/>
        </w:rPr>
        <w:t>Personality Disorders Initiative</w:t>
      </w:r>
      <w:r w:rsidRPr="0044503D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– Service </w:t>
      </w:r>
      <w:r w:rsidRPr="0044503D">
        <w:rPr>
          <w:b w:val="0"/>
          <w:color w:val="auto"/>
          <w:sz w:val="22"/>
          <w:szCs w:val="22"/>
        </w:rPr>
        <w:t>Guidelines.</w:t>
      </w:r>
    </w:p>
    <w:p w14:paraId="62EBCF90" w14:textId="77777777" w:rsidR="0044503D" w:rsidRPr="0044503D" w:rsidRDefault="0044503D" w:rsidP="0044503D">
      <w:pPr>
        <w:pStyle w:val="Healthheading2"/>
        <w:keepNext w:val="0"/>
        <w:keepLines w:val="0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bookmarkStart w:id="2" w:name="_GoBack"/>
      <w:bookmarkEnd w:id="2"/>
    </w:p>
    <w:p w14:paraId="0B86A13B" w14:textId="77777777" w:rsidR="00D96063" w:rsidRDefault="0044503D" w:rsidP="00D96063">
      <w:pPr>
        <w:pStyle w:val="Healthbody"/>
        <w:spacing w:after="0" w:line="360" w:lineRule="auto"/>
      </w:pPr>
      <w:r>
        <w:rPr>
          <w:rFonts w:cs="Arial"/>
        </w:rPr>
        <w:t xml:space="preserve">Any further information </w:t>
      </w:r>
      <w:r w:rsidR="00D96063">
        <w:rPr>
          <w:rFonts w:cs="Arial"/>
        </w:rPr>
        <w:t xml:space="preserve">Please email: </w:t>
      </w:r>
      <w:hyperlink r:id="rId11" w:history="1">
        <w:r w:rsidR="00D96063" w:rsidRPr="001A1AAC">
          <w:rPr>
            <w:rStyle w:val="Hyperlink"/>
          </w:rPr>
          <w:t>MHDReporting@health.vic.gov.au</w:t>
        </w:r>
      </w:hyperlink>
    </w:p>
    <w:sectPr w:rsidR="00D96063" w:rsidSect="00F01E5F">
      <w:headerReference w:type="default" r:id="rId12"/>
      <w:footerReference w:type="defaul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D533" w14:textId="77777777" w:rsidR="00E75841" w:rsidRDefault="00E75841">
      <w:r>
        <w:separator/>
      </w:r>
    </w:p>
  </w:endnote>
  <w:endnote w:type="continuationSeparator" w:id="0">
    <w:p w14:paraId="3540CBDC" w14:textId="77777777" w:rsidR="00E75841" w:rsidRDefault="00E7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2018" w14:textId="77777777" w:rsidR="009D70A4" w:rsidRPr="00F65AA9" w:rsidRDefault="00D96063" w:rsidP="0051568D">
    <w:pPr>
      <w:pStyle w:val="DHHSfooter"/>
    </w:pPr>
    <w:r>
      <w:rPr>
        <w:noProof/>
      </w:rPr>
      <w:drawing>
        <wp:anchor distT="0" distB="0" distL="114300" distR="114300" simplePos="0" relativeHeight="251657216" behindDoc="0" locked="1" layoutInCell="0" allowOverlap="1" wp14:anchorId="0747B630" wp14:editId="6525086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C424" w14:textId="2BCDA9AF" w:rsidR="009D70A4" w:rsidRPr="00A11421" w:rsidRDefault="00F701B0" w:rsidP="0051568D">
    <w:pPr>
      <w:pStyle w:val="DHHSfooter"/>
    </w:pPr>
    <w:r>
      <w:t>CMI/ODS - Personality Disorder Initiative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F1F0" w14:textId="77777777" w:rsidR="00E75841" w:rsidRDefault="00E75841" w:rsidP="002862F1">
      <w:pPr>
        <w:spacing w:before="120"/>
      </w:pPr>
      <w:r>
        <w:separator/>
      </w:r>
    </w:p>
  </w:footnote>
  <w:footnote w:type="continuationSeparator" w:id="0">
    <w:p w14:paraId="3729F8AA" w14:textId="77777777" w:rsidR="00E75841" w:rsidRDefault="00E7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36B1" w14:textId="3E370FFB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4612C70"/>
    <w:multiLevelType w:val="hybridMultilevel"/>
    <w:tmpl w:val="F36E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3597F3C"/>
    <w:multiLevelType w:val="hybridMultilevel"/>
    <w:tmpl w:val="691E2B86"/>
    <w:lvl w:ilvl="0" w:tplc="F83CE116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560ABA2">
      <w:numFmt w:val="bullet"/>
      <w:lvlText w:val=""/>
      <w:lvlJc w:val="left"/>
      <w:pPr>
        <w:ind w:left="1800" w:hanging="720"/>
      </w:pPr>
      <w:rPr>
        <w:rFonts w:ascii="Symbol" w:eastAsia="MS Mincho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6A66F53"/>
    <w:multiLevelType w:val="hybridMultilevel"/>
    <w:tmpl w:val="2AB82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014A3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83764D"/>
    <w:multiLevelType w:val="hybridMultilevel"/>
    <w:tmpl w:val="6C1E1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64F05"/>
    <w:multiLevelType w:val="hybridMultilevel"/>
    <w:tmpl w:val="80A00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63"/>
    <w:rsid w:val="000072B6"/>
    <w:rsid w:val="0001021B"/>
    <w:rsid w:val="00011D89"/>
    <w:rsid w:val="0002229E"/>
    <w:rsid w:val="00024D89"/>
    <w:rsid w:val="000250B6"/>
    <w:rsid w:val="00033D81"/>
    <w:rsid w:val="00041BF0"/>
    <w:rsid w:val="00044D52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557D"/>
    <w:rsid w:val="000A6666"/>
    <w:rsid w:val="000B543D"/>
    <w:rsid w:val="000B5BF7"/>
    <w:rsid w:val="000B6BC8"/>
    <w:rsid w:val="000C42EA"/>
    <w:rsid w:val="000C4546"/>
    <w:rsid w:val="000C5F53"/>
    <w:rsid w:val="000D1242"/>
    <w:rsid w:val="000E10B7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79A5"/>
    <w:rsid w:val="001447B3"/>
    <w:rsid w:val="00152073"/>
    <w:rsid w:val="001529B1"/>
    <w:rsid w:val="00161939"/>
    <w:rsid w:val="00161AA0"/>
    <w:rsid w:val="00162093"/>
    <w:rsid w:val="00171CE5"/>
    <w:rsid w:val="001749D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17E3"/>
    <w:rsid w:val="001F3826"/>
    <w:rsid w:val="001F6E46"/>
    <w:rsid w:val="001F7C91"/>
    <w:rsid w:val="00202AE3"/>
    <w:rsid w:val="00206131"/>
    <w:rsid w:val="00206463"/>
    <w:rsid w:val="00206F2F"/>
    <w:rsid w:val="0021053D"/>
    <w:rsid w:val="00210A92"/>
    <w:rsid w:val="0021445E"/>
    <w:rsid w:val="00216C03"/>
    <w:rsid w:val="00220274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FE4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3FB"/>
    <w:rsid w:val="002C2728"/>
    <w:rsid w:val="002D4D8C"/>
    <w:rsid w:val="002D5006"/>
    <w:rsid w:val="002E01D0"/>
    <w:rsid w:val="002E161D"/>
    <w:rsid w:val="002E2A96"/>
    <w:rsid w:val="002E3100"/>
    <w:rsid w:val="002E5DD6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3EC0"/>
    <w:rsid w:val="0036581B"/>
    <w:rsid w:val="003744CF"/>
    <w:rsid w:val="00374717"/>
    <w:rsid w:val="0037676C"/>
    <w:rsid w:val="003829E5"/>
    <w:rsid w:val="0039419E"/>
    <w:rsid w:val="003956CC"/>
    <w:rsid w:val="00395C9A"/>
    <w:rsid w:val="00396CEC"/>
    <w:rsid w:val="003A332E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503D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24C0"/>
    <w:rsid w:val="004C6EEE"/>
    <w:rsid w:val="004C702B"/>
    <w:rsid w:val="004D016B"/>
    <w:rsid w:val="004D1B22"/>
    <w:rsid w:val="004D36F2"/>
    <w:rsid w:val="004D5344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05C2"/>
    <w:rsid w:val="00543903"/>
    <w:rsid w:val="00543F11"/>
    <w:rsid w:val="005471BC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0B6C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203C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C503D"/>
    <w:rsid w:val="006D2A3F"/>
    <w:rsid w:val="006D2FBC"/>
    <w:rsid w:val="006E138B"/>
    <w:rsid w:val="006E29DA"/>
    <w:rsid w:val="006F1FDC"/>
    <w:rsid w:val="007013EF"/>
    <w:rsid w:val="007173CA"/>
    <w:rsid w:val="007216AA"/>
    <w:rsid w:val="00721AB5"/>
    <w:rsid w:val="00721DEF"/>
    <w:rsid w:val="00724A43"/>
    <w:rsid w:val="0072629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42660"/>
    <w:rsid w:val="00853EE4"/>
    <w:rsid w:val="00855535"/>
    <w:rsid w:val="0086255E"/>
    <w:rsid w:val="008633F0"/>
    <w:rsid w:val="00867D9D"/>
    <w:rsid w:val="00872E0A"/>
    <w:rsid w:val="00875285"/>
    <w:rsid w:val="00881F68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30C"/>
    <w:rsid w:val="008D462F"/>
    <w:rsid w:val="008D6DCF"/>
    <w:rsid w:val="008E05BA"/>
    <w:rsid w:val="008E4376"/>
    <w:rsid w:val="008E5C43"/>
    <w:rsid w:val="008E7A0A"/>
    <w:rsid w:val="00900719"/>
    <w:rsid w:val="009017AC"/>
    <w:rsid w:val="00904A1C"/>
    <w:rsid w:val="00905030"/>
    <w:rsid w:val="00906490"/>
    <w:rsid w:val="00910C5B"/>
    <w:rsid w:val="009111B2"/>
    <w:rsid w:val="00924AE1"/>
    <w:rsid w:val="009269B1"/>
    <w:rsid w:val="0092724D"/>
    <w:rsid w:val="00930202"/>
    <w:rsid w:val="00937BD9"/>
    <w:rsid w:val="00941EBB"/>
    <w:rsid w:val="00947FB5"/>
    <w:rsid w:val="00950E2C"/>
    <w:rsid w:val="00951D50"/>
    <w:rsid w:val="009525EB"/>
    <w:rsid w:val="00954874"/>
    <w:rsid w:val="00961400"/>
    <w:rsid w:val="00963646"/>
    <w:rsid w:val="00971BE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6E3E"/>
    <w:rsid w:val="009C7A7E"/>
    <w:rsid w:val="009D02E8"/>
    <w:rsid w:val="009D0CBE"/>
    <w:rsid w:val="009D51D0"/>
    <w:rsid w:val="009D70A4"/>
    <w:rsid w:val="009E08D1"/>
    <w:rsid w:val="009E1B95"/>
    <w:rsid w:val="009E496F"/>
    <w:rsid w:val="009E4A48"/>
    <w:rsid w:val="009E4B0D"/>
    <w:rsid w:val="009E7F92"/>
    <w:rsid w:val="009F02A3"/>
    <w:rsid w:val="009F2F27"/>
    <w:rsid w:val="009F34AA"/>
    <w:rsid w:val="009F6BCB"/>
    <w:rsid w:val="009F7B78"/>
    <w:rsid w:val="00A0057A"/>
    <w:rsid w:val="00A05742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367B"/>
    <w:rsid w:val="00A854EB"/>
    <w:rsid w:val="00A8665A"/>
    <w:rsid w:val="00A872E5"/>
    <w:rsid w:val="00A91406"/>
    <w:rsid w:val="00A95F5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30D6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97A"/>
    <w:rsid w:val="00B62B50"/>
    <w:rsid w:val="00B635B7"/>
    <w:rsid w:val="00B63AE8"/>
    <w:rsid w:val="00B65950"/>
    <w:rsid w:val="00B66D83"/>
    <w:rsid w:val="00B672C0"/>
    <w:rsid w:val="00B71FC2"/>
    <w:rsid w:val="00B7325A"/>
    <w:rsid w:val="00B75646"/>
    <w:rsid w:val="00B90729"/>
    <w:rsid w:val="00B907DA"/>
    <w:rsid w:val="00B950BC"/>
    <w:rsid w:val="00B9714C"/>
    <w:rsid w:val="00BA3F8D"/>
    <w:rsid w:val="00BB31DB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55668"/>
    <w:rsid w:val="00C602FF"/>
    <w:rsid w:val="00C61174"/>
    <w:rsid w:val="00C6148F"/>
    <w:rsid w:val="00C62F7A"/>
    <w:rsid w:val="00C63283"/>
    <w:rsid w:val="00C63B9C"/>
    <w:rsid w:val="00C6682F"/>
    <w:rsid w:val="00C7275E"/>
    <w:rsid w:val="00C74C5D"/>
    <w:rsid w:val="00C76317"/>
    <w:rsid w:val="00C8130C"/>
    <w:rsid w:val="00C863C4"/>
    <w:rsid w:val="00C93C3E"/>
    <w:rsid w:val="00C94EBB"/>
    <w:rsid w:val="00CA12E3"/>
    <w:rsid w:val="00CA6611"/>
    <w:rsid w:val="00CA6AE6"/>
    <w:rsid w:val="00CA782F"/>
    <w:rsid w:val="00CB3285"/>
    <w:rsid w:val="00CC0C72"/>
    <w:rsid w:val="00CC2BFD"/>
    <w:rsid w:val="00CD3476"/>
    <w:rsid w:val="00CD3DD4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2D40"/>
    <w:rsid w:val="00D95470"/>
    <w:rsid w:val="00D96063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E7B42"/>
    <w:rsid w:val="00DF1A71"/>
    <w:rsid w:val="00DF68C7"/>
    <w:rsid w:val="00DF731A"/>
    <w:rsid w:val="00DF7A61"/>
    <w:rsid w:val="00E15F7E"/>
    <w:rsid w:val="00E170DC"/>
    <w:rsid w:val="00E25F1D"/>
    <w:rsid w:val="00E26818"/>
    <w:rsid w:val="00E27FFC"/>
    <w:rsid w:val="00E30B15"/>
    <w:rsid w:val="00E40181"/>
    <w:rsid w:val="00E41EE6"/>
    <w:rsid w:val="00E56A01"/>
    <w:rsid w:val="00E629A1"/>
    <w:rsid w:val="00E6794C"/>
    <w:rsid w:val="00E71591"/>
    <w:rsid w:val="00E75841"/>
    <w:rsid w:val="00E82C55"/>
    <w:rsid w:val="00E92AC3"/>
    <w:rsid w:val="00EB00E0"/>
    <w:rsid w:val="00EC022F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57C7"/>
    <w:rsid w:val="00F00F9C"/>
    <w:rsid w:val="00F01E5F"/>
    <w:rsid w:val="00F02ABA"/>
    <w:rsid w:val="00F0437A"/>
    <w:rsid w:val="00F11037"/>
    <w:rsid w:val="00F16F1B"/>
    <w:rsid w:val="00F250A9"/>
    <w:rsid w:val="00F251AC"/>
    <w:rsid w:val="00F304B8"/>
    <w:rsid w:val="00F30FF4"/>
    <w:rsid w:val="00F3122E"/>
    <w:rsid w:val="00F331AD"/>
    <w:rsid w:val="00F34480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01B0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B4CA9E"/>
  <w15:chartTrackingRefBased/>
  <w15:docId w15:val="{7175171D-7E71-4F2D-8CA0-BAD881C7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63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body">
    <w:name w:val="Health body"/>
    <w:uiPriority w:val="99"/>
    <w:rsid w:val="00D9606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2">
    <w:name w:val="Health heading 2"/>
    <w:rsid w:val="00D96063"/>
    <w:pPr>
      <w:keepNext/>
      <w:keepLines/>
      <w:spacing w:before="280" w:after="120" w:line="320" w:lineRule="atLeast"/>
    </w:pPr>
    <w:rPr>
      <w:rFonts w:ascii="Arial" w:eastAsia="MS Mincho" w:hAnsi="Arial"/>
      <w:b/>
      <w:color w:val="0073CF"/>
      <w:sz w:val="28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Healthbullet2">
    <w:name w:val="Health bullet 2"/>
    <w:basedOn w:val="Normal"/>
    <w:qFormat/>
    <w:rsid w:val="00D96063"/>
    <w:pPr>
      <w:numPr>
        <w:numId w:val="9"/>
      </w:numPr>
      <w:spacing w:after="40" w:line="270" w:lineRule="atLeast"/>
      <w:ind w:left="568" w:hanging="284"/>
    </w:pPr>
    <w:rPr>
      <w:rFonts w:ascii="Arial" w:eastAsia="MS Mincho" w:hAnsi="Arial"/>
      <w:szCs w:val="24"/>
    </w:rPr>
  </w:style>
  <w:style w:type="character" w:customStyle="1" w:styleId="DHHSbodyChar">
    <w:name w:val="DHHS body Char"/>
    <w:link w:val="DHHSbody"/>
    <w:rsid w:val="00D96063"/>
    <w:rPr>
      <w:rFonts w:ascii="Arial" w:eastAsia="Times" w:hAnsi="Arial"/>
      <w:lang w:eastAsia="en-US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Healthmainheading">
    <w:name w:val="Health main heading"/>
    <w:rsid w:val="00D96063"/>
    <w:rPr>
      <w:rFonts w:ascii="Arial" w:hAnsi="Arial"/>
      <w:color w:val="FFFFFF"/>
      <w:sz w:val="44"/>
      <w:szCs w:val="24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mainsubheading">
    <w:name w:val="Health main subheading"/>
    <w:rsid w:val="00D96063"/>
    <w:rPr>
      <w:rFonts w:ascii="Arial" w:hAnsi="Arial"/>
      <w:color w:val="FFFFFF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2660"/>
    <w:rPr>
      <w:color w:val="605E5C"/>
      <w:shd w:val="clear" w:color="auto" w:fill="E1DFDD"/>
    </w:rPr>
  </w:style>
  <w:style w:type="paragraph" w:customStyle="1" w:styleId="DHHSreportmaintitlewhite">
    <w:name w:val="DHHS report main title white"/>
    <w:uiPriority w:val="4"/>
    <w:rsid w:val="0044503D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9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9D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D3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955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58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089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89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045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086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DReporting@health.vic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health.vic.gov.au/mental-health/research-and-reporting/reporting-requirements-for-clinical%20mental-health-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F086-4457-4E62-9842-64A24946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3510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Krishnan</dc:creator>
  <cp:keywords/>
  <cp:lastModifiedBy>Varun Krishnan (DHHS)</cp:lastModifiedBy>
  <cp:revision>7</cp:revision>
  <cp:lastPrinted>2019-06-17T00:50:00Z</cp:lastPrinted>
  <dcterms:created xsi:type="dcterms:W3CDTF">2019-09-12T01:17:00Z</dcterms:created>
  <dcterms:modified xsi:type="dcterms:W3CDTF">2019-12-02T02:16:00Z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