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AF6C" w14:textId="77777777" w:rsidR="0074696E" w:rsidRPr="004C6EEE" w:rsidRDefault="0074696E" w:rsidP="00AD784C">
      <w:pPr>
        <w:pStyle w:val="Spacerparatopoffirstpage"/>
      </w:pPr>
    </w:p>
    <w:p w14:paraId="63AC90C2" w14:textId="77777777" w:rsidR="00A62D44" w:rsidRPr="004C6EEE" w:rsidRDefault="00A62D44" w:rsidP="004C6EEE">
      <w:pPr>
        <w:pStyle w:val="Sectionbreakfirstpage"/>
        <w:sectPr w:rsidR="00A62D44" w:rsidRPr="004C6EEE" w:rsidSect="00AD784C">
          <w:headerReference w:type="default" r:id="rId7"/>
          <w:footerReference w:type="default" r:id="rId8"/>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D39A94D" w14:textId="77777777" w:rsidTr="008A28A8">
        <w:trPr>
          <w:trHeight w:val="1247"/>
        </w:trPr>
        <w:tc>
          <w:tcPr>
            <w:tcW w:w="8046" w:type="dxa"/>
            <w:shd w:val="clear" w:color="auto" w:fill="auto"/>
            <w:vAlign w:val="bottom"/>
          </w:tcPr>
          <w:p w14:paraId="6E3A4A1A" w14:textId="352D5929" w:rsidR="00AD784C" w:rsidRPr="00161AA0" w:rsidRDefault="00850F10" w:rsidP="00FF378F">
            <w:pPr>
              <w:pStyle w:val="DHHSmainheading"/>
            </w:pPr>
            <w:r>
              <w:t xml:space="preserve">STIR Bulletin Number </w:t>
            </w:r>
            <w:r w:rsidR="00F70628">
              <w:t>6</w:t>
            </w:r>
          </w:p>
        </w:tc>
      </w:tr>
      <w:tr w:rsidR="00AD784C" w14:paraId="76EBC380" w14:textId="77777777" w:rsidTr="00850F10">
        <w:trPr>
          <w:trHeight w:hRule="exact" w:val="1903"/>
        </w:trPr>
        <w:tc>
          <w:tcPr>
            <w:tcW w:w="8046" w:type="dxa"/>
            <w:shd w:val="clear" w:color="auto" w:fill="auto"/>
            <w:tcMar>
              <w:top w:w="170" w:type="dxa"/>
              <w:bottom w:w="510" w:type="dxa"/>
            </w:tcMar>
          </w:tcPr>
          <w:p w14:paraId="3820D181" w14:textId="5F125F09" w:rsidR="00357B4E" w:rsidRDefault="00F70628" w:rsidP="00357B4E">
            <w:pPr>
              <w:pStyle w:val="DHHSmainsubheading"/>
              <w:rPr>
                <w:sz w:val="36"/>
                <w:szCs w:val="36"/>
              </w:rPr>
            </w:pPr>
            <w:r>
              <w:rPr>
                <w:sz w:val="36"/>
                <w:szCs w:val="36"/>
              </w:rPr>
              <w:t>November</w:t>
            </w:r>
            <w:r w:rsidR="00DA7C84">
              <w:rPr>
                <w:sz w:val="36"/>
                <w:szCs w:val="36"/>
              </w:rPr>
              <w:t xml:space="preserve"> </w:t>
            </w:r>
            <w:r w:rsidR="00C3710F">
              <w:rPr>
                <w:sz w:val="36"/>
                <w:szCs w:val="36"/>
              </w:rPr>
              <w:t>2020</w:t>
            </w:r>
          </w:p>
          <w:p w14:paraId="5E12163B" w14:textId="5FEC9AA9" w:rsidR="00C3710F" w:rsidRPr="00FF378F" w:rsidRDefault="00F70628" w:rsidP="004A37D2">
            <w:pPr>
              <w:pStyle w:val="DHHSmainsubheading"/>
              <w:rPr>
                <w:sz w:val="36"/>
                <w:szCs w:val="36"/>
              </w:rPr>
            </w:pPr>
            <w:r w:rsidRPr="00F70628">
              <w:rPr>
                <w:sz w:val="36"/>
                <w:szCs w:val="36"/>
              </w:rPr>
              <w:t xml:space="preserve">Issue of O </w:t>
            </w:r>
            <w:proofErr w:type="spellStart"/>
            <w:r w:rsidRPr="00F70628">
              <w:rPr>
                <w:sz w:val="36"/>
                <w:szCs w:val="36"/>
              </w:rPr>
              <w:t>RhD</w:t>
            </w:r>
            <w:proofErr w:type="spellEnd"/>
            <w:r w:rsidRPr="00F70628">
              <w:rPr>
                <w:sz w:val="36"/>
                <w:szCs w:val="36"/>
              </w:rPr>
              <w:t xml:space="preserve"> negative emergency red cell units – not without risk</w:t>
            </w:r>
          </w:p>
        </w:tc>
      </w:tr>
    </w:tbl>
    <w:p w14:paraId="4E35BD0B" w14:textId="69454E24" w:rsidR="00F70628" w:rsidRPr="00F70628" w:rsidRDefault="00F70628" w:rsidP="00F70628">
      <w:pPr>
        <w:pStyle w:val="DHHSbody"/>
        <w:rPr>
          <w:rFonts w:cs="Arial"/>
          <w:sz w:val="22"/>
          <w:szCs w:val="22"/>
        </w:rPr>
      </w:pPr>
      <w:r w:rsidRPr="00F70628">
        <w:rPr>
          <w:rFonts w:cs="Arial"/>
          <w:sz w:val="22"/>
          <w:szCs w:val="22"/>
        </w:rPr>
        <w:t xml:space="preserve">A 58-year- old man was admitted to the emergency department following an assault that resulted in head and facial injuries with associated blood loss. During admission he had significant haemoptysis, became hypotensive and the health service critical bleeding protocol was activated. He received two units of O </w:t>
      </w:r>
      <w:proofErr w:type="spellStart"/>
      <w:r w:rsidRPr="00F70628">
        <w:rPr>
          <w:rFonts w:cs="Arial"/>
          <w:sz w:val="22"/>
          <w:szCs w:val="22"/>
        </w:rPr>
        <w:t>RhD</w:t>
      </w:r>
      <w:proofErr w:type="spellEnd"/>
      <w:r w:rsidRPr="00F70628">
        <w:rPr>
          <w:rFonts w:cs="Arial"/>
          <w:sz w:val="22"/>
          <w:szCs w:val="22"/>
        </w:rPr>
        <w:t xml:space="preserve"> negative emergency issue red cells.</w:t>
      </w:r>
    </w:p>
    <w:p w14:paraId="7EA228D5" w14:textId="77777777" w:rsidR="00F70628" w:rsidRPr="00F70628" w:rsidRDefault="00F70628" w:rsidP="00F70628">
      <w:pPr>
        <w:pStyle w:val="DHHSbody"/>
        <w:rPr>
          <w:rFonts w:cs="Arial"/>
          <w:sz w:val="22"/>
          <w:szCs w:val="22"/>
        </w:rPr>
      </w:pPr>
      <w:r w:rsidRPr="00F70628">
        <w:rPr>
          <w:rFonts w:cs="Arial"/>
          <w:sz w:val="22"/>
          <w:szCs w:val="22"/>
        </w:rPr>
        <w:t>The laboratory performed pretransfusion testing on a specimen taken prior to the start of the transfusion, which revealed the patient had an anti-</w:t>
      </w:r>
      <w:proofErr w:type="spellStart"/>
      <w:r w:rsidRPr="00F70628">
        <w:rPr>
          <w:rFonts w:cs="Arial"/>
          <w:sz w:val="22"/>
          <w:szCs w:val="22"/>
        </w:rPr>
        <w:t>Jk</w:t>
      </w:r>
      <w:r w:rsidRPr="00F70628">
        <w:rPr>
          <w:rFonts w:cs="Arial"/>
          <w:sz w:val="22"/>
          <w:szCs w:val="22"/>
          <w:vertAlign w:val="superscript"/>
        </w:rPr>
        <w:t>a</w:t>
      </w:r>
      <w:proofErr w:type="spellEnd"/>
      <w:r w:rsidRPr="00F70628">
        <w:rPr>
          <w:rFonts w:cs="Arial"/>
          <w:sz w:val="22"/>
          <w:szCs w:val="22"/>
          <w:vertAlign w:val="superscript"/>
        </w:rPr>
        <w:t xml:space="preserve"> </w:t>
      </w:r>
      <w:r w:rsidRPr="00F70628">
        <w:rPr>
          <w:rFonts w:cs="Arial"/>
          <w:sz w:val="22"/>
          <w:szCs w:val="22"/>
        </w:rPr>
        <w:t xml:space="preserve">(Kidd) antibody. The emergency issue RBC units had already been fully transfused by the time the antibody screen was completed. Subsequently, these units were </w:t>
      </w:r>
      <w:proofErr w:type="spellStart"/>
      <w:r w:rsidRPr="00F70628">
        <w:rPr>
          <w:rFonts w:cs="Arial"/>
          <w:sz w:val="22"/>
          <w:szCs w:val="22"/>
        </w:rPr>
        <w:t>phenotyped</w:t>
      </w:r>
      <w:proofErr w:type="spellEnd"/>
      <w:r w:rsidRPr="00F70628">
        <w:rPr>
          <w:rFonts w:cs="Arial"/>
          <w:sz w:val="22"/>
          <w:szCs w:val="22"/>
        </w:rPr>
        <w:t xml:space="preserve"> and shown to be </w:t>
      </w:r>
      <w:proofErr w:type="spellStart"/>
      <w:r w:rsidRPr="00F70628">
        <w:rPr>
          <w:rFonts w:cs="Arial"/>
          <w:sz w:val="22"/>
          <w:szCs w:val="22"/>
        </w:rPr>
        <w:t>Jk</w:t>
      </w:r>
      <w:r w:rsidRPr="00F70628">
        <w:rPr>
          <w:rFonts w:cs="Arial"/>
          <w:sz w:val="22"/>
          <w:szCs w:val="22"/>
          <w:vertAlign w:val="superscript"/>
        </w:rPr>
        <w:t>a</w:t>
      </w:r>
      <w:proofErr w:type="spellEnd"/>
      <w:r w:rsidRPr="00F70628">
        <w:rPr>
          <w:rFonts w:cs="Arial"/>
          <w:sz w:val="22"/>
          <w:szCs w:val="22"/>
        </w:rPr>
        <w:t xml:space="preserve"> positive.</w:t>
      </w:r>
    </w:p>
    <w:p w14:paraId="2E056B6A" w14:textId="6797AFEE" w:rsidR="00F70628" w:rsidRPr="00F70628" w:rsidRDefault="00F70628" w:rsidP="00F70628">
      <w:pPr>
        <w:pStyle w:val="DHHSbody"/>
        <w:rPr>
          <w:rFonts w:cs="Arial"/>
          <w:sz w:val="22"/>
          <w:szCs w:val="22"/>
        </w:rPr>
      </w:pPr>
      <w:r w:rsidRPr="00F70628">
        <w:rPr>
          <w:rFonts w:cs="Arial"/>
          <w:sz w:val="22"/>
          <w:szCs w:val="22"/>
        </w:rPr>
        <w:t xml:space="preserve">Post transfusion the patient developed a fever and was noted to have red/dark urine. Hb dropped from 151g/L to 81g/L, with biochemical features of haemolysis and evidence of disseminated intravascular coagulopathy: ↑ bilirubin 124umol/L, ↑ LDH 419U/L, ↑ INR 2.1, ↑ APTT 40.7 sec, ↓ fibrinogen 0.9 g/L, </w:t>
      </w:r>
      <w:r w:rsidR="00F37D39">
        <w:rPr>
          <w:rFonts w:cs="Arial"/>
          <w:sz w:val="22"/>
          <w:szCs w:val="22"/>
        </w:rPr>
        <w:t xml:space="preserve">   </w:t>
      </w:r>
      <w:r w:rsidRPr="00F70628">
        <w:rPr>
          <w:rFonts w:cs="Arial"/>
          <w:sz w:val="22"/>
          <w:szCs w:val="22"/>
        </w:rPr>
        <w:t>↑↑ D-dimer 22410 ng/</w:t>
      </w:r>
      <w:proofErr w:type="spellStart"/>
      <w:r w:rsidRPr="00F70628">
        <w:rPr>
          <w:rFonts w:cs="Arial"/>
          <w:sz w:val="22"/>
          <w:szCs w:val="22"/>
        </w:rPr>
        <w:t>mL.</w:t>
      </w:r>
      <w:proofErr w:type="spellEnd"/>
      <w:r w:rsidRPr="00F70628">
        <w:rPr>
          <w:rFonts w:cs="Arial"/>
          <w:sz w:val="22"/>
          <w:szCs w:val="22"/>
        </w:rPr>
        <w:t xml:space="preserve"> His platelet count dropped from 75 x 10</w:t>
      </w:r>
      <w:r w:rsidRPr="00F70628">
        <w:rPr>
          <w:rFonts w:cs="Arial"/>
          <w:sz w:val="22"/>
          <w:szCs w:val="22"/>
          <w:vertAlign w:val="superscript"/>
        </w:rPr>
        <w:t>9</w:t>
      </w:r>
      <w:r w:rsidRPr="00F70628">
        <w:rPr>
          <w:rFonts w:cs="Arial"/>
          <w:sz w:val="22"/>
          <w:szCs w:val="22"/>
        </w:rPr>
        <w:t>/L to 25 x 10</w:t>
      </w:r>
      <w:r w:rsidRPr="00F70628">
        <w:rPr>
          <w:rFonts w:cs="Arial"/>
          <w:sz w:val="22"/>
          <w:szCs w:val="22"/>
          <w:vertAlign w:val="superscript"/>
        </w:rPr>
        <w:t>9</w:t>
      </w:r>
      <w:r w:rsidRPr="00F70628">
        <w:rPr>
          <w:rFonts w:cs="Arial"/>
          <w:sz w:val="22"/>
          <w:szCs w:val="22"/>
        </w:rPr>
        <w:t>/L. The patient received 10 units of cryoprecipitate and two units of FFP prior to transfer to a tertiary health service.</w:t>
      </w:r>
    </w:p>
    <w:p w14:paraId="20F69B0D" w14:textId="2BCD000B" w:rsidR="00F70628" w:rsidRPr="00F70628" w:rsidRDefault="007D7E55" w:rsidP="00F70628">
      <w:pPr>
        <w:pStyle w:val="DHHSbody"/>
        <w:rPr>
          <w:rFonts w:cs="Arial"/>
          <w:sz w:val="22"/>
          <w:szCs w:val="22"/>
        </w:rPr>
      </w:pPr>
      <w:r>
        <w:rPr>
          <w:rFonts w:cs="Arial"/>
          <w:sz w:val="22"/>
          <w:szCs w:val="22"/>
        </w:rPr>
        <w:t xml:space="preserve">This case highlights an example of an acute haemolytic transfusion reaction to pre-existing </w:t>
      </w:r>
      <w:proofErr w:type="spellStart"/>
      <w:r>
        <w:rPr>
          <w:rFonts w:cs="Arial"/>
          <w:sz w:val="22"/>
          <w:szCs w:val="22"/>
        </w:rPr>
        <w:t>Jk</w:t>
      </w:r>
      <w:r w:rsidRPr="007D7E55">
        <w:rPr>
          <w:rFonts w:cs="Arial"/>
          <w:sz w:val="22"/>
          <w:szCs w:val="22"/>
          <w:vertAlign w:val="superscript"/>
        </w:rPr>
        <w:t>a</w:t>
      </w:r>
      <w:proofErr w:type="spellEnd"/>
      <w:r>
        <w:rPr>
          <w:rFonts w:cs="Arial"/>
          <w:sz w:val="22"/>
          <w:szCs w:val="22"/>
        </w:rPr>
        <w:t xml:space="preserve"> antibodies after</w:t>
      </w:r>
      <w:r w:rsidR="003677A4">
        <w:rPr>
          <w:rFonts w:cs="Arial"/>
          <w:sz w:val="22"/>
          <w:szCs w:val="22"/>
        </w:rPr>
        <w:t xml:space="preserve"> emergency</w:t>
      </w:r>
      <w:r>
        <w:rPr>
          <w:rFonts w:cs="Arial"/>
          <w:sz w:val="22"/>
          <w:szCs w:val="22"/>
        </w:rPr>
        <w:t xml:space="preserve"> transfusion of O </w:t>
      </w:r>
      <w:proofErr w:type="spellStart"/>
      <w:r>
        <w:rPr>
          <w:rFonts w:cs="Arial"/>
          <w:sz w:val="22"/>
          <w:szCs w:val="22"/>
        </w:rPr>
        <w:t>RhD</w:t>
      </w:r>
      <w:proofErr w:type="spellEnd"/>
      <w:r>
        <w:rPr>
          <w:rFonts w:cs="Arial"/>
          <w:sz w:val="22"/>
          <w:szCs w:val="22"/>
        </w:rPr>
        <w:t xml:space="preserve"> negative red cells. </w:t>
      </w:r>
      <w:r w:rsidR="00F70628" w:rsidRPr="00F70628">
        <w:rPr>
          <w:rFonts w:cs="Arial"/>
          <w:sz w:val="22"/>
          <w:szCs w:val="22"/>
        </w:rPr>
        <w:t xml:space="preserve">This is not an isolated event. Whilst transfusion should not be delayed when a patient is clinically compromised by significant bleeding, medical staff need to be aware that emergency issue O </w:t>
      </w:r>
      <w:proofErr w:type="spellStart"/>
      <w:r w:rsidR="00F70628" w:rsidRPr="00F70628">
        <w:rPr>
          <w:rFonts w:cs="Arial"/>
          <w:sz w:val="22"/>
          <w:szCs w:val="22"/>
        </w:rPr>
        <w:t>RhD</w:t>
      </w:r>
      <w:proofErr w:type="spellEnd"/>
      <w:r w:rsidR="00F70628" w:rsidRPr="00F70628">
        <w:rPr>
          <w:rFonts w:cs="Arial"/>
          <w:sz w:val="22"/>
          <w:szCs w:val="22"/>
        </w:rPr>
        <w:t xml:space="preserve"> negative units are not risk free. If there are pre-existing red cell alloantibodies transfusion may be associated with a haemolytic transfusion reaction. Emergency issue O </w:t>
      </w:r>
      <w:proofErr w:type="spellStart"/>
      <w:r w:rsidR="00F70628" w:rsidRPr="00F70628">
        <w:rPr>
          <w:rFonts w:cs="Arial"/>
          <w:sz w:val="22"/>
          <w:szCs w:val="22"/>
        </w:rPr>
        <w:t>RhD</w:t>
      </w:r>
      <w:proofErr w:type="spellEnd"/>
      <w:r w:rsidR="00F70628" w:rsidRPr="00F70628">
        <w:rPr>
          <w:rFonts w:cs="Arial"/>
          <w:sz w:val="22"/>
          <w:szCs w:val="22"/>
        </w:rPr>
        <w:t xml:space="preserve"> negative red cells </w:t>
      </w:r>
      <w:r w:rsidRPr="00F70628">
        <w:rPr>
          <w:rFonts w:cs="Arial"/>
          <w:sz w:val="22"/>
          <w:szCs w:val="22"/>
        </w:rPr>
        <w:t xml:space="preserve">units </w:t>
      </w:r>
      <w:r>
        <w:rPr>
          <w:rFonts w:cs="Arial"/>
          <w:sz w:val="22"/>
          <w:szCs w:val="22"/>
        </w:rPr>
        <w:t>remain</w:t>
      </w:r>
      <w:r w:rsidR="00F70628" w:rsidRPr="00F70628">
        <w:rPr>
          <w:rFonts w:cs="Arial"/>
          <w:sz w:val="22"/>
          <w:szCs w:val="22"/>
        </w:rPr>
        <w:t xml:space="preserve"> the safest option in a life-threatening situation when crossmatched blood is not available for transfusion, but should not be considered outside of an emergency.  O </w:t>
      </w:r>
      <w:proofErr w:type="spellStart"/>
      <w:r w:rsidR="00F70628" w:rsidRPr="00F70628">
        <w:rPr>
          <w:rFonts w:cs="Arial"/>
          <w:sz w:val="22"/>
          <w:szCs w:val="22"/>
        </w:rPr>
        <w:t>RhD</w:t>
      </w:r>
      <w:proofErr w:type="spellEnd"/>
      <w:r w:rsidR="00F70628" w:rsidRPr="00F70628">
        <w:rPr>
          <w:rFonts w:cs="Arial"/>
          <w:sz w:val="22"/>
          <w:szCs w:val="22"/>
        </w:rPr>
        <w:t xml:space="preserve"> negative units carry the inherent risks of all transfusion - the clinical risk and benefit must be equally considered before any blood product exposure. </w:t>
      </w:r>
    </w:p>
    <w:p w14:paraId="2FA6F786" w14:textId="77777777" w:rsidR="00F70628" w:rsidRPr="00F70628" w:rsidRDefault="00F70628" w:rsidP="00F70628">
      <w:pPr>
        <w:pStyle w:val="DHHSbody"/>
        <w:rPr>
          <w:rFonts w:cs="Arial"/>
          <w:sz w:val="22"/>
          <w:szCs w:val="22"/>
        </w:rPr>
      </w:pPr>
      <w:r w:rsidRPr="00F70628">
        <w:rPr>
          <w:rFonts w:cs="Arial"/>
          <w:sz w:val="22"/>
          <w:szCs w:val="22"/>
        </w:rPr>
        <w:t xml:space="preserve">The supply of O </w:t>
      </w:r>
      <w:proofErr w:type="spellStart"/>
      <w:r w:rsidRPr="00F70628">
        <w:rPr>
          <w:rFonts w:cs="Arial"/>
          <w:sz w:val="22"/>
          <w:szCs w:val="22"/>
        </w:rPr>
        <w:t>RhD</w:t>
      </w:r>
      <w:proofErr w:type="spellEnd"/>
      <w:r w:rsidRPr="00F70628">
        <w:rPr>
          <w:rFonts w:cs="Arial"/>
          <w:sz w:val="22"/>
          <w:szCs w:val="22"/>
        </w:rPr>
        <w:t xml:space="preserve"> negative red cells is limited and care must be taken to use these units judiciously and only as clinically required. Demand for O </w:t>
      </w:r>
      <w:proofErr w:type="spellStart"/>
      <w:r w:rsidRPr="00F70628">
        <w:rPr>
          <w:rFonts w:cs="Arial"/>
          <w:sz w:val="22"/>
          <w:szCs w:val="22"/>
        </w:rPr>
        <w:t>RhD</w:t>
      </w:r>
      <w:proofErr w:type="spellEnd"/>
      <w:r w:rsidRPr="00F70628">
        <w:rPr>
          <w:rFonts w:cs="Arial"/>
          <w:sz w:val="22"/>
          <w:szCs w:val="22"/>
        </w:rPr>
        <w:t xml:space="preserve"> negative red cells is well in excess of the percentage of donors who are O </w:t>
      </w:r>
      <w:proofErr w:type="spellStart"/>
      <w:r w:rsidRPr="00F70628">
        <w:rPr>
          <w:rFonts w:cs="Arial"/>
          <w:sz w:val="22"/>
          <w:szCs w:val="22"/>
        </w:rPr>
        <w:t>RhD</w:t>
      </w:r>
      <w:proofErr w:type="spellEnd"/>
      <w:r w:rsidRPr="00F70628">
        <w:rPr>
          <w:rFonts w:cs="Arial"/>
          <w:sz w:val="22"/>
          <w:szCs w:val="22"/>
        </w:rPr>
        <w:t xml:space="preserve"> negative. </w:t>
      </w:r>
    </w:p>
    <w:p w14:paraId="33729331" w14:textId="77777777" w:rsidR="00F70628" w:rsidRPr="00F70628" w:rsidRDefault="00F70628" w:rsidP="00F70628">
      <w:pPr>
        <w:pStyle w:val="DHHSbody"/>
        <w:rPr>
          <w:rFonts w:cs="Arial"/>
          <w:sz w:val="22"/>
          <w:szCs w:val="22"/>
        </w:rPr>
      </w:pPr>
      <w:r w:rsidRPr="00F70628">
        <w:rPr>
          <w:rFonts w:cs="Arial"/>
          <w:sz w:val="22"/>
          <w:szCs w:val="22"/>
        </w:rPr>
        <w:t xml:space="preserve">Both ANZSBT guidelines and NPAAC standards permit use of group O </w:t>
      </w:r>
      <w:proofErr w:type="spellStart"/>
      <w:r w:rsidRPr="00F70628">
        <w:rPr>
          <w:rFonts w:cs="Arial"/>
          <w:sz w:val="22"/>
          <w:szCs w:val="22"/>
        </w:rPr>
        <w:t>RhD</w:t>
      </w:r>
      <w:proofErr w:type="spellEnd"/>
      <w:r w:rsidRPr="00F70628">
        <w:rPr>
          <w:rFonts w:cs="Arial"/>
          <w:sz w:val="22"/>
          <w:szCs w:val="22"/>
        </w:rPr>
        <w:t xml:space="preserve"> positive red cells for emergency transfusion to males and females ≥50 (defined age varies between health services). Health services should consider developing local policies to direct selection of group O red cells for emergency transfusion, including the use of group O </w:t>
      </w:r>
      <w:proofErr w:type="spellStart"/>
      <w:r w:rsidRPr="00F70628">
        <w:rPr>
          <w:rFonts w:cs="Arial"/>
          <w:sz w:val="22"/>
          <w:szCs w:val="22"/>
        </w:rPr>
        <w:t>RhD</w:t>
      </w:r>
      <w:proofErr w:type="spellEnd"/>
      <w:r w:rsidRPr="00F70628">
        <w:rPr>
          <w:rFonts w:cs="Arial"/>
          <w:sz w:val="22"/>
          <w:szCs w:val="22"/>
        </w:rPr>
        <w:t xml:space="preserve"> positive red cells where appropriate.</w:t>
      </w:r>
    </w:p>
    <w:p w14:paraId="4D858B87" w14:textId="77777777" w:rsidR="00F70628" w:rsidRPr="00F70628" w:rsidRDefault="00F70628" w:rsidP="00F70628">
      <w:pPr>
        <w:pStyle w:val="DHHSbody"/>
        <w:rPr>
          <w:rFonts w:cs="Arial"/>
          <w:sz w:val="22"/>
          <w:szCs w:val="22"/>
        </w:rPr>
      </w:pPr>
      <w:r w:rsidRPr="00F70628">
        <w:rPr>
          <w:rFonts w:cs="Arial"/>
          <w:sz w:val="22"/>
          <w:szCs w:val="22"/>
        </w:rPr>
        <w:t xml:space="preserve">Clinical staff must provide the laboratory with a pretransfusion sample as soon as possible in critical bleeding events where group O emergency issue units are employed: this should be obtained prior to administration of the first emergency issue red cell unit. This ensures the blood sample being tested contains only the patient’s blood and not transfused donor red cells. A sample taken after an emergency issue red cell transfusion has commenced makes serological testing more complex and ambiguous, due </w:t>
      </w:r>
      <w:r w:rsidRPr="00F70628">
        <w:rPr>
          <w:rFonts w:cs="Arial"/>
          <w:sz w:val="22"/>
          <w:szCs w:val="22"/>
        </w:rPr>
        <w:lastRenderedPageBreak/>
        <w:t xml:space="preserve">to mixed field reactions.  This in turn may result in an ongoing requirement for precious O </w:t>
      </w:r>
      <w:proofErr w:type="spellStart"/>
      <w:r w:rsidRPr="00F70628">
        <w:rPr>
          <w:rFonts w:cs="Arial"/>
          <w:sz w:val="22"/>
          <w:szCs w:val="22"/>
        </w:rPr>
        <w:t>RhD</w:t>
      </w:r>
      <w:proofErr w:type="spellEnd"/>
      <w:r w:rsidRPr="00F70628">
        <w:rPr>
          <w:rFonts w:cs="Arial"/>
          <w:sz w:val="22"/>
          <w:szCs w:val="22"/>
        </w:rPr>
        <w:t xml:space="preserve"> negative blood if a blood group cannot be determined. </w:t>
      </w:r>
    </w:p>
    <w:p w14:paraId="174693E3" w14:textId="77777777" w:rsidR="00F70628" w:rsidRPr="00F70628" w:rsidRDefault="00F70628" w:rsidP="00F70628">
      <w:pPr>
        <w:pStyle w:val="DHHSbody"/>
        <w:rPr>
          <w:rFonts w:cs="Arial"/>
          <w:sz w:val="22"/>
          <w:szCs w:val="22"/>
        </w:rPr>
      </w:pPr>
      <w:r w:rsidRPr="00F70628">
        <w:rPr>
          <w:rFonts w:cs="Arial"/>
          <w:sz w:val="22"/>
          <w:szCs w:val="22"/>
        </w:rPr>
        <w:t xml:space="preserve">As soon as is clinically feasible, the patient with ongoing blood requirements should be changed to group specific units (saves group O </w:t>
      </w:r>
      <w:proofErr w:type="spellStart"/>
      <w:r w:rsidRPr="00F70628">
        <w:rPr>
          <w:rFonts w:cs="Arial"/>
          <w:sz w:val="22"/>
          <w:szCs w:val="22"/>
        </w:rPr>
        <w:t>RhD</w:t>
      </w:r>
      <w:proofErr w:type="spellEnd"/>
      <w:r w:rsidRPr="00F70628">
        <w:rPr>
          <w:rFonts w:cs="Arial"/>
          <w:sz w:val="22"/>
          <w:szCs w:val="22"/>
        </w:rPr>
        <w:t xml:space="preserve"> negative) and then crossmatched units (reduces the risk of a serological transfusion reaction). </w:t>
      </w:r>
    </w:p>
    <w:p w14:paraId="09A416C7" w14:textId="77777777" w:rsidR="00F70628" w:rsidRPr="00F70628" w:rsidRDefault="00F70628" w:rsidP="00F70628">
      <w:pPr>
        <w:pStyle w:val="DHHSbody"/>
        <w:rPr>
          <w:rFonts w:cs="Arial"/>
          <w:sz w:val="22"/>
          <w:szCs w:val="22"/>
        </w:rPr>
      </w:pPr>
      <w:r w:rsidRPr="00F70628">
        <w:rPr>
          <w:rFonts w:cs="Arial"/>
          <w:sz w:val="22"/>
          <w:szCs w:val="22"/>
        </w:rPr>
        <w:t xml:space="preserve">Clinical staff administering blood products should receive education and follow routine protocol when administrating these units. All checks are still required in an emergency. For example, in an incident reported to STIR, O </w:t>
      </w:r>
      <w:proofErr w:type="spellStart"/>
      <w:r w:rsidRPr="00F70628">
        <w:rPr>
          <w:rFonts w:cs="Arial"/>
          <w:sz w:val="22"/>
          <w:szCs w:val="22"/>
        </w:rPr>
        <w:t>RhD</w:t>
      </w:r>
      <w:proofErr w:type="spellEnd"/>
      <w:r w:rsidRPr="00F70628">
        <w:rPr>
          <w:rFonts w:cs="Arial"/>
          <w:sz w:val="22"/>
          <w:szCs w:val="22"/>
        </w:rPr>
        <w:t xml:space="preserve"> negative emergency issue units were administered despite being past their expiry date. The expiry date had not been checked by either the laboratory or the clinical staff.  </w:t>
      </w:r>
    </w:p>
    <w:p w14:paraId="770A8351" w14:textId="77777777" w:rsidR="00F70628" w:rsidRPr="00F70628" w:rsidRDefault="00F70628" w:rsidP="00F70628">
      <w:pPr>
        <w:pStyle w:val="DHHSbody"/>
        <w:rPr>
          <w:rFonts w:cs="Arial"/>
          <w:sz w:val="22"/>
          <w:szCs w:val="22"/>
        </w:rPr>
      </w:pPr>
      <w:r w:rsidRPr="00F70628">
        <w:rPr>
          <w:rFonts w:cs="Arial"/>
          <w:sz w:val="22"/>
          <w:szCs w:val="22"/>
        </w:rPr>
        <w:t xml:space="preserve">Emergency transfusion creates a high pressure environment for both laboratory and clinical staff. Laboratory computer systems may be by-passed during the emergency issue of blood components with a reliance on human factors for safety.  Care must be taken to always perform pretransfusion checks to avoid transfusion of an inappropriate or incorrect blood component. </w:t>
      </w:r>
    </w:p>
    <w:p w14:paraId="695CAF03" w14:textId="77777777" w:rsidR="00F70628" w:rsidRPr="00F70628" w:rsidRDefault="00F70628" w:rsidP="00F70628">
      <w:pPr>
        <w:pStyle w:val="DHHSbody"/>
        <w:rPr>
          <w:rFonts w:cs="Arial"/>
          <w:sz w:val="22"/>
          <w:szCs w:val="22"/>
        </w:rPr>
      </w:pPr>
      <w:r w:rsidRPr="00F70628">
        <w:rPr>
          <w:rFonts w:cs="Arial"/>
          <w:sz w:val="22"/>
          <w:szCs w:val="22"/>
        </w:rPr>
        <w:t xml:space="preserve">In addition to routine checks and procedures the ongoing need for transfusion should be under continual clinical assessment. </w:t>
      </w:r>
    </w:p>
    <w:p w14:paraId="23B2F835" w14:textId="77777777" w:rsidR="00F70628" w:rsidRPr="00F70628" w:rsidRDefault="00F70628" w:rsidP="00F70628">
      <w:pPr>
        <w:pStyle w:val="DHHSbody"/>
        <w:rPr>
          <w:rFonts w:cs="Arial"/>
          <w:sz w:val="22"/>
          <w:szCs w:val="22"/>
        </w:rPr>
      </w:pPr>
      <w:r w:rsidRPr="00F70628">
        <w:rPr>
          <w:rFonts w:cs="Arial"/>
          <w:sz w:val="22"/>
          <w:szCs w:val="22"/>
        </w:rPr>
        <w:t xml:space="preserve">Staff should be aware that although O </w:t>
      </w:r>
      <w:proofErr w:type="spellStart"/>
      <w:r w:rsidRPr="00F70628">
        <w:rPr>
          <w:rFonts w:cs="Arial"/>
          <w:sz w:val="22"/>
          <w:szCs w:val="22"/>
        </w:rPr>
        <w:t>RhD</w:t>
      </w:r>
      <w:proofErr w:type="spellEnd"/>
      <w:r w:rsidRPr="00F70628">
        <w:rPr>
          <w:rFonts w:cs="Arial"/>
          <w:sz w:val="22"/>
          <w:szCs w:val="22"/>
        </w:rPr>
        <w:t xml:space="preserve"> negative is the emergency issue group for red cells (sometimes referred to as “universal” donor), this is not the case for plasma products.  AB is the emergency issue group for plasma (contains no anti-A or anti-B antibodies). Errors related to staff understanding of ABO and </w:t>
      </w:r>
      <w:proofErr w:type="spellStart"/>
      <w:r w:rsidRPr="00F70628">
        <w:rPr>
          <w:rFonts w:cs="Arial"/>
          <w:sz w:val="22"/>
          <w:szCs w:val="22"/>
        </w:rPr>
        <w:t>RhD</w:t>
      </w:r>
      <w:proofErr w:type="spellEnd"/>
      <w:r w:rsidRPr="00F70628">
        <w:rPr>
          <w:rFonts w:cs="Arial"/>
          <w:sz w:val="22"/>
          <w:szCs w:val="22"/>
        </w:rPr>
        <w:t xml:space="preserve"> compatibility are regularly reported to STIR. Questions or concerns regarding compatibility of blood components should be addressed directly to the transfusion laboratory. </w:t>
      </w:r>
    </w:p>
    <w:p w14:paraId="23E8D53C" w14:textId="77777777" w:rsidR="00F70628" w:rsidRPr="00F70628" w:rsidRDefault="00F70628" w:rsidP="00F70628">
      <w:pPr>
        <w:pStyle w:val="DHHSbody"/>
        <w:rPr>
          <w:rFonts w:cs="Arial"/>
          <w:sz w:val="22"/>
          <w:szCs w:val="22"/>
        </w:rPr>
      </w:pPr>
    </w:p>
    <w:tbl>
      <w:tblPr>
        <w:tblStyle w:val="GridTable4-Accent2"/>
        <w:tblW w:w="0" w:type="auto"/>
        <w:tblLook w:val="04A0" w:firstRow="1" w:lastRow="0" w:firstColumn="1" w:lastColumn="0" w:noHBand="0" w:noVBand="1"/>
      </w:tblPr>
      <w:tblGrid>
        <w:gridCol w:w="3005"/>
        <w:gridCol w:w="3005"/>
        <w:gridCol w:w="3006"/>
      </w:tblGrid>
      <w:tr w:rsidR="00F70628" w:rsidRPr="00F70628" w14:paraId="0998BA08" w14:textId="77777777" w:rsidTr="00F70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6491951" w14:textId="77777777" w:rsidR="00F70628" w:rsidRPr="00F70628" w:rsidRDefault="00F70628" w:rsidP="00F70628">
            <w:pPr>
              <w:pStyle w:val="DHHSbody"/>
              <w:rPr>
                <w:rFonts w:cs="Arial"/>
                <w:sz w:val="22"/>
                <w:szCs w:val="22"/>
              </w:rPr>
            </w:pPr>
            <w:r w:rsidRPr="00F70628">
              <w:rPr>
                <w:rFonts w:cs="Arial"/>
                <w:sz w:val="22"/>
                <w:szCs w:val="22"/>
              </w:rPr>
              <w:t xml:space="preserve">Group </w:t>
            </w:r>
          </w:p>
        </w:tc>
        <w:tc>
          <w:tcPr>
            <w:tcW w:w="3005" w:type="dxa"/>
          </w:tcPr>
          <w:p w14:paraId="2D5D0CF2" w14:textId="77777777" w:rsidR="00F70628" w:rsidRPr="00F70628" w:rsidRDefault="00F70628" w:rsidP="00F70628">
            <w:pPr>
              <w:pStyle w:val="DHHSbody"/>
              <w:cnfStyle w:val="100000000000" w:firstRow="1" w:lastRow="0" w:firstColumn="0" w:lastColumn="0" w:oddVBand="0" w:evenVBand="0" w:oddHBand="0" w:evenHBand="0" w:firstRowFirstColumn="0" w:firstRowLastColumn="0" w:lastRowFirstColumn="0" w:lastRowLastColumn="0"/>
              <w:rPr>
                <w:rFonts w:cs="Arial"/>
                <w:sz w:val="22"/>
                <w:szCs w:val="22"/>
              </w:rPr>
            </w:pPr>
            <w:r w:rsidRPr="00F70628">
              <w:rPr>
                <w:rFonts w:cs="Arial"/>
                <w:sz w:val="22"/>
                <w:szCs w:val="22"/>
              </w:rPr>
              <w:t>ABO antigens on red blood cell</w:t>
            </w:r>
          </w:p>
        </w:tc>
        <w:tc>
          <w:tcPr>
            <w:tcW w:w="3006" w:type="dxa"/>
          </w:tcPr>
          <w:p w14:paraId="65C6758E" w14:textId="77777777" w:rsidR="00F70628" w:rsidRPr="00F70628" w:rsidRDefault="00F70628" w:rsidP="00F70628">
            <w:pPr>
              <w:pStyle w:val="DHHSbody"/>
              <w:cnfStyle w:val="100000000000" w:firstRow="1" w:lastRow="0" w:firstColumn="0" w:lastColumn="0" w:oddVBand="0" w:evenVBand="0" w:oddHBand="0" w:evenHBand="0" w:firstRowFirstColumn="0" w:firstRowLastColumn="0" w:lastRowFirstColumn="0" w:lastRowLastColumn="0"/>
              <w:rPr>
                <w:rFonts w:cs="Arial"/>
                <w:sz w:val="22"/>
                <w:szCs w:val="22"/>
              </w:rPr>
            </w:pPr>
            <w:r w:rsidRPr="00F70628">
              <w:rPr>
                <w:rFonts w:cs="Arial"/>
                <w:sz w:val="22"/>
                <w:szCs w:val="22"/>
              </w:rPr>
              <w:t>Antibodies in plasma</w:t>
            </w:r>
          </w:p>
        </w:tc>
      </w:tr>
      <w:tr w:rsidR="00F70628" w:rsidRPr="00F70628" w14:paraId="4353C5EB" w14:textId="77777777" w:rsidTr="00F70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3257888" w14:textId="77777777" w:rsidR="00F70628" w:rsidRPr="00F70628" w:rsidRDefault="00F70628" w:rsidP="00F70628">
            <w:pPr>
              <w:pStyle w:val="DHHSbody"/>
              <w:rPr>
                <w:rFonts w:cs="Arial"/>
                <w:sz w:val="22"/>
                <w:szCs w:val="22"/>
              </w:rPr>
            </w:pPr>
            <w:r w:rsidRPr="00F70628">
              <w:rPr>
                <w:rFonts w:cs="Arial"/>
                <w:sz w:val="22"/>
                <w:szCs w:val="22"/>
              </w:rPr>
              <w:t>O</w:t>
            </w:r>
          </w:p>
        </w:tc>
        <w:tc>
          <w:tcPr>
            <w:tcW w:w="3005" w:type="dxa"/>
          </w:tcPr>
          <w:p w14:paraId="0F8DD905" w14:textId="77777777" w:rsidR="00F70628" w:rsidRPr="00F70628" w:rsidRDefault="00F70628" w:rsidP="00F70628">
            <w:pPr>
              <w:pStyle w:val="DHHSbody"/>
              <w:cnfStyle w:val="000000100000" w:firstRow="0" w:lastRow="0" w:firstColumn="0" w:lastColumn="0" w:oddVBand="0" w:evenVBand="0" w:oddHBand="1" w:evenHBand="0" w:firstRowFirstColumn="0" w:firstRowLastColumn="0" w:lastRowFirstColumn="0" w:lastRowLastColumn="0"/>
              <w:rPr>
                <w:rFonts w:cs="Arial"/>
                <w:sz w:val="22"/>
                <w:szCs w:val="22"/>
              </w:rPr>
            </w:pPr>
            <w:r w:rsidRPr="00F70628">
              <w:rPr>
                <w:rFonts w:cs="Arial"/>
                <w:b/>
                <w:sz w:val="22"/>
                <w:szCs w:val="22"/>
              </w:rPr>
              <w:t xml:space="preserve">Nil </w:t>
            </w:r>
            <w:r w:rsidRPr="00F70628">
              <w:rPr>
                <w:rFonts w:cs="Arial"/>
                <w:sz w:val="22"/>
                <w:szCs w:val="22"/>
              </w:rPr>
              <w:t>(emergency issue RBC)</w:t>
            </w:r>
          </w:p>
        </w:tc>
        <w:tc>
          <w:tcPr>
            <w:tcW w:w="3006" w:type="dxa"/>
          </w:tcPr>
          <w:p w14:paraId="4FCB3F9A" w14:textId="77777777" w:rsidR="00F70628" w:rsidRPr="00F70628" w:rsidRDefault="00F70628" w:rsidP="00F70628">
            <w:pPr>
              <w:pStyle w:val="DHHSbody"/>
              <w:cnfStyle w:val="000000100000" w:firstRow="0" w:lastRow="0" w:firstColumn="0" w:lastColumn="0" w:oddVBand="0" w:evenVBand="0" w:oddHBand="1" w:evenHBand="0" w:firstRowFirstColumn="0" w:firstRowLastColumn="0" w:lastRowFirstColumn="0" w:lastRowLastColumn="0"/>
              <w:rPr>
                <w:rFonts w:cs="Arial"/>
                <w:sz w:val="22"/>
                <w:szCs w:val="22"/>
              </w:rPr>
            </w:pPr>
            <w:r w:rsidRPr="00F70628">
              <w:rPr>
                <w:rFonts w:cs="Arial"/>
                <w:sz w:val="22"/>
                <w:szCs w:val="22"/>
              </w:rPr>
              <w:t>anti-A and anti-B</w:t>
            </w:r>
          </w:p>
        </w:tc>
      </w:tr>
      <w:tr w:rsidR="00F70628" w:rsidRPr="00F70628" w14:paraId="6548A54A" w14:textId="77777777" w:rsidTr="00F70628">
        <w:tc>
          <w:tcPr>
            <w:cnfStyle w:val="001000000000" w:firstRow="0" w:lastRow="0" w:firstColumn="1" w:lastColumn="0" w:oddVBand="0" w:evenVBand="0" w:oddHBand="0" w:evenHBand="0" w:firstRowFirstColumn="0" w:firstRowLastColumn="0" w:lastRowFirstColumn="0" w:lastRowLastColumn="0"/>
            <w:tcW w:w="3005" w:type="dxa"/>
          </w:tcPr>
          <w:p w14:paraId="7FDCB371" w14:textId="77777777" w:rsidR="00F70628" w:rsidRPr="00F70628" w:rsidRDefault="00F70628" w:rsidP="00F70628">
            <w:pPr>
              <w:pStyle w:val="DHHSbody"/>
              <w:rPr>
                <w:rFonts w:cs="Arial"/>
                <w:sz w:val="22"/>
                <w:szCs w:val="22"/>
              </w:rPr>
            </w:pPr>
            <w:r w:rsidRPr="00F70628">
              <w:rPr>
                <w:rFonts w:cs="Arial"/>
                <w:sz w:val="22"/>
                <w:szCs w:val="22"/>
              </w:rPr>
              <w:t>A</w:t>
            </w:r>
          </w:p>
        </w:tc>
        <w:tc>
          <w:tcPr>
            <w:tcW w:w="3005" w:type="dxa"/>
          </w:tcPr>
          <w:p w14:paraId="50DCE58B" w14:textId="77777777" w:rsidR="00F70628" w:rsidRPr="00F70628" w:rsidRDefault="00F70628" w:rsidP="00F70628">
            <w:pPr>
              <w:pStyle w:val="DHHSbody"/>
              <w:cnfStyle w:val="000000000000" w:firstRow="0" w:lastRow="0" w:firstColumn="0" w:lastColumn="0" w:oddVBand="0" w:evenVBand="0" w:oddHBand="0" w:evenHBand="0" w:firstRowFirstColumn="0" w:firstRowLastColumn="0" w:lastRowFirstColumn="0" w:lastRowLastColumn="0"/>
              <w:rPr>
                <w:rFonts w:cs="Arial"/>
                <w:sz w:val="22"/>
                <w:szCs w:val="22"/>
              </w:rPr>
            </w:pPr>
            <w:r w:rsidRPr="00F70628">
              <w:rPr>
                <w:rFonts w:cs="Arial"/>
                <w:sz w:val="22"/>
                <w:szCs w:val="22"/>
              </w:rPr>
              <w:t>A</w:t>
            </w:r>
          </w:p>
        </w:tc>
        <w:tc>
          <w:tcPr>
            <w:tcW w:w="3006" w:type="dxa"/>
          </w:tcPr>
          <w:p w14:paraId="455EEA20" w14:textId="77777777" w:rsidR="00F70628" w:rsidRPr="00F70628" w:rsidRDefault="00F70628" w:rsidP="00F70628">
            <w:pPr>
              <w:pStyle w:val="DHHSbody"/>
              <w:cnfStyle w:val="000000000000" w:firstRow="0" w:lastRow="0" w:firstColumn="0" w:lastColumn="0" w:oddVBand="0" w:evenVBand="0" w:oddHBand="0" w:evenHBand="0" w:firstRowFirstColumn="0" w:firstRowLastColumn="0" w:lastRowFirstColumn="0" w:lastRowLastColumn="0"/>
              <w:rPr>
                <w:rFonts w:cs="Arial"/>
                <w:sz w:val="22"/>
                <w:szCs w:val="22"/>
              </w:rPr>
            </w:pPr>
            <w:r w:rsidRPr="00F70628">
              <w:rPr>
                <w:rFonts w:cs="Arial"/>
                <w:sz w:val="22"/>
                <w:szCs w:val="22"/>
              </w:rPr>
              <w:t>anti-B</w:t>
            </w:r>
          </w:p>
        </w:tc>
      </w:tr>
      <w:tr w:rsidR="00F70628" w:rsidRPr="00F70628" w14:paraId="1E2D8227" w14:textId="77777777" w:rsidTr="00F70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EF9F5A7" w14:textId="77777777" w:rsidR="00F70628" w:rsidRPr="00F70628" w:rsidRDefault="00F70628" w:rsidP="00F70628">
            <w:pPr>
              <w:pStyle w:val="DHHSbody"/>
              <w:rPr>
                <w:rFonts w:cs="Arial"/>
                <w:sz w:val="22"/>
                <w:szCs w:val="22"/>
              </w:rPr>
            </w:pPr>
            <w:r w:rsidRPr="00F70628">
              <w:rPr>
                <w:rFonts w:cs="Arial"/>
                <w:sz w:val="22"/>
                <w:szCs w:val="22"/>
              </w:rPr>
              <w:t>B</w:t>
            </w:r>
          </w:p>
        </w:tc>
        <w:tc>
          <w:tcPr>
            <w:tcW w:w="3005" w:type="dxa"/>
          </w:tcPr>
          <w:p w14:paraId="4651E57A" w14:textId="77777777" w:rsidR="00F70628" w:rsidRPr="00F70628" w:rsidRDefault="00F70628" w:rsidP="00F70628">
            <w:pPr>
              <w:pStyle w:val="DHHSbody"/>
              <w:cnfStyle w:val="000000100000" w:firstRow="0" w:lastRow="0" w:firstColumn="0" w:lastColumn="0" w:oddVBand="0" w:evenVBand="0" w:oddHBand="1" w:evenHBand="0" w:firstRowFirstColumn="0" w:firstRowLastColumn="0" w:lastRowFirstColumn="0" w:lastRowLastColumn="0"/>
              <w:rPr>
                <w:rFonts w:cs="Arial"/>
                <w:sz w:val="22"/>
                <w:szCs w:val="22"/>
              </w:rPr>
            </w:pPr>
            <w:r w:rsidRPr="00F70628">
              <w:rPr>
                <w:rFonts w:cs="Arial"/>
                <w:sz w:val="22"/>
                <w:szCs w:val="22"/>
              </w:rPr>
              <w:t>B</w:t>
            </w:r>
          </w:p>
        </w:tc>
        <w:tc>
          <w:tcPr>
            <w:tcW w:w="3006" w:type="dxa"/>
          </w:tcPr>
          <w:p w14:paraId="4EDD630B" w14:textId="77777777" w:rsidR="00F70628" w:rsidRPr="00F70628" w:rsidRDefault="00F70628" w:rsidP="00F70628">
            <w:pPr>
              <w:pStyle w:val="DHHSbody"/>
              <w:cnfStyle w:val="000000100000" w:firstRow="0" w:lastRow="0" w:firstColumn="0" w:lastColumn="0" w:oddVBand="0" w:evenVBand="0" w:oddHBand="1" w:evenHBand="0" w:firstRowFirstColumn="0" w:firstRowLastColumn="0" w:lastRowFirstColumn="0" w:lastRowLastColumn="0"/>
              <w:rPr>
                <w:rFonts w:cs="Arial"/>
                <w:sz w:val="22"/>
                <w:szCs w:val="22"/>
              </w:rPr>
            </w:pPr>
            <w:r w:rsidRPr="00F70628">
              <w:rPr>
                <w:rFonts w:cs="Arial"/>
                <w:sz w:val="22"/>
                <w:szCs w:val="22"/>
              </w:rPr>
              <w:t>anti-A</w:t>
            </w:r>
          </w:p>
        </w:tc>
      </w:tr>
      <w:tr w:rsidR="00F70628" w:rsidRPr="00F70628" w14:paraId="4CE17634" w14:textId="77777777" w:rsidTr="00F70628">
        <w:tc>
          <w:tcPr>
            <w:cnfStyle w:val="001000000000" w:firstRow="0" w:lastRow="0" w:firstColumn="1" w:lastColumn="0" w:oddVBand="0" w:evenVBand="0" w:oddHBand="0" w:evenHBand="0" w:firstRowFirstColumn="0" w:firstRowLastColumn="0" w:lastRowFirstColumn="0" w:lastRowLastColumn="0"/>
            <w:tcW w:w="3005" w:type="dxa"/>
          </w:tcPr>
          <w:p w14:paraId="52E6CDE3" w14:textId="77777777" w:rsidR="00F70628" w:rsidRPr="00F70628" w:rsidRDefault="00F70628" w:rsidP="00F70628">
            <w:pPr>
              <w:pStyle w:val="DHHSbody"/>
              <w:rPr>
                <w:rFonts w:cs="Arial"/>
                <w:sz w:val="22"/>
                <w:szCs w:val="22"/>
              </w:rPr>
            </w:pPr>
            <w:r w:rsidRPr="00F70628">
              <w:rPr>
                <w:rFonts w:cs="Arial"/>
                <w:sz w:val="22"/>
                <w:szCs w:val="22"/>
              </w:rPr>
              <w:t>AB</w:t>
            </w:r>
          </w:p>
        </w:tc>
        <w:tc>
          <w:tcPr>
            <w:tcW w:w="3005" w:type="dxa"/>
          </w:tcPr>
          <w:p w14:paraId="7B754E62" w14:textId="77777777" w:rsidR="00F70628" w:rsidRPr="00F70628" w:rsidRDefault="00F70628" w:rsidP="00F70628">
            <w:pPr>
              <w:pStyle w:val="DHHSbody"/>
              <w:cnfStyle w:val="000000000000" w:firstRow="0" w:lastRow="0" w:firstColumn="0" w:lastColumn="0" w:oddVBand="0" w:evenVBand="0" w:oddHBand="0" w:evenHBand="0" w:firstRowFirstColumn="0" w:firstRowLastColumn="0" w:lastRowFirstColumn="0" w:lastRowLastColumn="0"/>
              <w:rPr>
                <w:rFonts w:cs="Arial"/>
                <w:sz w:val="22"/>
                <w:szCs w:val="22"/>
              </w:rPr>
            </w:pPr>
            <w:r w:rsidRPr="00F70628">
              <w:rPr>
                <w:rFonts w:cs="Arial"/>
                <w:sz w:val="22"/>
                <w:szCs w:val="22"/>
              </w:rPr>
              <w:t>A and B</w:t>
            </w:r>
          </w:p>
        </w:tc>
        <w:tc>
          <w:tcPr>
            <w:tcW w:w="3006" w:type="dxa"/>
          </w:tcPr>
          <w:p w14:paraId="5E4D0C65" w14:textId="77777777" w:rsidR="00F70628" w:rsidRPr="00F70628" w:rsidRDefault="00F70628" w:rsidP="00F70628">
            <w:pPr>
              <w:pStyle w:val="DHHSbody"/>
              <w:cnfStyle w:val="000000000000" w:firstRow="0" w:lastRow="0" w:firstColumn="0" w:lastColumn="0" w:oddVBand="0" w:evenVBand="0" w:oddHBand="0" w:evenHBand="0" w:firstRowFirstColumn="0" w:firstRowLastColumn="0" w:lastRowFirstColumn="0" w:lastRowLastColumn="0"/>
              <w:rPr>
                <w:rFonts w:cs="Arial"/>
                <w:sz w:val="22"/>
                <w:szCs w:val="22"/>
              </w:rPr>
            </w:pPr>
            <w:r w:rsidRPr="00F70628">
              <w:rPr>
                <w:rFonts w:cs="Arial"/>
                <w:b/>
                <w:sz w:val="22"/>
                <w:szCs w:val="22"/>
              </w:rPr>
              <w:t>Nil</w:t>
            </w:r>
            <w:r w:rsidRPr="00F70628">
              <w:rPr>
                <w:rFonts w:cs="Arial"/>
                <w:sz w:val="22"/>
                <w:szCs w:val="22"/>
              </w:rPr>
              <w:t xml:space="preserve"> (emergency issue plasma)</w:t>
            </w:r>
          </w:p>
        </w:tc>
      </w:tr>
    </w:tbl>
    <w:p w14:paraId="008077DF" w14:textId="77777777" w:rsidR="00F70628" w:rsidRPr="00F70628" w:rsidRDefault="00F70628" w:rsidP="00F70628">
      <w:pPr>
        <w:pStyle w:val="DHHSbody"/>
        <w:rPr>
          <w:rFonts w:cs="Arial"/>
          <w:sz w:val="22"/>
          <w:szCs w:val="22"/>
        </w:rPr>
      </w:pPr>
    </w:p>
    <w:p w14:paraId="5B83445B" w14:textId="77777777" w:rsidR="00F70628" w:rsidRPr="00F70628" w:rsidRDefault="00F70628" w:rsidP="00F70628">
      <w:pPr>
        <w:pStyle w:val="DHHSbody"/>
        <w:rPr>
          <w:rFonts w:cs="Arial"/>
          <w:sz w:val="22"/>
          <w:szCs w:val="22"/>
        </w:rPr>
      </w:pPr>
      <w:r w:rsidRPr="00F70628">
        <w:rPr>
          <w:rFonts w:cs="Arial"/>
          <w:sz w:val="22"/>
          <w:szCs w:val="22"/>
        </w:rPr>
        <w:t>Communication is pivotal in emergency transfusion during critical bleeding events. Having a key clinical contact liaising with the transfusion laboratory is optimal. Regular communication with the transfusion laboratory about ongoing requirements and the availability of compatible products assists with the provision of the most appropriate blood components for patient safety and appropriate inventory management.</w:t>
      </w:r>
    </w:p>
    <w:p w14:paraId="55E2468D" w14:textId="64B572FE" w:rsidR="00F70628" w:rsidRPr="00F70628" w:rsidRDefault="00F70628" w:rsidP="00F70628">
      <w:pPr>
        <w:pStyle w:val="DHHSbody"/>
        <w:rPr>
          <w:rFonts w:cs="Arial"/>
          <w:sz w:val="22"/>
          <w:szCs w:val="22"/>
        </w:rPr>
      </w:pPr>
      <w:r w:rsidRPr="00F70628">
        <w:rPr>
          <w:rFonts w:cs="Arial"/>
          <w:sz w:val="22"/>
          <w:szCs w:val="22"/>
        </w:rPr>
        <w:t xml:space="preserve">Knowledge of a patient’s antibody history along with informing patients of the significance of their red cell antibodies is an important consideration for future transfusion. Ensure transfusion history and any known or new red cell antibodies are recorded in the patient’s medical record (electronic or paper-based). It is essential the patient, the patient’s family and the treating clinicians are aware of the importance of passing on this information to the transfusion service. Even if there is not time for compatibility testing in an emergency situation the transfusion scientist may be able to select the most appropriate group O emergency issue red cells (antigen negative to the known antibody) and help avoid a transfusion reaction occurring. The laboratory will determine the relevance of information given to them – they are only aware of information if </w:t>
      </w:r>
      <w:r w:rsidR="0068585E">
        <w:rPr>
          <w:rFonts w:cs="Arial"/>
          <w:sz w:val="22"/>
          <w:szCs w:val="22"/>
        </w:rPr>
        <w:t xml:space="preserve">it is </w:t>
      </w:r>
      <w:r w:rsidRPr="00F70628">
        <w:rPr>
          <w:rFonts w:cs="Arial"/>
          <w:sz w:val="22"/>
          <w:szCs w:val="22"/>
        </w:rPr>
        <w:t>pass</w:t>
      </w:r>
      <w:r w:rsidR="0068585E">
        <w:rPr>
          <w:rFonts w:cs="Arial"/>
          <w:sz w:val="22"/>
          <w:szCs w:val="22"/>
        </w:rPr>
        <w:t>ed</w:t>
      </w:r>
      <w:bookmarkStart w:id="0" w:name="_GoBack"/>
      <w:bookmarkEnd w:id="0"/>
      <w:r w:rsidRPr="00F70628">
        <w:rPr>
          <w:rFonts w:cs="Arial"/>
          <w:sz w:val="22"/>
          <w:szCs w:val="22"/>
        </w:rPr>
        <w:t xml:space="preserve"> on to them and all too often are not provided with vital clinical information.</w:t>
      </w:r>
    </w:p>
    <w:p w14:paraId="64B97F50" w14:textId="77777777" w:rsidR="00F70628" w:rsidRPr="00F70628" w:rsidRDefault="00F70628" w:rsidP="00F70628">
      <w:pPr>
        <w:pStyle w:val="DHHSbody"/>
        <w:rPr>
          <w:rFonts w:cs="Arial"/>
          <w:sz w:val="22"/>
          <w:szCs w:val="22"/>
        </w:rPr>
      </w:pPr>
      <w:r w:rsidRPr="00F70628">
        <w:rPr>
          <w:rFonts w:cs="Arial"/>
          <w:sz w:val="22"/>
          <w:szCs w:val="22"/>
        </w:rPr>
        <w:lastRenderedPageBreak/>
        <w:t xml:space="preserve">Most laboratory information systems are not linked to each other so each transfusion service can only access information from within their own network. </w:t>
      </w:r>
    </w:p>
    <w:p w14:paraId="3B561613" w14:textId="77777777" w:rsidR="00F70628" w:rsidRPr="00F70628" w:rsidRDefault="00F70628" w:rsidP="00F70628">
      <w:pPr>
        <w:pStyle w:val="DHHSbody"/>
        <w:rPr>
          <w:rFonts w:cs="Arial"/>
          <w:sz w:val="22"/>
          <w:szCs w:val="22"/>
        </w:rPr>
      </w:pPr>
      <w:r w:rsidRPr="00F70628">
        <w:rPr>
          <w:rFonts w:cs="Arial"/>
          <w:sz w:val="22"/>
          <w:szCs w:val="22"/>
        </w:rPr>
        <w:t xml:space="preserve">An antibody registry would facilitate more rapid provision of compatible red cells to patients with previously known red cell antibodies and the identification of antibody specificity. </w:t>
      </w:r>
    </w:p>
    <w:p w14:paraId="7099B3F6" w14:textId="77777777" w:rsidR="00F70628" w:rsidRPr="00F70628" w:rsidRDefault="00F70628" w:rsidP="00F70628">
      <w:pPr>
        <w:pStyle w:val="DHHSbody"/>
        <w:rPr>
          <w:rFonts w:cs="Arial"/>
          <w:sz w:val="22"/>
          <w:szCs w:val="22"/>
        </w:rPr>
      </w:pPr>
      <w:r w:rsidRPr="00F70628">
        <w:rPr>
          <w:rFonts w:cs="Arial"/>
          <w:sz w:val="22"/>
          <w:szCs w:val="22"/>
        </w:rPr>
        <w:t>Glossary:</w:t>
      </w:r>
    </w:p>
    <w:tbl>
      <w:tblPr>
        <w:tblStyle w:val="TableGrid"/>
        <w:tblW w:w="9067" w:type="dxa"/>
        <w:tblLook w:val="04A0" w:firstRow="1" w:lastRow="0" w:firstColumn="1" w:lastColumn="0" w:noHBand="0" w:noVBand="1"/>
      </w:tblPr>
      <w:tblGrid>
        <w:gridCol w:w="2101"/>
        <w:gridCol w:w="6966"/>
      </w:tblGrid>
      <w:tr w:rsidR="00F70628" w:rsidRPr="00F70628" w14:paraId="3DB077E7" w14:textId="77777777" w:rsidTr="00225252">
        <w:tc>
          <w:tcPr>
            <w:tcW w:w="2101" w:type="dxa"/>
          </w:tcPr>
          <w:p w14:paraId="5399D522" w14:textId="77777777" w:rsidR="00F70628" w:rsidRPr="00F70628" w:rsidRDefault="00F70628" w:rsidP="00F70628">
            <w:pPr>
              <w:pStyle w:val="DHHSbody"/>
              <w:rPr>
                <w:rFonts w:cs="Arial"/>
                <w:b/>
                <w:sz w:val="22"/>
                <w:szCs w:val="22"/>
              </w:rPr>
            </w:pPr>
            <w:r w:rsidRPr="00F70628">
              <w:rPr>
                <w:rFonts w:cs="Arial"/>
                <w:b/>
                <w:sz w:val="22"/>
                <w:szCs w:val="22"/>
              </w:rPr>
              <w:t>Term</w:t>
            </w:r>
          </w:p>
        </w:tc>
        <w:tc>
          <w:tcPr>
            <w:tcW w:w="6966" w:type="dxa"/>
          </w:tcPr>
          <w:p w14:paraId="4F92616D" w14:textId="77777777" w:rsidR="00F70628" w:rsidRPr="00F70628" w:rsidRDefault="00F70628" w:rsidP="00F70628">
            <w:pPr>
              <w:pStyle w:val="DHHSbody"/>
              <w:rPr>
                <w:rFonts w:cs="Arial"/>
                <w:b/>
                <w:sz w:val="22"/>
                <w:szCs w:val="22"/>
              </w:rPr>
            </w:pPr>
            <w:r w:rsidRPr="00F70628">
              <w:rPr>
                <w:rFonts w:cs="Arial"/>
                <w:b/>
                <w:sz w:val="22"/>
                <w:szCs w:val="22"/>
              </w:rPr>
              <w:t>Definition</w:t>
            </w:r>
          </w:p>
        </w:tc>
      </w:tr>
      <w:tr w:rsidR="00F70628" w:rsidRPr="00F70628" w14:paraId="351E9D98" w14:textId="77777777" w:rsidTr="00225252">
        <w:tc>
          <w:tcPr>
            <w:tcW w:w="2101" w:type="dxa"/>
          </w:tcPr>
          <w:p w14:paraId="35F4A293" w14:textId="77777777" w:rsidR="00F70628" w:rsidRPr="00F70628" w:rsidRDefault="00F70628" w:rsidP="00F70628">
            <w:pPr>
              <w:pStyle w:val="DHHSbody"/>
              <w:rPr>
                <w:rFonts w:cs="Arial"/>
                <w:sz w:val="22"/>
                <w:szCs w:val="22"/>
              </w:rPr>
            </w:pPr>
            <w:proofErr w:type="spellStart"/>
            <w:r w:rsidRPr="00F70628">
              <w:rPr>
                <w:rFonts w:cs="Arial"/>
                <w:sz w:val="22"/>
                <w:szCs w:val="22"/>
              </w:rPr>
              <w:t>Uncrossmatched</w:t>
            </w:r>
            <w:proofErr w:type="spellEnd"/>
            <w:r w:rsidRPr="00F70628">
              <w:rPr>
                <w:rFonts w:cs="Arial"/>
                <w:sz w:val="22"/>
                <w:szCs w:val="22"/>
              </w:rPr>
              <w:t xml:space="preserve"> emergency issue group O red cells:</w:t>
            </w:r>
          </w:p>
        </w:tc>
        <w:tc>
          <w:tcPr>
            <w:tcW w:w="6966" w:type="dxa"/>
          </w:tcPr>
          <w:p w14:paraId="050DAA16" w14:textId="77777777" w:rsidR="00F70628" w:rsidRPr="00F70628" w:rsidRDefault="00F70628" w:rsidP="00F70628">
            <w:pPr>
              <w:pStyle w:val="DHHSbody"/>
              <w:rPr>
                <w:rFonts w:cs="Arial"/>
                <w:sz w:val="22"/>
                <w:szCs w:val="22"/>
              </w:rPr>
            </w:pPr>
            <w:r w:rsidRPr="00F70628">
              <w:rPr>
                <w:rFonts w:cs="Arial"/>
                <w:sz w:val="22"/>
                <w:szCs w:val="22"/>
              </w:rPr>
              <w:t xml:space="preserve">Red cells units issued for use where transfusion is urgently required, particularly in a life-threatening situation where the pretransfusion specimen has not yet been received or tested and compatibility testing has not been completed. </w:t>
            </w:r>
          </w:p>
          <w:p w14:paraId="7842C8CF" w14:textId="77777777" w:rsidR="00F70628" w:rsidRPr="00F70628" w:rsidRDefault="00F70628" w:rsidP="00F70628">
            <w:pPr>
              <w:pStyle w:val="DHHSbody"/>
              <w:rPr>
                <w:rFonts w:cs="Arial"/>
                <w:sz w:val="22"/>
                <w:szCs w:val="22"/>
              </w:rPr>
            </w:pPr>
            <w:r w:rsidRPr="00F70628">
              <w:rPr>
                <w:rFonts w:cs="Arial"/>
                <w:sz w:val="22"/>
                <w:szCs w:val="22"/>
              </w:rPr>
              <w:t xml:space="preserve">When </w:t>
            </w:r>
            <w:proofErr w:type="spellStart"/>
            <w:r w:rsidRPr="00F70628">
              <w:rPr>
                <w:rFonts w:cs="Arial"/>
                <w:sz w:val="22"/>
                <w:szCs w:val="22"/>
              </w:rPr>
              <w:t>uncrossmatched</w:t>
            </w:r>
            <w:proofErr w:type="spellEnd"/>
            <w:r w:rsidRPr="00F70628">
              <w:rPr>
                <w:rFonts w:cs="Arial"/>
                <w:sz w:val="22"/>
                <w:szCs w:val="22"/>
              </w:rPr>
              <w:t xml:space="preserve"> red cells are issued, a crossmatch segment from the unit should be retained in the laboratory for retrospective testing.</w:t>
            </w:r>
          </w:p>
        </w:tc>
      </w:tr>
      <w:tr w:rsidR="00F70628" w:rsidRPr="00F70628" w14:paraId="5F3DFBFA" w14:textId="77777777" w:rsidTr="00225252">
        <w:tc>
          <w:tcPr>
            <w:tcW w:w="2101" w:type="dxa"/>
          </w:tcPr>
          <w:p w14:paraId="72909560" w14:textId="77777777" w:rsidR="00F70628" w:rsidRPr="00F70628" w:rsidRDefault="00F70628" w:rsidP="00F70628">
            <w:pPr>
              <w:pStyle w:val="DHHSbody"/>
              <w:rPr>
                <w:rFonts w:cs="Arial"/>
                <w:sz w:val="22"/>
                <w:szCs w:val="22"/>
              </w:rPr>
            </w:pPr>
            <w:r w:rsidRPr="00F70628">
              <w:rPr>
                <w:rFonts w:cs="Arial"/>
                <w:sz w:val="22"/>
                <w:szCs w:val="22"/>
              </w:rPr>
              <w:t>Group specific red cells:</w:t>
            </w:r>
          </w:p>
        </w:tc>
        <w:tc>
          <w:tcPr>
            <w:tcW w:w="6966" w:type="dxa"/>
          </w:tcPr>
          <w:p w14:paraId="2FBF76D1" w14:textId="5C41EE6F" w:rsidR="00F70628" w:rsidRPr="00F70628" w:rsidRDefault="00F70628" w:rsidP="00F70628">
            <w:pPr>
              <w:pStyle w:val="DHHSbody"/>
              <w:rPr>
                <w:rFonts w:cs="Arial"/>
                <w:sz w:val="22"/>
                <w:szCs w:val="22"/>
              </w:rPr>
            </w:pPr>
            <w:r w:rsidRPr="00F70628">
              <w:rPr>
                <w:rFonts w:cs="Arial"/>
                <w:sz w:val="22"/>
                <w:szCs w:val="22"/>
              </w:rPr>
              <w:t>ABO/</w:t>
            </w:r>
            <w:proofErr w:type="spellStart"/>
            <w:r w:rsidRPr="00F70628">
              <w:rPr>
                <w:rFonts w:cs="Arial"/>
                <w:sz w:val="22"/>
                <w:szCs w:val="22"/>
              </w:rPr>
              <w:t>RhD</w:t>
            </w:r>
            <w:proofErr w:type="spellEnd"/>
            <w:r>
              <w:rPr>
                <w:rFonts w:cs="Arial"/>
                <w:sz w:val="22"/>
                <w:szCs w:val="22"/>
              </w:rPr>
              <w:t xml:space="preserve"> compatible</w:t>
            </w:r>
            <w:r w:rsidRPr="00F70628">
              <w:rPr>
                <w:rFonts w:cs="Arial"/>
                <w:sz w:val="22"/>
                <w:szCs w:val="22"/>
              </w:rPr>
              <w:t xml:space="preserve"> red cells issued to a patient once pretransfusion sample testing has confirmed ABO/</w:t>
            </w:r>
            <w:proofErr w:type="spellStart"/>
            <w:r w:rsidRPr="00F70628">
              <w:rPr>
                <w:rFonts w:cs="Arial"/>
                <w:sz w:val="22"/>
                <w:szCs w:val="22"/>
              </w:rPr>
              <w:t>RhD</w:t>
            </w:r>
            <w:proofErr w:type="spellEnd"/>
            <w:r w:rsidRPr="00F70628">
              <w:rPr>
                <w:rFonts w:cs="Arial"/>
                <w:sz w:val="22"/>
                <w:szCs w:val="22"/>
              </w:rPr>
              <w:t xml:space="preserve"> type of the patient. Ideally this should be the same group as the patient, but must be ABO/</w:t>
            </w:r>
            <w:proofErr w:type="spellStart"/>
            <w:r w:rsidRPr="00F70628">
              <w:rPr>
                <w:rFonts w:cs="Arial"/>
                <w:sz w:val="22"/>
                <w:szCs w:val="22"/>
              </w:rPr>
              <w:t>RhD</w:t>
            </w:r>
            <w:proofErr w:type="spellEnd"/>
            <w:r w:rsidRPr="00F70628">
              <w:rPr>
                <w:rFonts w:cs="Arial"/>
                <w:sz w:val="22"/>
                <w:szCs w:val="22"/>
              </w:rPr>
              <w:t xml:space="preserve"> compatible with the patient. Confirmation with a known historical ABO/</w:t>
            </w:r>
            <w:proofErr w:type="spellStart"/>
            <w:r w:rsidRPr="00F70628">
              <w:rPr>
                <w:rFonts w:cs="Arial"/>
                <w:sz w:val="22"/>
                <w:szCs w:val="22"/>
              </w:rPr>
              <w:t>RhD</w:t>
            </w:r>
            <w:proofErr w:type="spellEnd"/>
            <w:r w:rsidRPr="00F70628">
              <w:rPr>
                <w:rFonts w:cs="Arial"/>
                <w:sz w:val="22"/>
                <w:szCs w:val="22"/>
              </w:rPr>
              <w:t xml:space="preserve"> type or repeat testing needs to confirm the ABO/RHD type of the patient. The pretransfusion antibody screen result may not yet be available. Group specific red cells must NOT be issued based upon historical ABO/</w:t>
            </w:r>
            <w:proofErr w:type="spellStart"/>
            <w:r w:rsidRPr="00F70628">
              <w:rPr>
                <w:rFonts w:cs="Arial"/>
                <w:sz w:val="22"/>
                <w:szCs w:val="22"/>
              </w:rPr>
              <w:t>RhD</w:t>
            </w:r>
            <w:proofErr w:type="spellEnd"/>
            <w:r w:rsidRPr="00F70628">
              <w:rPr>
                <w:rFonts w:cs="Arial"/>
                <w:sz w:val="22"/>
                <w:szCs w:val="22"/>
              </w:rPr>
              <w:t xml:space="preserve"> type of the patient alone without confirmation of type from a current sample.</w:t>
            </w:r>
          </w:p>
        </w:tc>
      </w:tr>
      <w:tr w:rsidR="00F70628" w:rsidRPr="00F70628" w14:paraId="2CBB1FF8" w14:textId="77777777" w:rsidTr="00225252">
        <w:tc>
          <w:tcPr>
            <w:tcW w:w="2101" w:type="dxa"/>
          </w:tcPr>
          <w:p w14:paraId="67F88DAB" w14:textId="77777777" w:rsidR="00F70628" w:rsidRPr="00F70628" w:rsidRDefault="00F70628" w:rsidP="00F70628">
            <w:pPr>
              <w:pStyle w:val="DHHSbody"/>
              <w:rPr>
                <w:rFonts w:cs="Arial"/>
                <w:sz w:val="22"/>
                <w:szCs w:val="22"/>
              </w:rPr>
            </w:pPr>
            <w:r w:rsidRPr="00F70628">
              <w:rPr>
                <w:rFonts w:cs="Arial"/>
                <w:sz w:val="22"/>
                <w:szCs w:val="22"/>
              </w:rPr>
              <w:t xml:space="preserve">Compatibility testing </w:t>
            </w:r>
          </w:p>
          <w:p w14:paraId="455FCFE2" w14:textId="77777777" w:rsidR="00F70628" w:rsidRPr="00F70628" w:rsidRDefault="00F70628" w:rsidP="00F70628">
            <w:pPr>
              <w:pStyle w:val="DHHSbody"/>
              <w:rPr>
                <w:rFonts w:cs="Arial"/>
                <w:sz w:val="22"/>
                <w:szCs w:val="22"/>
              </w:rPr>
            </w:pPr>
            <w:r w:rsidRPr="00F70628">
              <w:rPr>
                <w:rFonts w:cs="Arial"/>
                <w:sz w:val="22"/>
                <w:szCs w:val="22"/>
              </w:rPr>
              <w:t xml:space="preserve">or </w:t>
            </w:r>
          </w:p>
          <w:p w14:paraId="07B6E71F" w14:textId="77777777" w:rsidR="00F70628" w:rsidRPr="00F70628" w:rsidRDefault="00F70628" w:rsidP="00F70628">
            <w:pPr>
              <w:pStyle w:val="DHHSbody"/>
              <w:rPr>
                <w:rFonts w:cs="Arial"/>
                <w:sz w:val="22"/>
                <w:szCs w:val="22"/>
              </w:rPr>
            </w:pPr>
            <w:r w:rsidRPr="00F70628">
              <w:rPr>
                <w:rFonts w:cs="Arial"/>
                <w:sz w:val="22"/>
                <w:szCs w:val="22"/>
              </w:rPr>
              <w:t xml:space="preserve">Crossmatch: </w:t>
            </w:r>
          </w:p>
        </w:tc>
        <w:tc>
          <w:tcPr>
            <w:tcW w:w="6966" w:type="dxa"/>
          </w:tcPr>
          <w:p w14:paraId="0ECD57D2" w14:textId="77777777" w:rsidR="00F70628" w:rsidRPr="00F70628" w:rsidRDefault="00F70628" w:rsidP="00F70628">
            <w:pPr>
              <w:pStyle w:val="DHHSbody"/>
              <w:rPr>
                <w:rFonts w:cs="Arial"/>
                <w:sz w:val="22"/>
                <w:szCs w:val="22"/>
              </w:rPr>
            </w:pPr>
            <w:r w:rsidRPr="00F70628">
              <w:rPr>
                <w:rFonts w:cs="Arial"/>
                <w:sz w:val="22"/>
                <w:szCs w:val="22"/>
              </w:rPr>
              <w:t xml:space="preserve">A test confirming compatibility between the patient’s plasma and the donor red cells. This may be performed by either serological or electronic methods. </w:t>
            </w:r>
          </w:p>
          <w:p w14:paraId="76AED8AB" w14:textId="77777777" w:rsidR="00F70628" w:rsidRPr="00F70628" w:rsidRDefault="00F70628" w:rsidP="00F70628">
            <w:pPr>
              <w:pStyle w:val="DHHSbody"/>
              <w:rPr>
                <w:rFonts w:cs="Arial"/>
                <w:sz w:val="22"/>
                <w:szCs w:val="22"/>
              </w:rPr>
            </w:pPr>
          </w:p>
        </w:tc>
      </w:tr>
      <w:tr w:rsidR="00F70628" w:rsidRPr="00F70628" w14:paraId="377F9DBE" w14:textId="77777777" w:rsidTr="00225252">
        <w:tc>
          <w:tcPr>
            <w:tcW w:w="2101" w:type="dxa"/>
          </w:tcPr>
          <w:p w14:paraId="21C62CB6" w14:textId="77777777" w:rsidR="00F70628" w:rsidRPr="00F70628" w:rsidRDefault="00F70628" w:rsidP="00F70628">
            <w:pPr>
              <w:pStyle w:val="DHHSbody"/>
              <w:rPr>
                <w:rFonts w:cs="Arial"/>
                <w:sz w:val="22"/>
                <w:szCs w:val="22"/>
              </w:rPr>
            </w:pPr>
            <w:r w:rsidRPr="00F70628">
              <w:rPr>
                <w:rFonts w:cs="Arial"/>
                <w:sz w:val="22"/>
                <w:szCs w:val="22"/>
              </w:rPr>
              <w:t>Acute haemolytic transfusion reaction (AHTR)*</w:t>
            </w:r>
          </w:p>
        </w:tc>
        <w:tc>
          <w:tcPr>
            <w:tcW w:w="6966" w:type="dxa"/>
          </w:tcPr>
          <w:p w14:paraId="4AADFDC3" w14:textId="77777777" w:rsidR="00F70628" w:rsidRPr="00F70628" w:rsidRDefault="00F70628" w:rsidP="00F70628">
            <w:pPr>
              <w:pStyle w:val="DHHSbody"/>
              <w:rPr>
                <w:rFonts w:cs="Arial"/>
                <w:sz w:val="22"/>
                <w:szCs w:val="22"/>
              </w:rPr>
            </w:pPr>
            <w:r w:rsidRPr="00F70628">
              <w:rPr>
                <w:rFonts w:cs="Arial"/>
                <w:sz w:val="22"/>
                <w:szCs w:val="22"/>
              </w:rPr>
              <w:t xml:space="preserve">Clinical or laboratory features of haemolysis presenting within 24 hours of transfusion. </w:t>
            </w:r>
          </w:p>
          <w:p w14:paraId="0FECEBCC" w14:textId="77777777" w:rsidR="00F70628" w:rsidRPr="00F70628" w:rsidRDefault="00F70628" w:rsidP="00F70628">
            <w:pPr>
              <w:pStyle w:val="DHHSbody"/>
              <w:rPr>
                <w:rFonts w:cs="Arial"/>
                <w:sz w:val="22"/>
                <w:szCs w:val="22"/>
              </w:rPr>
            </w:pPr>
            <w:r w:rsidRPr="00F70628">
              <w:rPr>
                <w:rFonts w:cs="Arial"/>
                <w:sz w:val="22"/>
                <w:szCs w:val="22"/>
              </w:rPr>
              <w:t xml:space="preserve">Common signs of AHTR are fever, chills/rigors, facial flushing, chest pain, abdominal pain, back/flank pain, nausea/vomiting, diarrhoea, hypertension, pallor, jaundice, oligo/anuria, diffuse bleeding and dark urine. Common laboratory features are </w:t>
            </w:r>
            <w:proofErr w:type="spellStart"/>
            <w:r w:rsidRPr="00F70628">
              <w:rPr>
                <w:rFonts w:cs="Arial"/>
                <w:sz w:val="22"/>
                <w:szCs w:val="22"/>
              </w:rPr>
              <w:t>haemoglobinaemia</w:t>
            </w:r>
            <w:proofErr w:type="spellEnd"/>
            <w:r w:rsidRPr="00F70628">
              <w:rPr>
                <w:rFonts w:cs="Arial"/>
                <w:sz w:val="22"/>
                <w:szCs w:val="22"/>
              </w:rPr>
              <w:t xml:space="preserve">, haemoglobinuria, decreased serum haptoglobin, unconjugated hyperbilirubinemia, increased LDH and AST levels and decreased haemoglobin levels. </w:t>
            </w:r>
          </w:p>
          <w:p w14:paraId="0F1EAF4E" w14:textId="77777777" w:rsidR="00F70628" w:rsidRPr="00F70628" w:rsidRDefault="00F70628" w:rsidP="00F70628">
            <w:pPr>
              <w:pStyle w:val="DHHSbody"/>
              <w:rPr>
                <w:rFonts w:cs="Arial"/>
                <w:sz w:val="22"/>
                <w:szCs w:val="22"/>
              </w:rPr>
            </w:pPr>
            <w:r w:rsidRPr="00F70628">
              <w:rPr>
                <w:rFonts w:cs="Arial"/>
                <w:sz w:val="22"/>
                <w:szCs w:val="22"/>
              </w:rPr>
              <w:t>STIR definition for reporting:</w:t>
            </w:r>
          </w:p>
          <w:p w14:paraId="2737EDAC" w14:textId="77777777" w:rsidR="00F70628" w:rsidRPr="00F70628" w:rsidRDefault="00F70628" w:rsidP="00F70628">
            <w:pPr>
              <w:pStyle w:val="DHHSbody"/>
              <w:rPr>
                <w:rFonts w:cs="Arial"/>
                <w:sz w:val="22"/>
                <w:szCs w:val="22"/>
              </w:rPr>
            </w:pPr>
            <w:r w:rsidRPr="00F70628">
              <w:rPr>
                <w:rFonts w:cs="Arial"/>
                <w:sz w:val="22"/>
                <w:szCs w:val="22"/>
              </w:rPr>
              <w:t xml:space="preserve">Acute HTR is suspected if the patient has fever and other signs/ symptoms of haemolysis (including dyspnoea, hypotension, tachycardia, back pain, dark urine) </w:t>
            </w:r>
            <w:r w:rsidRPr="00F70628">
              <w:rPr>
                <w:rFonts w:cs="Arial"/>
                <w:b/>
                <w:sz w:val="22"/>
                <w:szCs w:val="22"/>
              </w:rPr>
              <w:t>within 24 hours</w:t>
            </w:r>
            <w:r w:rsidRPr="00F70628">
              <w:rPr>
                <w:rFonts w:cs="Arial"/>
                <w:sz w:val="22"/>
                <w:szCs w:val="22"/>
              </w:rPr>
              <w:t xml:space="preserve"> of transfusion confirmed by one or more of the following: </w:t>
            </w:r>
          </w:p>
          <w:p w14:paraId="27A5AB04" w14:textId="77777777" w:rsidR="00F70628" w:rsidRPr="00F70628" w:rsidRDefault="00F70628" w:rsidP="00F70628">
            <w:pPr>
              <w:pStyle w:val="DHHSbody"/>
              <w:numPr>
                <w:ilvl w:val="0"/>
                <w:numId w:val="27"/>
              </w:numPr>
              <w:rPr>
                <w:rFonts w:cs="Arial"/>
                <w:sz w:val="22"/>
                <w:szCs w:val="22"/>
              </w:rPr>
            </w:pPr>
            <w:r w:rsidRPr="00F70628">
              <w:rPr>
                <w:rFonts w:cs="Arial"/>
                <w:sz w:val="22"/>
                <w:szCs w:val="22"/>
              </w:rPr>
              <w:t xml:space="preserve">failure to achieve expected rise of the Hb post-transfusion or a drop in Hb &gt; 20g/L within 24 hours (excluding all causes for ongoing bleeding) </w:t>
            </w:r>
          </w:p>
          <w:p w14:paraId="199E6F87" w14:textId="77777777" w:rsidR="00F70628" w:rsidRPr="00F70628" w:rsidRDefault="00F70628" w:rsidP="00F70628">
            <w:pPr>
              <w:pStyle w:val="DHHSbody"/>
              <w:numPr>
                <w:ilvl w:val="0"/>
                <w:numId w:val="27"/>
              </w:numPr>
              <w:rPr>
                <w:rFonts w:cs="Arial"/>
                <w:sz w:val="22"/>
                <w:szCs w:val="22"/>
              </w:rPr>
            </w:pPr>
            <w:r w:rsidRPr="00F70628">
              <w:rPr>
                <w:rFonts w:cs="Arial"/>
                <w:sz w:val="22"/>
                <w:szCs w:val="22"/>
              </w:rPr>
              <w:lastRenderedPageBreak/>
              <w:t xml:space="preserve">rise in lactate dehydrogenase (LDH) &gt; 50 per cent within 24 hours </w:t>
            </w:r>
          </w:p>
          <w:p w14:paraId="6E2954EC" w14:textId="77777777" w:rsidR="00F70628" w:rsidRPr="00F70628" w:rsidRDefault="00F70628" w:rsidP="00F70628">
            <w:pPr>
              <w:pStyle w:val="DHHSbody"/>
              <w:numPr>
                <w:ilvl w:val="0"/>
                <w:numId w:val="27"/>
              </w:numPr>
              <w:rPr>
                <w:rFonts w:cs="Arial"/>
                <w:sz w:val="22"/>
                <w:szCs w:val="22"/>
              </w:rPr>
            </w:pPr>
            <w:r w:rsidRPr="00F70628">
              <w:rPr>
                <w:rFonts w:cs="Arial"/>
                <w:sz w:val="22"/>
                <w:szCs w:val="22"/>
              </w:rPr>
              <w:t xml:space="preserve">rise in bilirubin, free haemoglobin (plasma or urine) </w:t>
            </w:r>
          </w:p>
          <w:p w14:paraId="42ABDB7E" w14:textId="77777777" w:rsidR="00F70628" w:rsidRPr="00F70628" w:rsidRDefault="00F70628" w:rsidP="00F70628">
            <w:pPr>
              <w:pStyle w:val="DHHSbody"/>
              <w:numPr>
                <w:ilvl w:val="0"/>
                <w:numId w:val="27"/>
              </w:numPr>
              <w:rPr>
                <w:rFonts w:cs="Arial"/>
                <w:sz w:val="22"/>
                <w:szCs w:val="22"/>
              </w:rPr>
            </w:pPr>
            <w:r w:rsidRPr="00F70628">
              <w:rPr>
                <w:rFonts w:cs="Arial"/>
                <w:sz w:val="22"/>
                <w:szCs w:val="22"/>
              </w:rPr>
              <w:t>positive direct antiglobulin test (DAT)</w:t>
            </w:r>
          </w:p>
          <w:p w14:paraId="5610510E" w14:textId="77777777" w:rsidR="00F70628" w:rsidRPr="00F70628" w:rsidRDefault="00F70628" w:rsidP="00F70628">
            <w:pPr>
              <w:pStyle w:val="DHHSbody"/>
              <w:numPr>
                <w:ilvl w:val="0"/>
                <w:numId w:val="27"/>
              </w:numPr>
              <w:rPr>
                <w:rFonts w:cs="Arial"/>
                <w:sz w:val="22"/>
                <w:szCs w:val="22"/>
              </w:rPr>
            </w:pPr>
            <w:r w:rsidRPr="00F70628">
              <w:rPr>
                <w:rFonts w:cs="Arial"/>
                <w:sz w:val="22"/>
                <w:szCs w:val="22"/>
              </w:rPr>
              <w:t xml:space="preserve">incompatible crossmatch </w:t>
            </w:r>
          </w:p>
          <w:p w14:paraId="4B026F96" w14:textId="77777777" w:rsidR="00F70628" w:rsidRPr="00F70628" w:rsidRDefault="00F70628" w:rsidP="00F70628">
            <w:pPr>
              <w:pStyle w:val="DHHSbody"/>
              <w:rPr>
                <w:rFonts w:cs="Arial"/>
                <w:sz w:val="22"/>
                <w:szCs w:val="22"/>
              </w:rPr>
            </w:pPr>
            <w:r w:rsidRPr="00F70628">
              <w:rPr>
                <w:rFonts w:cs="Arial"/>
                <w:sz w:val="22"/>
                <w:szCs w:val="22"/>
              </w:rPr>
              <w:t xml:space="preserve">                                                                             (SHOT, 2019)</w:t>
            </w:r>
          </w:p>
        </w:tc>
      </w:tr>
      <w:tr w:rsidR="00F70628" w:rsidRPr="00F70628" w14:paraId="1C268FD5" w14:textId="77777777" w:rsidTr="00225252">
        <w:tc>
          <w:tcPr>
            <w:tcW w:w="2101" w:type="dxa"/>
          </w:tcPr>
          <w:p w14:paraId="35D34A1B" w14:textId="77777777" w:rsidR="00F70628" w:rsidRPr="00F70628" w:rsidRDefault="00F70628" w:rsidP="00F70628">
            <w:pPr>
              <w:pStyle w:val="DHHSbody"/>
              <w:rPr>
                <w:rFonts w:cs="Arial"/>
                <w:sz w:val="22"/>
                <w:szCs w:val="22"/>
              </w:rPr>
            </w:pPr>
            <w:r w:rsidRPr="00F70628">
              <w:rPr>
                <w:rFonts w:cs="Arial"/>
                <w:sz w:val="22"/>
                <w:szCs w:val="22"/>
              </w:rPr>
              <w:lastRenderedPageBreak/>
              <w:t>Delayed haemolytic transfusion reaction (DHTR)*</w:t>
            </w:r>
          </w:p>
        </w:tc>
        <w:tc>
          <w:tcPr>
            <w:tcW w:w="6966" w:type="dxa"/>
          </w:tcPr>
          <w:p w14:paraId="05CEBD9C" w14:textId="77777777" w:rsidR="00F70628" w:rsidRPr="00F70628" w:rsidRDefault="00F70628" w:rsidP="00F70628">
            <w:pPr>
              <w:pStyle w:val="DHHSbody"/>
              <w:rPr>
                <w:rFonts w:cs="Arial"/>
                <w:sz w:val="22"/>
                <w:szCs w:val="22"/>
              </w:rPr>
            </w:pPr>
            <w:r w:rsidRPr="00F70628">
              <w:rPr>
                <w:rFonts w:cs="Arial"/>
                <w:sz w:val="22"/>
                <w:szCs w:val="22"/>
              </w:rPr>
              <w:t>Clinical or laboratory features of haemolysis that present more than 24 hours to 28 days after a transfusion. Signs and symptoms are similar to AHTR but are usually less severe. DHTR may sometimes manifests as an inadequate rise of post-transfusion haemoglobin level or unexplained fall in haemoglobin after a transfusion. Post transfusion serology usually shows abnormal results.</w:t>
            </w:r>
          </w:p>
          <w:p w14:paraId="674CCE4E" w14:textId="77777777" w:rsidR="00F70628" w:rsidRPr="00F70628" w:rsidRDefault="00F70628" w:rsidP="00F70628">
            <w:pPr>
              <w:pStyle w:val="DHHSbody"/>
              <w:rPr>
                <w:rFonts w:cs="Arial"/>
                <w:sz w:val="22"/>
                <w:szCs w:val="22"/>
              </w:rPr>
            </w:pPr>
            <w:r w:rsidRPr="00F70628">
              <w:rPr>
                <w:rFonts w:cs="Arial"/>
                <w:sz w:val="22"/>
                <w:szCs w:val="22"/>
              </w:rPr>
              <w:t>STIR definition for reporting:</w:t>
            </w:r>
          </w:p>
          <w:p w14:paraId="08936EDD" w14:textId="77777777" w:rsidR="00F70628" w:rsidRPr="00F70628" w:rsidRDefault="00F70628" w:rsidP="00F70628">
            <w:pPr>
              <w:pStyle w:val="DHHSbody"/>
              <w:rPr>
                <w:rFonts w:cs="Arial"/>
                <w:sz w:val="22"/>
                <w:szCs w:val="22"/>
              </w:rPr>
            </w:pPr>
            <w:r w:rsidRPr="00F70628">
              <w:rPr>
                <w:rFonts w:cs="Arial"/>
                <w:sz w:val="22"/>
                <w:szCs w:val="22"/>
              </w:rPr>
              <w:t xml:space="preserve">Delayed haemolytic transfusion reaction occurs, </w:t>
            </w:r>
            <w:r w:rsidRPr="00F70628">
              <w:rPr>
                <w:rFonts w:cs="Arial"/>
                <w:b/>
                <w:sz w:val="22"/>
                <w:szCs w:val="22"/>
              </w:rPr>
              <w:t>more than 24 hours to 3 months</w:t>
            </w:r>
            <w:r w:rsidRPr="00F70628">
              <w:rPr>
                <w:rFonts w:cs="Arial"/>
                <w:sz w:val="22"/>
                <w:szCs w:val="22"/>
              </w:rPr>
              <w:t xml:space="preserve"> after a transfusion. </w:t>
            </w:r>
          </w:p>
          <w:p w14:paraId="1B10D6AD" w14:textId="77777777" w:rsidR="00F70628" w:rsidRPr="00F70628" w:rsidRDefault="00F70628" w:rsidP="00F70628">
            <w:pPr>
              <w:pStyle w:val="DHHSbody"/>
              <w:numPr>
                <w:ilvl w:val="0"/>
                <w:numId w:val="27"/>
              </w:numPr>
              <w:rPr>
                <w:rFonts w:cs="Arial"/>
                <w:sz w:val="22"/>
                <w:szCs w:val="22"/>
              </w:rPr>
            </w:pPr>
            <w:r w:rsidRPr="00F70628">
              <w:rPr>
                <w:rFonts w:cs="Arial"/>
                <w:sz w:val="22"/>
                <w:szCs w:val="22"/>
              </w:rPr>
              <w:t xml:space="preserve">there is demonstration of clinically significant antibodies against red blood cells (as described in the ANZSBT guidelines for Transfusion and </w:t>
            </w:r>
            <w:proofErr w:type="spellStart"/>
            <w:r w:rsidRPr="00F70628">
              <w:rPr>
                <w:rFonts w:cs="Arial"/>
                <w:sz w:val="22"/>
                <w:szCs w:val="22"/>
              </w:rPr>
              <w:t>Immunohaematology</w:t>
            </w:r>
            <w:proofErr w:type="spellEnd"/>
            <w:r w:rsidRPr="00F70628">
              <w:rPr>
                <w:rFonts w:cs="Arial"/>
                <w:sz w:val="22"/>
                <w:szCs w:val="22"/>
              </w:rPr>
              <w:t xml:space="preserve"> Laboratory Practice, 1st Edition, Revised January 2020) which were previously absent and </w:t>
            </w:r>
          </w:p>
          <w:p w14:paraId="70085BC6" w14:textId="77777777" w:rsidR="00F70628" w:rsidRPr="00F70628" w:rsidRDefault="00F70628" w:rsidP="00F70628">
            <w:pPr>
              <w:pStyle w:val="DHHSbody"/>
              <w:numPr>
                <w:ilvl w:val="0"/>
                <w:numId w:val="27"/>
              </w:numPr>
              <w:rPr>
                <w:rFonts w:cs="Arial"/>
                <w:sz w:val="22"/>
                <w:szCs w:val="22"/>
              </w:rPr>
            </w:pPr>
            <w:r w:rsidRPr="00F70628">
              <w:rPr>
                <w:rFonts w:cs="Arial"/>
                <w:sz w:val="22"/>
                <w:szCs w:val="22"/>
              </w:rPr>
              <w:t xml:space="preserve">where there are clinical and laboratory features of haemolysis. </w:t>
            </w:r>
          </w:p>
          <w:p w14:paraId="0BB5AC3A" w14:textId="77777777" w:rsidR="00F70628" w:rsidRPr="00F70628" w:rsidRDefault="00F70628" w:rsidP="00F70628">
            <w:pPr>
              <w:pStyle w:val="DHHSbody"/>
              <w:numPr>
                <w:ilvl w:val="0"/>
                <w:numId w:val="28"/>
              </w:numPr>
              <w:rPr>
                <w:rFonts w:cs="Arial"/>
                <w:sz w:val="22"/>
                <w:szCs w:val="22"/>
              </w:rPr>
            </w:pPr>
            <w:r w:rsidRPr="00F70628">
              <w:rPr>
                <w:rFonts w:cs="Arial"/>
                <w:sz w:val="22"/>
                <w:szCs w:val="22"/>
              </w:rPr>
              <w:t xml:space="preserve">If markers of increased red cell destruction are unavailable or not supportive of a haemolytic process, the event is classified as a delayed serologic transfusion reaction. </w:t>
            </w:r>
          </w:p>
          <w:p w14:paraId="539CD2C2" w14:textId="77777777" w:rsidR="00F70628" w:rsidRPr="00F70628" w:rsidRDefault="00F70628" w:rsidP="00F70628">
            <w:pPr>
              <w:pStyle w:val="DHHSbody"/>
              <w:ind w:left="360"/>
              <w:rPr>
                <w:rFonts w:cs="Arial"/>
                <w:sz w:val="22"/>
                <w:szCs w:val="22"/>
              </w:rPr>
            </w:pPr>
            <w:r w:rsidRPr="00F70628">
              <w:rPr>
                <w:rFonts w:cs="Arial"/>
                <w:sz w:val="22"/>
                <w:szCs w:val="22"/>
              </w:rPr>
              <w:t xml:space="preserve">The reaction may be confirmed by </w:t>
            </w:r>
            <w:r w:rsidRPr="00F70628">
              <w:rPr>
                <w:rFonts w:cs="Arial"/>
                <w:b/>
                <w:sz w:val="22"/>
                <w:szCs w:val="22"/>
              </w:rPr>
              <w:t>one or more</w:t>
            </w:r>
            <w:r w:rsidRPr="00F70628">
              <w:rPr>
                <w:rFonts w:cs="Arial"/>
                <w:sz w:val="22"/>
                <w:szCs w:val="22"/>
              </w:rPr>
              <w:t xml:space="preserve"> of the following:</w:t>
            </w:r>
          </w:p>
          <w:p w14:paraId="424E4454" w14:textId="77777777" w:rsidR="00F70628" w:rsidRPr="00F70628" w:rsidRDefault="00F70628" w:rsidP="00F70628">
            <w:pPr>
              <w:pStyle w:val="DHHSbody"/>
              <w:numPr>
                <w:ilvl w:val="0"/>
                <w:numId w:val="28"/>
              </w:numPr>
              <w:rPr>
                <w:rFonts w:cs="Arial"/>
                <w:sz w:val="22"/>
                <w:szCs w:val="22"/>
              </w:rPr>
            </w:pPr>
            <w:r w:rsidRPr="00F70628">
              <w:rPr>
                <w:rFonts w:cs="Arial"/>
                <w:sz w:val="22"/>
                <w:szCs w:val="22"/>
              </w:rPr>
              <w:t xml:space="preserve">a fall in Hb or failure to increment </w:t>
            </w:r>
          </w:p>
          <w:p w14:paraId="4FA01AEA" w14:textId="77777777" w:rsidR="00F70628" w:rsidRPr="00F70628" w:rsidRDefault="00F70628" w:rsidP="00F70628">
            <w:pPr>
              <w:pStyle w:val="DHHSbody"/>
              <w:numPr>
                <w:ilvl w:val="0"/>
                <w:numId w:val="28"/>
              </w:numPr>
              <w:rPr>
                <w:rFonts w:cs="Arial"/>
                <w:sz w:val="22"/>
                <w:szCs w:val="22"/>
              </w:rPr>
            </w:pPr>
            <w:r w:rsidRPr="00F70628">
              <w:rPr>
                <w:rFonts w:cs="Arial"/>
                <w:sz w:val="22"/>
                <w:szCs w:val="22"/>
              </w:rPr>
              <w:t xml:space="preserve">rise in bilirubin and LDH </w:t>
            </w:r>
          </w:p>
          <w:p w14:paraId="4C355906" w14:textId="77777777" w:rsidR="00F70628" w:rsidRPr="00F70628" w:rsidRDefault="00F70628" w:rsidP="00F70628">
            <w:pPr>
              <w:pStyle w:val="DHHSbody"/>
              <w:numPr>
                <w:ilvl w:val="0"/>
                <w:numId w:val="28"/>
              </w:numPr>
              <w:rPr>
                <w:rFonts w:cs="Arial"/>
                <w:sz w:val="22"/>
                <w:szCs w:val="22"/>
              </w:rPr>
            </w:pPr>
            <w:r w:rsidRPr="00F70628">
              <w:rPr>
                <w:rFonts w:cs="Arial"/>
                <w:sz w:val="22"/>
                <w:szCs w:val="22"/>
              </w:rPr>
              <w:t xml:space="preserve">incompatible cross match not detectable pre-transfusion. </w:t>
            </w:r>
          </w:p>
          <w:p w14:paraId="35A5291A" w14:textId="77777777" w:rsidR="00F70628" w:rsidRPr="00F70628" w:rsidRDefault="00F70628" w:rsidP="00F70628">
            <w:pPr>
              <w:pStyle w:val="DHHSbody"/>
              <w:rPr>
                <w:rFonts w:cs="Arial"/>
                <w:sz w:val="22"/>
                <w:szCs w:val="22"/>
              </w:rPr>
            </w:pPr>
            <w:r w:rsidRPr="00F70628">
              <w:rPr>
                <w:rFonts w:cs="Arial"/>
                <w:sz w:val="22"/>
                <w:szCs w:val="22"/>
              </w:rPr>
              <w:t xml:space="preserve">                   (SHOT, 2019 and Australian Red Cross Lifeblood, 2018)</w:t>
            </w:r>
          </w:p>
        </w:tc>
      </w:tr>
      <w:tr w:rsidR="00F70628" w:rsidRPr="00F70628" w14:paraId="36459F87" w14:textId="77777777" w:rsidTr="00225252">
        <w:tc>
          <w:tcPr>
            <w:tcW w:w="2101" w:type="dxa"/>
          </w:tcPr>
          <w:p w14:paraId="0E689980" w14:textId="20A0086C" w:rsidR="00F70628" w:rsidRPr="00F70628" w:rsidRDefault="00F70628" w:rsidP="00F70628">
            <w:pPr>
              <w:pStyle w:val="DHHSbody"/>
              <w:rPr>
                <w:rFonts w:cs="Arial"/>
                <w:sz w:val="22"/>
                <w:szCs w:val="22"/>
              </w:rPr>
            </w:pPr>
            <w:r w:rsidRPr="00F70628">
              <w:rPr>
                <w:rFonts w:cs="Arial"/>
                <w:sz w:val="22"/>
                <w:szCs w:val="22"/>
              </w:rPr>
              <w:t>Delayed serologic transfusion reaction (D</w:t>
            </w:r>
            <w:r w:rsidR="00D04C9F">
              <w:rPr>
                <w:rFonts w:cs="Arial"/>
                <w:sz w:val="22"/>
                <w:szCs w:val="22"/>
              </w:rPr>
              <w:t>S</w:t>
            </w:r>
            <w:r w:rsidRPr="00F70628">
              <w:rPr>
                <w:rFonts w:cs="Arial"/>
                <w:sz w:val="22"/>
                <w:szCs w:val="22"/>
              </w:rPr>
              <w:t>TR)*</w:t>
            </w:r>
          </w:p>
        </w:tc>
        <w:tc>
          <w:tcPr>
            <w:tcW w:w="6966" w:type="dxa"/>
          </w:tcPr>
          <w:p w14:paraId="5DD5830A" w14:textId="77777777" w:rsidR="00F70628" w:rsidRPr="00F70628" w:rsidRDefault="00F70628" w:rsidP="00F70628">
            <w:pPr>
              <w:pStyle w:val="DHHSbody"/>
              <w:rPr>
                <w:rFonts w:cs="Arial"/>
                <w:sz w:val="22"/>
                <w:szCs w:val="22"/>
              </w:rPr>
            </w:pPr>
            <w:r w:rsidRPr="00F70628">
              <w:rPr>
                <w:rFonts w:cs="Arial"/>
                <w:sz w:val="22"/>
                <w:szCs w:val="22"/>
              </w:rPr>
              <w:t>When after a transfusion, there is demonstration of clinically significant antibodies against red blood cells which were previously absent (as far as is known) and when there are no clinical or laboratory features of haemolysis. This term is synonymous with alloimmunisation.</w:t>
            </w:r>
          </w:p>
          <w:p w14:paraId="6310F1AB" w14:textId="77777777" w:rsidR="00F70628" w:rsidRPr="00F70628" w:rsidRDefault="00F70628" w:rsidP="00F70628">
            <w:pPr>
              <w:pStyle w:val="DHHSbody"/>
              <w:rPr>
                <w:rFonts w:cs="Arial"/>
                <w:sz w:val="22"/>
                <w:szCs w:val="22"/>
              </w:rPr>
            </w:pPr>
            <w:r w:rsidRPr="00F70628">
              <w:rPr>
                <w:rFonts w:cs="Arial"/>
                <w:sz w:val="22"/>
                <w:szCs w:val="22"/>
              </w:rPr>
              <w:t>STIR definition for reporting:</w:t>
            </w:r>
          </w:p>
          <w:p w14:paraId="1C142190" w14:textId="77777777" w:rsidR="00F70628" w:rsidRPr="00F70628" w:rsidRDefault="00F70628" w:rsidP="00F70628">
            <w:pPr>
              <w:pStyle w:val="DHHSbody"/>
              <w:rPr>
                <w:rFonts w:cs="Arial"/>
                <w:sz w:val="22"/>
                <w:szCs w:val="22"/>
              </w:rPr>
            </w:pPr>
            <w:r w:rsidRPr="00F70628">
              <w:rPr>
                <w:rFonts w:cs="Arial"/>
                <w:sz w:val="22"/>
                <w:szCs w:val="22"/>
              </w:rPr>
              <w:t xml:space="preserve">Delayed serologic transfusion reaction occurs, within </w:t>
            </w:r>
            <w:r w:rsidRPr="00F70628">
              <w:rPr>
                <w:rFonts w:cs="Arial"/>
                <w:b/>
                <w:sz w:val="22"/>
                <w:szCs w:val="22"/>
              </w:rPr>
              <w:t>24 hours to 3 months</w:t>
            </w:r>
            <w:r w:rsidRPr="00F70628">
              <w:rPr>
                <w:rFonts w:cs="Arial"/>
                <w:sz w:val="22"/>
                <w:szCs w:val="22"/>
              </w:rPr>
              <w:t xml:space="preserve">, after a transfusion. </w:t>
            </w:r>
          </w:p>
          <w:p w14:paraId="4B584F21" w14:textId="77777777" w:rsidR="00F70628" w:rsidRPr="00F70628" w:rsidRDefault="00F70628" w:rsidP="00F70628">
            <w:pPr>
              <w:pStyle w:val="DHHSbody"/>
              <w:numPr>
                <w:ilvl w:val="0"/>
                <w:numId w:val="28"/>
              </w:numPr>
              <w:rPr>
                <w:rFonts w:cs="Arial"/>
                <w:sz w:val="22"/>
                <w:szCs w:val="22"/>
              </w:rPr>
            </w:pPr>
            <w:r w:rsidRPr="00F70628">
              <w:rPr>
                <w:rFonts w:cs="Arial"/>
                <w:sz w:val="22"/>
                <w:szCs w:val="22"/>
              </w:rPr>
              <w:t xml:space="preserve">there is demonstration of clinically significant antibodies against red blood cells (as described in the ANZSBT guidelines for Transfusion and </w:t>
            </w:r>
            <w:proofErr w:type="spellStart"/>
            <w:r w:rsidRPr="00F70628">
              <w:rPr>
                <w:rFonts w:cs="Arial"/>
                <w:sz w:val="22"/>
                <w:szCs w:val="22"/>
              </w:rPr>
              <w:t>Immunohaematology</w:t>
            </w:r>
            <w:proofErr w:type="spellEnd"/>
            <w:r w:rsidRPr="00F70628">
              <w:rPr>
                <w:rFonts w:cs="Arial"/>
                <w:sz w:val="22"/>
                <w:szCs w:val="22"/>
              </w:rPr>
              <w:t xml:space="preserve"> Page 16 </w:t>
            </w:r>
            <w:r w:rsidRPr="00F70628">
              <w:rPr>
                <w:rFonts w:cs="Arial"/>
                <w:sz w:val="22"/>
                <w:szCs w:val="22"/>
              </w:rPr>
              <w:lastRenderedPageBreak/>
              <w:t xml:space="preserve">STIR reporting guide 2020 Laboratory Practice, 1st Edition, Revised January 2020) which were previously absent and </w:t>
            </w:r>
          </w:p>
          <w:p w14:paraId="15E07936" w14:textId="77777777" w:rsidR="00F70628" w:rsidRPr="00F70628" w:rsidRDefault="00F70628" w:rsidP="00F70628">
            <w:pPr>
              <w:pStyle w:val="DHHSbody"/>
              <w:numPr>
                <w:ilvl w:val="0"/>
                <w:numId w:val="28"/>
              </w:numPr>
              <w:rPr>
                <w:rFonts w:cs="Arial"/>
                <w:sz w:val="22"/>
                <w:szCs w:val="22"/>
              </w:rPr>
            </w:pPr>
            <w:r w:rsidRPr="00F70628">
              <w:rPr>
                <w:rFonts w:cs="Arial"/>
                <w:sz w:val="22"/>
                <w:szCs w:val="22"/>
              </w:rPr>
              <w:t xml:space="preserve">where there are no clinical or laboratory features of haemolysis. This term is synonymous with alloimmunisation. </w:t>
            </w:r>
          </w:p>
          <w:p w14:paraId="5F96C663" w14:textId="77777777" w:rsidR="00F70628" w:rsidRPr="00F70628" w:rsidRDefault="00F70628" w:rsidP="00F70628">
            <w:pPr>
              <w:pStyle w:val="DHHSbody"/>
              <w:rPr>
                <w:rFonts w:cs="Arial"/>
                <w:sz w:val="22"/>
                <w:szCs w:val="22"/>
              </w:rPr>
            </w:pPr>
            <w:r w:rsidRPr="00F70628">
              <w:rPr>
                <w:rFonts w:cs="Arial"/>
                <w:sz w:val="22"/>
                <w:szCs w:val="22"/>
              </w:rPr>
              <w:t xml:space="preserve">               (NBA: Australian </w:t>
            </w:r>
            <w:proofErr w:type="spellStart"/>
            <w:r w:rsidRPr="00F70628">
              <w:rPr>
                <w:rFonts w:cs="Arial"/>
                <w:sz w:val="22"/>
                <w:szCs w:val="22"/>
              </w:rPr>
              <w:t>Haemovigilance</w:t>
            </w:r>
            <w:proofErr w:type="spellEnd"/>
            <w:r w:rsidRPr="00F70628">
              <w:rPr>
                <w:rFonts w:cs="Arial"/>
                <w:sz w:val="22"/>
                <w:szCs w:val="22"/>
              </w:rPr>
              <w:t xml:space="preserve"> Minimum Data Set, 2015)</w:t>
            </w:r>
          </w:p>
        </w:tc>
      </w:tr>
    </w:tbl>
    <w:p w14:paraId="2805D689" w14:textId="77777777" w:rsidR="00F70628" w:rsidRPr="00F70628" w:rsidRDefault="00F70628" w:rsidP="00F70628">
      <w:pPr>
        <w:pStyle w:val="DHHSbody"/>
        <w:rPr>
          <w:rFonts w:cs="Arial"/>
          <w:sz w:val="22"/>
          <w:szCs w:val="22"/>
        </w:rPr>
      </w:pPr>
      <w:r w:rsidRPr="00F70628">
        <w:rPr>
          <w:rFonts w:cs="Arial"/>
          <w:sz w:val="22"/>
          <w:szCs w:val="22"/>
        </w:rPr>
        <w:lastRenderedPageBreak/>
        <w:t xml:space="preserve">*NBA, 2015 Australian </w:t>
      </w:r>
      <w:proofErr w:type="spellStart"/>
      <w:r w:rsidRPr="00F70628">
        <w:rPr>
          <w:rFonts w:cs="Arial"/>
          <w:sz w:val="22"/>
          <w:szCs w:val="22"/>
        </w:rPr>
        <w:t>haemovigilance</w:t>
      </w:r>
      <w:proofErr w:type="spellEnd"/>
      <w:r w:rsidRPr="00F70628">
        <w:rPr>
          <w:rFonts w:cs="Arial"/>
          <w:sz w:val="22"/>
          <w:szCs w:val="22"/>
        </w:rPr>
        <w:t xml:space="preserve"> minimum data set</w:t>
      </w:r>
    </w:p>
    <w:p w14:paraId="03040D1B" w14:textId="77777777" w:rsidR="00F70628" w:rsidRPr="00F70628" w:rsidRDefault="00F70628" w:rsidP="00F70628">
      <w:pPr>
        <w:pStyle w:val="DHHSbody"/>
        <w:rPr>
          <w:rFonts w:cs="Arial"/>
          <w:sz w:val="22"/>
          <w:szCs w:val="22"/>
        </w:rPr>
      </w:pPr>
    </w:p>
    <w:p w14:paraId="4D777549" w14:textId="77777777" w:rsidR="00F70628" w:rsidRPr="00F70628" w:rsidRDefault="00F70628" w:rsidP="00F70628">
      <w:pPr>
        <w:pStyle w:val="DHHSbody"/>
        <w:rPr>
          <w:rFonts w:cs="Arial"/>
          <w:sz w:val="22"/>
          <w:szCs w:val="22"/>
        </w:rPr>
      </w:pPr>
      <w:r w:rsidRPr="00F70628">
        <w:rPr>
          <w:rFonts w:cs="Arial"/>
          <w:sz w:val="22"/>
          <w:szCs w:val="22"/>
        </w:rPr>
        <w:t>References:</w:t>
      </w:r>
    </w:p>
    <w:p w14:paraId="7ADB5F5D" w14:textId="77777777" w:rsidR="00F70628" w:rsidRPr="00F70628" w:rsidRDefault="00F70628" w:rsidP="00F70628">
      <w:pPr>
        <w:pStyle w:val="DHHSbody"/>
        <w:rPr>
          <w:rFonts w:cs="Arial"/>
          <w:sz w:val="22"/>
          <w:szCs w:val="22"/>
        </w:rPr>
      </w:pPr>
      <w:r w:rsidRPr="00F70628">
        <w:rPr>
          <w:rFonts w:cs="Arial"/>
          <w:sz w:val="22"/>
          <w:szCs w:val="22"/>
        </w:rPr>
        <w:t xml:space="preserve">ANZSBT </w:t>
      </w:r>
      <w:hyperlink r:id="rId9" w:tgtFrame="_blank" w:history="1">
        <w:r w:rsidRPr="00F70628">
          <w:rPr>
            <w:rStyle w:val="Hyperlink"/>
            <w:rFonts w:cs="Arial"/>
            <w:bCs/>
            <w:sz w:val="22"/>
            <w:szCs w:val="22"/>
          </w:rPr>
          <w:t>Guidelines for Transfusion and Immunohaematology Laboratory Practice</w:t>
        </w:r>
      </w:hyperlink>
      <w:r w:rsidRPr="00F70628">
        <w:rPr>
          <w:rFonts w:cs="Arial"/>
          <w:sz w:val="22"/>
          <w:szCs w:val="22"/>
        </w:rPr>
        <w:t xml:space="preserve">, revised 1st edition - January 2020 </w:t>
      </w:r>
      <w:hyperlink r:id="rId10" w:history="1">
        <w:r w:rsidRPr="00F70628">
          <w:rPr>
            <w:rStyle w:val="Hyperlink"/>
            <w:rFonts w:cs="Arial"/>
            <w:sz w:val="22"/>
            <w:szCs w:val="22"/>
          </w:rPr>
          <w:t>https://anzsbt.org.au/wp-content/uploads/2020/03/Guideline_-for_Transfusion_and_Immunohaematology_Laboratory_Practice_20200326_FINAL_Published_SecurePW-1.pdf</w:t>
        </w:r>
      </w:hyperlink>
      <w:r w:rsidRPr="00F70628">
        <w:rPr>
          <w:rFonts w:cs="Arial"/>
          <w:sz w:val="22"/>
          <w:szCs w:val="22"/>
        </w:rPr>
        <w:t xml:space="preserve"> </w:t>
      </w:r>
    </w:p>
    <w:p w14:paraId="4CE66E91" w14:textId="1AEA0B38" w:rsidR="00F70628" w:rsidRDefault="00F70628" w:rsidP="00F70628">
      <w:pPr>
        <w:pStyle w:val="DHHSbody"/>
        <w:rPr>
          <w:rFonts w:cs="Arial"/>
          <w:sz w:val="22"/>
          <w:szCs w:val="22"/>
        </w:rPr>
      </w:pPr>
      <w:r w:rsidRPr="00F70628">
        <w:rPr>
          <w:rFonts w:cs="Arial"/>
          <w:sz w:val="22"/>
          <w:szCs w:val="22"/>
        </w:rPr>
        <w:t xml:space="preserve">Blood Matters Serious Transfusion Incident Reporting Guide 2020 </w:t>
      </w:r>
      <w:hyperlink r:id="rId11" w:history="1">
        <w:r w:rsidRPr="00F70628">
          <w:rPr>
            <w:rStyle w:val="Hyperlink"/>
            <w:rFonts w:cs="Arial"/>
            <w:sz w:val="22"/>
            <w:szCs w:val="22"/>
          </w:rPr>
          <w:t>https://www2.health.vic.gov.au/hospitals-and-health-services/patient-care/speciality-diagnostics-therapeutics/blood-matters/serious-transfusion-incidents</w:t>
        </w:r>
      </w:hyperlink>
      <w:r w:rsidRPr="00F70628">
        <w:rPr>
          <w:rFonts w:cs="Arial"/>
          <w:sz w:val="22"/>
          <w:szCs w:val="22"/>
        </w:rPr>
        <w:t xml:space="preserve"> </w:t>
      </w:r>
    </w:p>
    <w:p w14:paraId="1FBD1D31" w14:textId="285E63D1" w:rsidR="00211E03" w:rsidRPr="00385882" w:rsidRDefault="00211E03" w:rsidP="00F70628">
      <w:pPr>
        <w:pStyle w:val="DHHSbody"/>
        <w:rPr>
          <w:rFonts w:cs="Arial"/>
          <w:sz w:val="22"/>
          <w:szCs w:val="22"/>
        </w:rPr>
      </w:pPr>
      <w:proofErr w:type="spellStart"/>
      <w:r>
        <w:rPr>
          <w:rFonts w:cs="Arial"/>
          <w:sz w:val="22"/>
          <w:szCs w:val="22"/>
        </w:rPr>
        <w:t>Fiorellino</w:t>
      </w:r>
      <w:proofErr w:type="spellEnd"/>
      <w:r>
        <w:rPr>
          <w:rFonts w:cs="Arial"/>
          <w:sz w:val="22"/>
          <w:szCs w:val="22"/>
        </w:rPr>
        <w:t xml:space="preserve">, J, </w:t>
      </w:r>
      <w:proofErr w:type="spellStart"/>
      <w:r>
        <w:rPr>
          <w:rFonts w:cs="Arial"/>
          <w:sz w:val="22"/>
          <w:szCs w:val="22"/>
        </w:rPr>
        <w:t>Elahie</w:t>
      </w:r>
      <w:proofErr w:type="spellEnd"/>
      <w:r>
        <w:rPr>
          <w:rFonts w:cs="Arial"/>
          <w:sz w:val="22"/>
          <w:szCs w:val="22"/>
        </w:rPr>
        <w:t>, A</w:t>
      </w:r>
      <w:r w:rsidR="00035982">
        <w:rPr>
          <w:rFonts w:cs="Arial"/>
          <w:sz w:val="22"/>
          <w:szCs w:val="22"/>
        </w:rPr>
        <w:t>L</w:t>
      </w:r>
      <w:r>
        <w:rPr>
          <w:rFonts w:cs="Arial"/>
          <w:sz w:val="22"/>
          <w:szCs w:val="22"/>
        </w:rPr>
        <w:t xml:space="preserve"> &amp; Wark</w:t>
      </w:r>
      <w:r w:rsidR="00035982">
        <w:rPr>
          <w:rFonts w:cs="Arial"/>
          <w:sz w:val="22"/>
          <w:szCs w:val="22"/>
        </w:rPr>
        <w:t xml:space="preserve">entin, TE, Acute haemolysis, DIC and real failure after transfusion of uncross-matched blood during trauma resuscitation: illustrative case and literature review. 2018 </w:t>
      </w:r>
      <w:r w:rsidR="00035982" w:rsidRPr="00035982">
        <w:rPr>
          <w:rFonts w:cs="Arial"/>
          <w:i/>
          <w:sz w:val="22"/>
          <w:szCs w:val="22"/>
        </w:rPr>
        <w:t>Transfusion Medicine</w:t>
      </w:r>
      <w:r w:rsidR="00385882">
        <w:rPr>
          <w:rFonts w:cs="Arial"/>
          <w:i/>
          <w:sz w:val="22"/>
          <w:szCs w:val="22"/>
        </w:rPr>
        <w:t xml:space="preserve">, </w:t>
      </w:r>
      <w:r w:rsidR="00385882" w:rsidRPr="00385882">
        <w:rPr>
          <w:rFonts w:cs="Arial"/>
          <w:sz w:val="22"/>
          <w:szCs w:val="22"/>
        </w:rPr>
        <w:t>Aug;28(4):319-325</w:t>
      </w:r>
      <w:r w:rsidR="00385882">
        <w:rPr>
          <w:rFonts w:cs="Arial"/>
          <w:sz w:val="22"/>
          <w:szCs w:val="22"/>
        </w:rPr>
        <w:t>.</w:t>
      </w:r>
    </w:p>
    <w:p w14:paraId="3F2C8D36" w14:textId="77777777" w:rsidR="00F70628" w:rsidRPr="00F70628" w:rsidRDefault="00F70628" w:rsidP="00F70628">
      <w:pPr>
        <w:pStyle w:val="DHHSbody"/>
        <w:rPr>
          <w:rFonts w:cs="Arial"/>
          <w:sz w:val="22"/>
          <w:szCs w:val="22"/>
        </w:rPr>
      </w:pPr>
      <w:r w:rsidRPr="00F70628">
        <w:rPr>
          <w:rFonts w:cs="Arial"/>
          <w:sz w:val="22"/>
          <w:szCs w:val="22"/>
        </w:rPr>
        <w:t xml:space="preserve">NBA, 2015 Australian </w:t>
      </w:r>
      <w:proofErr w:type="spellStart"/>
      <w:r w:rsidRPr="00F70628">
        <w:rPr>
          <w:rFonts w:cs="Arial"/>
          <w:sz w:val="22"/>
          <w:szCs w:val="22"/>
        </w:rPr>
        <w:t>haemovigilance</w:t>
      </w:r>
      <w:proofErr w:type="spellEnd"/>
      <w:r w:rsidRPr="00F70628">
        <w:rPr>
          <w:rFonts w:cs="Arial"/>
          <w:sz w:val="22"/>
          <w:szCs w:val="22"/>
        </w:rPr>
        <w:t xml:space="preserve"> minimum data set </w:t>
      </w:r>
      <w:hyperlink r:id="rId12" w:history="1">
        <w:r w:rsidRPr="00F70628">
          <w:rPr>
            <w:rStyle w:val="Hyperlink"/>
            <w:rFonts w:cs="Arial"/>
            <w:sz w:val="22"/>
            <w:szCs w:val="22"/>
          </w:rPr>
          <w:t>https://www.blood.gov.au/system/files/aust-haemovigilance-min-data-set.pdf</w:t>
        </w:r>
      </w:hyperlink>
      <w:r w:rsidRPr="00F70628">
        <w:rPr>
          <w:rFonts w:cs="Arial"/>
          <w:sz w:val="22"/>
          <w:szCs w:val="22"/>
        </w:rPr>
        <w:t xml:space="preserve"> </w:t>
      </w:r>
    </w:p>
    <w:p w14:paraId="2B3236F9" w14:textId="77777777" w:rsidR="00F70628" w:rsidRPr="00F70628" w:rsidRDefault="00F70628" w:rsidP="00F70628">
      <w:pPr>
        <w:pStyle w:val="DHHSbody"/>
        <w:rPr>
          <w:rFonts w:cs="Arial"/>
          <w:sz w:val="22"/>
          <w:szCs w:val="22"/>
        </w:rPr>
      </w:pPr>
    </w:p>
    <w:p w14:paraId="4073A694" w14:textId="77777777" w:rsidR="00F70628" w:rsidRPr="00F70628" w:rsidRDefault="00F70628" w:rsidP="00F70628">
      <w:pPr>
        <w:pStyle w:val="DHHSbody"/>
        <w:rPr>
          <w:rFonts w:cs="Arial"/>
          <w:sz w:val="22"/>
          <w:szCs w:val="22"/>
        </w:rPr>
      </w:pPr>
      <w:r w:rsidRPr="00F70628">
        <w:rPr>
          <w:rFonts w:cs="Arial"/>
          <w:sz w:val="22"/>
          <w:szCs w:val="22"/>
        </w:rPr>
        <w:t>Authorised and published by the Victorian Government, 1 Treasury Place, Melbourne.</w:t>
      </w:r>
    </w:p>
    <w:p w14:paraId="2FCA577B" w14:textId="77777777" w:rsidR="00F70628" w:rsidRPr="00F70628" w:rsidRDefault="00F70628" w:rsidP="00F70628">
      <w:pPr>
        <w:pStyle w:val="DHHSbody"/>
        <w:rPr>
          <w:rFonts w:cs="Arial"/>
          <w:sz w:val="22"/>
          <w:szCs w:val="22"/>
        </w:rPr>
      </w:pPr>
      <w:r w:rsidRPr="00F70628">
        <w:rPr>
          <w:rFonts w:cs="Arial"/>
          <w:sz w:val="22"/>
          <w:szCs w:val="22"/>
        </w:rPr>
        <w:t>© State of Victoria, Australia, Department of Health and Human Services May 2020.</w:t>
      </w:r>
    </w:p>
    <w:p w14:paraId="008AC9C0" w14:textId="77777777" w:rsidR="00F70628" w:rsidRPr="00F70628" w:rsidRDefault="00F70628" w:rsidP="00F70628">
      <w:pPr>
        <w:pStyle w:val="DHHSbody"/>
        <w:rPr>
          <w:rFonts w:cs="Arial"/>
          <w:sz w:val="22"/>
          <w:szCs w:val="22"/>
        </w:rPr>
      </w:pPr>
      <w:r w:rsidRPr="00F70628">
        <w:rPr>
          <w:rFonts w:cs="Arial"/>
          <w:sz w:val="22"/>
          <w:szCs w:val="22"/>
        </w:rPr>
        <w:t xml:space="preserve">To receive this publication in an accessible format phone 03 9694 0102, using the National Relay Service 13 36 77 if required, or email Blood Matters </w:t>
      </w:r>
      <w:hyperlink r:id="rId13" w:history="1">
        <w:r w:rsidRPr="00F70628">
          <w:rPr>
            <w:rStyle w:val="Hyperlink"/>
            <w:rFonts w:cs="Arial"/>
            <w:sz w:val="22"/>
            <w:szCs w:val="22"/>
          </w:rPr>
          <w:t>bloodmatters@redcrossblood.org.au</w:t>
        </w:r>
      </w:hyperlink>
    </w:p>
    <w:p w14:paraId="676A89D6" w14:textId="77777777" w:rsidR="00F70628" w:rsidRPr="00F70628" w:rsidRDefault="00F70628" w:rsidP="00F70628">
      <w:pPr>
        <w:pStyle w:val="DHHSbody"/>
        <w:rPr>
          <w:rFonts w:cs="Arial"/>
          <w:sz w:val="22"/>
          <w:szCs w:val="22"/>
        </w:rPr>
      </w:pPr>
    </w:p>
    <w:p w14:paraId="65FB9981" w14:textId="3FDF0165" w:rsidR="00850F10" w:rsidRPr="00850F10" w:rsidRDefault="00F70628" w:rsidP="00850F10">
      <w:pPr>
        <w:pStyle w:val="DHHSbody"/>
        <w:rPr>
          <w:rFonts w:cs="Arial"/>
          <w:sz w:val="22"/>
          <w:szCs w:val="22"/>
        </w:rPr>
      </w:pPr>
      <w:r w:rsidRPr="00F70628">
        <w:rPr>
          <w:rFonts w:cs="Arial"/>
          <w:b/>
          <w:bCs/>
          <w:sz w:val="22"/>
          <w:szCs w:val="22"/>
        </w:rPr>
        <w:t xml:space="preserve">ISSN </w:t>
      </w:r>
      <w:r w:rsidRPr="00F70628">
        <w:rPr>
          <w:rFonts w:cs="Arial"/>
          <w:sz w:val="22"/>
          <w:szCs w:val="22"/>
        </w:rPr>
        <w:t>2652-6212</w:t>
      </w:r>
      <w:r w:rsidRPr="00F70628">
        <w:rPr>
          <w:rFonts w:cs="Arial"/>
          <w:b/>
          <w:bCs/>
          <w:sz w:val="22"/>
          <w:szCs w:val="22"/>
        </w:rPr>
        <w:t xml:space="preserve"> - Online (pdf / word).</w:t>
      </w:r>
    </w:p>
    <w:p w14:paraId="003CDCBC" w14:textId="77777777" w:rsidR="00B2752E" w:rsidRPr="00850F10" w:rsidRDefault="00B2752E" w:rsidP="00850F10">
      <w:pPr>
        <w:pStyle w:val="DHHSbody"/>
        <w:rPr>
          <w:rFonts w:cs="Arial"/>
          <w:sz w:val="22"/>
          <w:szCs w:val="22"/>
        </w:rPr>
      </w:pPr>
    </w:p>
    <w:sectPr w:rsidR="00B2752E" w:rsidRPr="00850F10" w:rsidSect="00FD67C0">
      <w:headerReference w:type="default" r:id="rId14"/>
      <w:footerReference w:type="default" r:id="rId15"/>
      <w:type w:val="continuous"/>
      <w:pgSz w:w="11906" w:h="16838" w:code="9"/>
      <w:pgMar w:top="1418" w:right="851" w:bottom="1701"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1AB51" w14:textId="77777777" w:rsidR="00AE343B" w:rsidRDefault="00AE343B">
      <w:r>
        <w:separator/>
      </w:r>
    </w:p>
  </w:endnote>
  <w:endnote w:type="continuationSeparator" w:id="0">
    <w:p w14:paraId="41596035" w14:textId="77777777" w:rsidR="00AE343B" w:rsidRDefault="00AE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6EBA" w14:textId="77777777" w:rsidR="009D70A4" w:rsidRPr="00F65AA9" w:rsidRDefault="00291613" w:rsidP="0051568D">
    <w:pPr>
      <w:pStyle w:val="DHHSfooter"/>
    </w:pPr>
    <w:r>
      <w:rPr>
        <w:noProof/>
        <w:lang w:eastAsia="en-AU"/>
      </w:rPr>
      <w:drawing>
        <wp:inline distT="0" distB="0" distL="0" distR="0" wp14:anchorId="23DE8BC5" wp14:editId="2BA4D664">
          <wp:extent cx="6407150" cy="899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1775" cy="911193"/>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7E7A" w14:textId="77777777" w:rsidR="009D70A4" w:rsidRPr="00A11421" w:rsidRDefault="00FD67C0" w:rsidP="0051568D">
    <w:pPr>
      <w:pStyle w:val="DHHSfooter"/>
    </w:pPr>
    <w:r>
      <w:rPr>
        <w:noProof/>
        <w:lang w:eastAsia="en-AU"/>
      </w:rPr>
      <w:drawing>
        <wp:anchor distT="0" distB="0" distL="114300" distR="114300" simplePos="0" relativeHeight="251663360" behindDoc="1" locked="1" layoutInCell="1" allowOverlap="1" wp14:anchorId="6DC17B4A" wp14:editId="32A3B23B">
          <wp:simplePos x="0" y="0"/>
          <wp:positionH relativeFrom="page">
            <wp:posOffset>0</wp:posOffset>
          </wp:positionH>
          <wp:positionV relativeFrom="page">
            <wp:posOffset>9650095</wp:posOffset>
          </wp:positionV>
          <wp:extent cx="7560000" cy="1036800"/>
          <wp:effectExtent l="0" t="0" r="317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rmation sheet Blood Matters footerbranding.png"/>
                  <pic:cNvPicPr/>
                </pic:nvPicPr>
                <pic:blipFill rotWithShape="1">
                  <a:blip r:embed="rId1"/>
                  <a:srcRect t="90286"/>
                  <a:stretch/>
                </pic:blipFill>
                <pic:spPr bwMode="auto">
                  <a:xfrm>
                    <a:off x="0" y="0"/>
                    <a:ext cx="75600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9AF88" w14:textId="77777777" w:rsidR="00AE343B" w:rsidRDefault="00AE343B" w:rsidP="002862F1">
      <w:pPr>
        <w:spacing w:before="120"/>
      </w:pPr>
      <w:r>
        <w:separator/>
      </w:r>
    </w:p>
  </w:footnote>
  <w:footnote w:type="continuationSeparator" w:id="0">
    <w:p w14:paraId="23087BE2" w14:textId="77777777" w:rsidR="00AE343B" w:rsidRDefault="00AE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4103" w14:textId="77777777" w:rsidR="001A46EA" w:rsidRDefault="001A46EA">
    <w:pPr>
      <w:pStyle w:val="Header"/>
    </w:pPr>
    <w:r>
      <w:rPr>
        <w:noProof/>
        <w:lang w:eastAsia="en-AU"/>
      </w:rPr>
      <w:drawing>
        <wp:anchor distT="0" distB="0" distL="114300" distR="114300" simplePos="0" relativeHeight="251661312" behindDoc="1" locked="1" layoutInCell="1" allowOverlap="1" wp14:anchorId="12A11C69" wp14:editId="49CBA0A4">
          <wp:simplePos x="0" y="0"/>
          <wp:positionH relativeFrom="page">
            <wp:posOffset>0</wp:posOffset>
          </wp:positionH>
          <wp:positionV relativeFrom="page">
            <wp:posOffset>0</wp:posOffset>
          </wp:positionV>
          <wp:extent cx="7559040" cy="3165475"/>
          <wp:effectExtent l="0" t="0" r="381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rmation sheet Blood Matters footerbranding.png"/>
                  <pic:cNvPicPr/>
                </pic:nvPicPr>
                <pic:blipFill rotWithShape="1">
                  <a:blip r:embed="rId1"/>
                  <a:srcRect b="70389"/>
                  <a:stretch/>
                </pic:blipFill>
                <pic:spPr bwMode="auto">
                  <a:xfrm>
                    <a:off x="0" y="0"/>
                    <a:ext cx="7559040" cy="31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C397"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587468"/>
    <w:multiLevelType w:val="hybridMultilevel"/>
    <w:tmpl w:val="377E4F46"/>
    <w:lvl w:ilvl="0" w:tplc="B75833B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BFD6F758"/>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196498D"/>
    <w:multiLevelType w:val="hybridMultilevel"/>
    <w:tmpl w:val="C5FE1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B908A6"/>
    <w:multiLevelType w:val="hybridMultilevel"/>
    <w:tmpl w:val="FEFE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96CDA"/>
    <w:multiLevelType w:val="multilevel"/>
    <w:tmpl w:val="A22CD8F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6C68D4"/>
    <w:multiLevelType w:val="multilevel"/>
    <w:tmpl w:val="BFD6F75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51B61B3"/>
    <w:multiLevelType w:val="hybridMultilevel"/>
    <w:tmpl w:val="617E87C8"/>
    <w:lvl w:ilvl="0" w:tplc="B75833B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9820D3F"/>
    <w:multiLevelType w:val="hybridMultilevel"/>
    <w:tmpl w:val="E632B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A345E8C"/>
    <w:multiLevelType w:val="hybridMultilevel"/>
    <w:tmpl w:val="B3545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16"/>
  </w:num>
  <w:num w:numId="26">
    <w:abstractNumId w:val="5"/>
  </w:num>
  <w:num w:numId="27">
    <w:abstractNumId w:val="10"/>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F0"/>
    <w:rsid w:val="000072B6"/>
    <w:rsid w:val="0001021B"/>
    <w:rsid w:val="00011D89"/>
    <w:rsid w:val="000154FD"/>
    <w:rsid w:val="00024D89"/>
    <w:rsid w:val="000250B6"/>
    <w:rsid w:val="00033D81"/>
    <w:rsid w:val="00035982"/>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357DC"/>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A46EA"/>
    <w:rsid w:val="001B716B"/>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9CD"/>
    <w:rsid w:val="00210A92"/>
    <w:rsid w:val="00211E03"/>
    <w:rsid w:val="00216C03"/>
    <w:rsid w:val="00220C04"/>
    <w:rsid w:val="00222495"/>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161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7B4E"/>
    <w:rsid w:val="003677A4"/>
    <w:rsid w:val="003716FD"/>
    <w:rsid w:val="0037204B"/>
    <w:rsid w:val="003744CF"/>
    <w:rsid w:val="00374717"/>
    <w:rsid w:val="0037676C"/>
    <w:rsid w:val="00381043"/>
    <w:rsid w:val="003829E5"/>
    <w:rsid w:val="00385882"/>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06F3"/>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7D2"/>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444D"/>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8585E"/>
    <w:rsid w:val="00691B62"/>
    <w:rsid w:val="006933B5"/>
    <w:rsid w:val="00693D14"/>
    <w:rsid w:val="00695D7A"/>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1302"/>
    <w:rsid w:val="007342F0"/>
    <w:rsid w:val="007346E4"/>
    <w:rsid w:val="00740B23"/>
    <w:rsid w:val="00740F22"/>
    <w:rsid w:val="00741F1A"/>
    <w:rsid w:val="007450F8"/>
    <w:rsid w:val="0074696E"/>
    <w:rsid w:val="00750135"/>
    <w:rsid w:val="00750EC2"/>
    <w:rsid w:val="00752B28"/>
    <w:rsid w:val="00754E36"/>
    <w:rsid w:val="00763139"/>
    <w:rsid w:val="00770F37"/>
    <w:rsid w:val="007711A0"/>
    <w:rsid w:val="00771372"/>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D7E55"/>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2525F"/>
    <w:rsid w:val="008338A2"/>
    <w:rsid w:val="00841AA9"/>
    <w:rsid w:val="00850F10"/>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0FFE"/>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C6D57"/>
    <w:rsid w:val="00AD0CBA"/>
    <w:rsid w:val="00AD26E2"/>
    <w:rsid w:val="00AD784C"/>
    <w:rsid w:val="00AE126A"/>
    <w:rsid w:val="00AE3005"/>
    <w:rsid w:val="00AE343B"/>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4803"/>
    <w:rsid w:val="00C079B8"/>
    <w:rsid w:val="00C10037"/>
    <w:rsid w:val="00C123EA"/>
    <w:rsid w:val="00C12A49"/>
    <w:rsid w:val="00C133EE"/>
    <w:rsid w:val="00C149D0"/>
    <w:rsid w:val="00C26588"/>
    <w:rsid w:val="00C27DE9"/>
    <w:rsid w:val="00C33388"/>
    <w:rsid w:val="00C35484"/>
    <w:rsid w:val="00C3710F"/>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4C9F"/>
    <w:rsid w:val="00D05B8D"/>
    <w:rsid w:val="00D065A2"/>
    <w:rsid w:val="00D07F00"/>
    <w:rsid w:val="00D17B72"/>
    <w:rsid w:val="00D3185C"/>
    <w:rsid w:val="00D3318E"/>
    <w:rsid w:val="00D33E72"/>
    <w:rsid w:val="00D351B1"/>
    <w:rsid w:val="00D35BD6"/>
    <w:rsid w:val="00D361B5"/>
    <w:rsid w:val="00D36A65"/>
    <w:rsid w:val="00D37223"/>
    <w:rsid w:val="00D411A2"/>
    <w:rsid w:val="00D4606D"/>
    <w:rsid w:val="00D47385"/>
    <w:rsid w:val="00D50B9C"/>
    <w:rsid w:val="00D52D73"/>
    <w:rsid w:val="00D52E58"/>
    <w:rsid w:val="00D56B20"/>
    <w:rsid w:val="00D714CC"/>
    <w:rsid w:val="00D75EA7"/>
    <w:rsid w:val="00D81F21"/>
    <w:rsid w:val="00D95470"/>
    <w:rsid w:val="00DA2619"/>
    <w:rsid w:val="00DA4239"/>
    <w:rsid w:val="00DA7C84"/>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5DFD"/>
    <w:rsid w:val="00DE6028"/>
    <w:rsid w:val="00DE78A3"/>
    <w:rsid w:val="00DF1A71"/>
    <w:rsid w:val="00DF5240"/>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37D39"/>
    <w:rsid w:val="00F43A37"/>
    <w:rsid w:val="00F4641B"/>
    <w:rsid w:val="00F46EB8"/>
    <w:rsid w:val="00F50CD1"/>
    <w:rsid w:val="00F511E4"/>
    <w:rsid w:val="00F52D09"/>
    <w:rsid w:val="00F52E08"/>
    <w:rsid w:val="00F55B21"/>
    <w:rsid w:val="00F56EF6"/>
    <w:rsid w:val="00F61A9F"/>
    <w:rsid w:val="00F64696"/>
    <w:rsid w:val="00F65AA9"/>
    <w:rsid w:val="00F6768F"/>
    <w:rsid w:val="00F70628"/>
    <w:rsid w:val="00F72C2C"/>
    <w:rsid w:val="00F76CAB"/>
    <w:rsid w:val="00F772C6"/>
    <w:rsid w:val="00F815B5"/>
    <w:rsid w:val="00F85195"/>
    <w:rsid w:val="00F938BA"/>
    <w:rsid w:val="00FA2C46"/>
    <w:rsid w:val="00FA3525"/>
    <w:rsid w:val="00FA5A53"/>
    <w:rsid w:val="00FB0B93"/>
    <w:rsid w:val="00FB4769"/>
    <w:rsid w:val="00FB4CDA"/>
    <w:rsid w:val="00FC0F81"/>
    <w:rsid w:val="00FC395C"/>
    <w:rsid w:val="00FD3766"/>
    <w:rsid w:val="00FD47C4"/>
    <w:rsid w:val="00FD67C0"/>
    <w:rsid w:val="00FE2DCF"/>
    <w:rsid w:val="00FE3FA7"/>
    <w:rsid w:val="00FF12C9"/>
    <w:rsid w:val="00FF2A4E"/>
    <w:rsid w:val="00FF2FCE"/>
    <w:rsid w:val="00FF378F"/>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33574DE"/>
  <w15:docId w15:val="{0692E36F-17C5-457D-9B45-44FCF20B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4006F3"/>
    <w:rPr>
      <w:rFonts w:ascii="Cambria" w:hAnsi="Cambria"/>
      <w:lang w:eastAsia="en-US"/>
    </w:rPr>
  </w:style>
  <w:style w:type="paragraph" w:styleId="Heading1">
    <w:name w:val="heading 1"/>
    <w:next w:val="DHHSbody"/>
    <w:link w:val="Heading1Char"/>
    <w:uiPriority w:val="1"/>
    <w:qFormat/>
    <w:rsid w:val="00D351B1"/>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D351B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351B1"/>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D351B1"/>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351B1"/>
    <w:pPr>
      <w:spacing w:before="0" w:after="200"/>
      <w:outlineLvl w:val="9"/>
    </w:pPr>
  </w:style>
  <w:style w:type="character" w:customStyle="1" w:styleId="DHHSTOCheadingfactsheetChar">
    <w:name w:val="DHHS TOC heading fact sheet Char"/>
    <w:link w:val="DHHSTOCheadingfactsheet"/>
    <w:uiPriority w:val="4"/>
    <w:rsid w:val="00D351B1"/>
    <w:rPr>
      <w:rFonts w:ascii="Arial" w:hAnsi="Arial"/>
      <w:b/>
      <w:color w:val="D50032"/>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1A46EA"/>
    <w:pPr>
      <w:spacing w:line="560" w:lineRule="atLeast"/>
    </w:pPr>
    <w:rPr>
      <w:rFonts w:ascii="Arial" w:hAnsi="Arial"/>
      <w:color w:val="D50032"/>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D351B1"/>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4006F3"/>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FB0B93"/>
    <w:rPr>
      <w:rFonts w:ascii="Arial" w:hAnsi="Arial"/>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4006F3"/>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4006F3"/>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4006F3"/>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850F10"/>
    <w:rPr>
      <w:rFonts w:ascii="Tahoma" w:hAnsi="Tahoma" w:cs="Tahoma"/>
      <w:sz w:val="16"/>
      <w:szCs w:val="16"/>
    </w:rPr>
  </w:style>
  <w:style w:type="character" w:customStyle="1" w:styleId="BalloonTextChar">
    <w:name w:val="Balloon Text Char"/>
    <w:basedOn w:val="DefaultParagraphFont"/>
    <w:link w:val="BalloonText"/>
    <w:uiPriority w:val="99"/>
    <w:semiHidden/>
    <w:rsid w:val="00850F10"/>
    <w:rPr>
      <w:rFonts w:ascii="Tahoma" w:hAnsi="Tahoma" w:cs="Tahoma"/>
      <w:sz w:val="16"/>
      <w:szCs w:val="16"/>
      <w:lang w:eastAsia="en-US"/>
    </w:rPr>
  </w:style>
  <w:style w:type="character" w:styleId="CommentReference">
    <w:name w:val="annotation reference"/>
    <w:basedOn w:val="DefaultParagraphFont"/>
    <w:uiPriority w:val="99"/>
    <w:semiHidden/>
    <w:unhideWhenUsed/>
    <w:rsid w:val="008B0FFE"/>
    <w:rPr>
      <w:sz w:val="16"/>
      <w:szCs w:val="16"/>
    </w:rPr>
  </w:style>
  <w:style w:type="paragraph" w:styleId="CommentText">
    <w:name w:val="annotation text"/>
    <w:basedOn w:val="Normal"/>
    <w:link w:val="CommentTextChar"/>
    <w:uiPriority w:val="99"/>
    <w:semiHidden/>
    <w:unhideWhenUsed/>
    <w:rsid w:val="008B0FFE"/>
  </w:style>
  <w:style w:type="character" w:customStyle="1" w:styleId="CommentTextChar">
    <w:name w:val="Comment Text Char"/>
    <w:basedOn w:val="DefaultParagraphFont"/>
    <w:link w:val="CommentText"/>
    <w:uiPriority w:val="99"/>
    <w:semiHidden/>
    <w:rsid w:val="008B0FF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8B0FFE"/>
    <w:rPr>
      <w:b/>
      <w:bCs/>
    </w:rPr>
  </w:style>
  <w:style w:type="character" w:customStyle="1" w:styleId="CommentSubjectChar">
    <w:name w:val="Comment Subject Char"/>
    <w:basedOn w:val="CommentTextChar"/>
    <w:link w:val="CommentSubject"/>
    <w:uiPriority w:val="99"/>
    <w:semiHidden/>
    <w:rsid w:val="008B0FFE"/>
    <w:rPr>
      <w:rFonts w:ascii="Cambria" w:hAnsi="Cambria"/>
      <w:b/>
      <w:bCs/>
      <w:lang w:eastAsia="en-US"/>
    </w:rPr>
  </w:style>
  <w:style w:type="character" w:customStyle="1" w:styleId="UnresolvedMention">
    <w:name w:val="Unresolved Mention"/>
    <w:basedOn w:val="DefaultParagraphFont"/>
    <w:uiPriority w:val="99"/>
    <w:semiHidden/>
    <w:unhideWhenUsed/>
    <w:rsid w:val="00F70628"/>
    <w:rPr>
      <w:color w:val="605E5C"/>
      <w:shd w:val="clear" w:color="auto" w:fill="E1DFDD"/>
    </w:rPr>
  </w:style>
  <w:style w:type="table" w:styleId="GridTable4-Accent2">
    <w:name w:val="Grid Table 4 Accent 2"/>
    <w:basedOn w:val="TableNormal"/>
    <w:uiPriority w:val="49"/>
    <w:rsid w:val="00F7062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loodmatters@redcrossblood.org.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blood.gov.au/system/files/aust-haemovigilance-min-data-se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atient-care/speciality-diagnostics-therapeutics/blood-matters/serious-transfusion-incide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nzsbt.org.au/wp-content/uploads/2020/03/Guideline_-for_Transfusion_and_Immunohaematology_Laboratory_Practice_20200326_FINAL_Published_SecurePW-1.pdf" TargetMode="External"/><Relationship Id="rId4" Type="http://schemas.openxmlformats.org/officeDocument/2006/relationships/webSettings" Target="webSettings.xml"/><Relationship Id="rId9" Type="http://schemas.openxmlformats.org/officeDocument/2006/relationships/hyperlink" Target="https://anzsbt.org.au/wp-content/uploads/2020/03/Guideline_-for_Transfusion_and_Immunohaematology_Laboratory_Practice_20200326_FINAL_Published_SecurePW-1.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1871</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DHHS Factsheet 06 Pink 199</vt:lpstr>
    </vt:vector>
  </TitlesOfParts>
  <Company>Department of Health and Human Services</Company>
  <LinksUpToDate>false</LinksUpToDate>
  <CharactersWithSpaces>13686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Factsheet 06 Pink 199</dc:title>
  <dc:creator>Akers, Chris (VIC)</dc:creator>
  <cp:lastModifiedBy>Christine Akers</cp:lastModifiedBy>
  <cp:revision>8</cp:revision>
  <cp:lastPrinted>2017-07-07T00:32:00Z</cp:lastPrinted>
  <dcterms:created xsi:type="dcterms:W3CDTF">2020-11-15T23:31:00Z</dcterms:created>
  <dcterms:modified xsi:type="dcterms:W3CDTF">2020-12-08T00:25:00Z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