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67886" w14:textId="77777777" w:rsidR="0074696E" w:rsidRPr="004C6EEE" w:rsidRDefault="00433723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7C9B57B1" wp14:editId="6E8028E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A64A7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750065B8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1D342872" w14:textId="6D2697BA" w:rsidR="00AD784C" w:rsidRPr="00161AA0" w:rsidRDefault="008F3C73" w:rsidP="00B044F8">
            <w:pPr>
              <w:pStyle w:val="DHHSmainheading"/>
            </w:pPr>
            <w:r>
              <w:lastRenderedPageBreak/>
              <w:t xml:space="preserve">Guidelines for </w:t>
            </w:r>
            <w:r w:rsidR="006431DC">
              <w:t>behavioural assessment room</w:t>
            </w:r>
            <w:r>
              <w:t>s</w:t>
            </w:r>
            <w:r w:rsidR="00B044F8">
              <w:t xml:space="preserve"> in emergency departments</w:t>
            </w:r>
          </w:p>
        </w:tc>
      </w:tr>
      <w:tr w:rsidR="00AD784C" w14:paraId="4F2C086C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7D5F617E" w14:textId="191C5F6D" w:rsidR="00357B4E" w:rsidRPr="00AD784C" w:rsidRDefault="004D2108" w:rsidP="003E5681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 xml:space="preserve">May </w:t>
            </w:r>
            <w:r w:rsidR="008F3C73">
              <w:rPr>
                <w:szCs w:val="28"/>
              </w:rPr>
              <w:t>2017</w:t>
            </w:r>
          </w:p>
        </w:tc>
      </w:tr>
    </w:tbl>
    <w:p w14:paraId="6818AFD0" w14:textId="77777777" w:rsidR="007173CA" w:rsidRDefault="007173CA" w:rsidP="00CF10F7">
      <w:pPr>
        <w:pStyle w:val="DHHSbody"/>
        <w:spacing w:after="0"/>
        <w:sectPr w:rsidR="007173CA" w:rsidSect="00F01E5F">
          <w:headerReference w:type="default" r:id="rId11"/>
          <w:footerReference w:type="default" r:id="rId12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14:paraId="161DAD3C" w14:textId="77777777" w:rsidR="00893AF6" w:rsidRPr="00B57329" w:rsidRDefault="008F3C73" w:rsidP="000A6666">
      <w:pPr>
        <w:pStyle w:val="Heading1"/>
        <w:spacing w:before="0"/>
      </w:pPr>
      <w:r>
        <w:lastRenderedPageBreak/>
        <w:t>Background</w:t>
      </w:r>
    </w:p>
    <w:p w14:paraId="0B8B9524" w14:textId="68336D70" w:rsidR="008F3C73" w:rsidRDefault="008F3C73" w:rsidP="008F3C73">
      <w:pPr>
        <w:pStyle w:val="DHHSbody"/>
      </w:pPr>
      <w:bookmarkStart w:id="1" w:name="_Toc440566509"/>
      <w:r>
        <w:t>Supporting</w:t>
      </w:r>
      <w:r w:rsidRPr="00A40128">
        <w:t xml:space="preserve"> </w:t>
      </w:r>
      <w:r>
        <w:t xml:space="preserve">patient and worker safety and reducing violence </w:t>
      </w:r>
      <w:r w:rsidR="008D1EB0">
        <w:t xml:space="preserve">and aggression </w:t>
      </w:r>
      <w:r w:rsidRPr="00A40128">
        <w:t xml:space="preserve">in Victorian public hospitals </w:t>
      </w:r>
      <w:r>
        <w:t>are key priorities</w:t>
      </w:r>
      <w:r w:rsidRPr="00A40128">
        <w:t xml:space="preserve"> of the Department of Health and Human Services. </w:t>
      </w:r>
      <w:r>
        <w:t>The department has been working with health services to strengthen their responses to prevent and manage</w:t>
      </w:r>
      <w:r w:rsidR="00E95BD7">
        <w:t xml:space="preserve"> occupational</w:t>
      </w:r>
      <w:r>
        <w:t xml:space="preserve"> violence and aggression</w:t>
      </w:r>
      <w:r w:rsidRPr="00A40128">
        <w:t>.</w:t>
      </w:r>
    </w:p>
    <w:p w14:paraId="04E53E5A" w14:textId="5A4221B6" w:rsidR="00433723" w:rsidRDefault="00433723" w:rsidP="00433723">
      <w:pPr>
        <w:pStyle w:val="DHHSbody"/>
      </w:pPr>
      <w:r>
        <w:t>Health services have overar</w:t>
      </w:r>
      <w:r w:rsidR="008442DF">
        <w:t xml:space="preserve">ching policies outlining their strategies </w:t>
      </w:r>
      <w:r>
        <w:t xml:space="preserve">to provide a safe workplace and for </w:t>
      </w:r>
      <w:r w:rsidR="008442DF">
        <w:t>preventing and managing</w:t>
      </w:r>
      <w:r>
        <w:t xml:space="preserve"> </w:t>
      </w:r>
      <w:r w:rsidR="008442DF">
        <w:t>occupational violence</w:t>
      </w:r>
      <w:r>
        <w:t>.</w:t>
      </w:r>
      <w:r w:rsidR="004203D4">
        <w:t xml:space="preserve"> </w:t>
      </w:r>
      <w:r w:rsidR="00B044F8">
        <w:t xml:space="preserve">Managing </w:t>
      </w:r>
      <w:r w:rsidR="008442DF">
        <w:t>occupational violence and</w:t>
      </w:r>
      <w:r w:rsidR="00B044F8">
        <w:t xml:space="preserve"> aggression involves a multifaceted organisational response that begins with prevention and extends to post-incident management</w:t>
      </w:r>
      <w:r w:rsidR="00D565E3">
        <w:t>.</w:t>
      </w:r>
      <w:r w:rsidR="001E3084">
        <w:t xml:space="preserve"> </w:t>
      </w:r>
    </w:p>
    <w:p w14:paraId="6995C5FB" w14:textId="5252820F" w:rsidR="003A638E" w:rsidRDefault="00791710" w:rsidP="003A638E">
      <w:pPr>
        <w:pStyle w:val="DHHSbody"/>
      </w:pPr>
      <w:r>
        <w:t>B</w:t>
      </w:r>
      <w:r w:rsidR="008F3C73" w:rsidRPr="002A584F">
        <w:t xml:space="preserve">ehavioural assessment rooms </w:t>
      </w:r>
      <w:r w:rsidR="00B044F8">
        <w:t>can be</w:t>
      </w:r>
      <w:r w:rsidR="008F3C73">
        <w:t xml:space="preserve"> an effective intervention for m</w:t>
      </w:r>
      <w:r w:rsidR="003128F4">
        <w:t>anag</w:t>
      </w:r>
      <w:r w:rsidR="008F3C73">
        <w:t>ing aggressive patients in hospital emergency departments.</w:t>
      </w:r>
      <w:r w:rsidR="004203D4">
        <w:t xml:space="preserve"> </w:t>
      </w:r>
      <w:r w:rsidR="003974DC">
        <w:t>These rooms were developed i</w:t>
      </w:r>
      <w:r w:rsidR="003974DC" w:rsidRPr="00EE74B5">
        <w:t>n r</w:t>
      </w:r>
      <w:r w:rsidR="00605A94">
        <w:t>esponse to the special needs of</w:t>
      </w:r>
      <w:r w:rsidR="008D1EB0">
        <w:t xml:space="preserve"> </w:t>
      </w:r>
      <w:r w:rsidR="003974DC">
        <w:t xml:space="preserve">patients </w:t>
      </w:r>
      <w:r w:rsidR="00605A94">
        <w:t xml:space="preserve">exhibiting aggression </w:t>
      </w:r>
      <w:r w:rsidR="003974DC">
        <w:t xml:space="preserve">and the need to maximise the safety of </w:t>
      </w:r>
      <w:r>
        <w:t xml:space="preserve">staff, </w:t>
      </w:r>
      <w:r w:rsidR="003974DC">
        <w:t>patients and others.</w:t>
      </w:r>
      <w:r w:rsidR="004203D4">
        <w:t xml:space="preserve"> </w:t>
      </w:r>
      <w:r w:rsidR="003A638E">
        <w:t>Agitated and aggressive patients are removed from the main emergency department area</w:t>
      </w:r>
      <w:r w:rsidR="002F4967">
        <w:t>,</w:t>
      </w:r>
      <w:r w:rsidR="003A638E">
        <w:t xml:space="preserve"> </w:t>
      </w:r>
      <w:r w:rsidR="002F4967">
        <w:t xml:space="preserve">which has </w:t>
      </w:r>
      <w:r w:rsidR="003A638E">
        <w:t>equipment with which they can harm themselves or others and stimuli that may exacerbate their agitation.</w:t>
      </w:r>
      <w:r w:rsidR="004203D4">
        <w:t xml:space="preserve"> </w:t>
      </w:r>
      <w:r w:rsidR="006431DC">
        <w:t>Behavioural assessment room</w:t>
      </w:r>
      <w:r w:rsidR="002F4967">
        <w:t xml:space="preserve">s provide a separate space </w:t>
      </w:r>
      <w:r w:rsidR="007674EE">
        <w:t xml:space="preserve">within which </w:t>
      </w:r>
      <w:r w:rsidR="003A638E">
        <w:t>a multi</w:t>
      </w:r>
      <w:r w:rsidR="002F4967">
        <w:t xml:space="preserve">disciplinary team </w:t>
      </w:r>
      <w:r w:rsidR="007674EE">
        <w:t>can</w:t>
      </w:r>
      <w:r w:rsidR="002F4967">
        <w:t xml:space="preserve"> work, as well as</w:t>
      </w:r>
      <w:r w:rsidR="003A638E">
        <w:t xml:space="preserve"> </w:t>
      </w:r>
      <w:r w:rsidR="007674EE">
        <w:t xml:space="preserve">providing </w:t>
      </w:r>
      <w:r w:rsidR="003A638E">
        <w:t xml:space="preserve">privacy </w:t>
      </w:r>
      <w:r w:rsidR="002F4967">
        <w:t xml:space="preserve">for patients </w:t>
      </w:r>
      <w:r w:rsidR="003A638E">
        <w:t xml:space="preserve">while the situation is </w:t>
      </w:r>
      <w:r w:rsidR="00BA4A2D">
        <w:t>assessed and appropriately managed</w:t>
      </w:r>
      <w:r w:rsidR="003A638E">
        <w:t>.</w:t>
      </w:r>
      <w:r w:rsidR="004203D4">
        <w:t xml:space="preserve"> </w:t>
      </w:r>
      <w:r w:rsidR="003A638E">
        <w:t xml:space="preserve">These </w:t>
      </w:r>
      <w:r w:rsidR="002F4967">
        <w:t xml:space="preserve">rooms can </w:t>
      </w:r>
      <w:r w:rsidR="0082008E">
        <w:t xml:space="preserve">reduce the risk of injury for the patient and staff, </w:t>
      </w:r>
      <w:r w:rsidR="002F4967">
        <w:t xml:space="preserve">facilitate a more positive </w:t>
      </w:r>
      <w:r w:rsidR="003A638E">
        <w:t xml:space="preserve">patient experience, and </w:t>
      </w:r>
      <w:r w:rsidR="002F4967">
        <w:t xml:space="preserve">reduce </w:t>
      </w:r>
      <w:r w:rsidR="003A638E">
        <w:t xml:space="preserve">distress </w:t>
      </w:r>
      <w:r w:rsidR="002F4967">
        <w:t>to other patients and visitors in the emergency department.</w:t>
      </w:r>
    </w:p>
    <w:p w14:paraId="31D90C5F" w14:textId="77777777" w:rsidR="002D7BFC" w:rsidRPr="000A6666" w:rsidRDefault="002D7BFC" w:rsidP="002D7BFC">
      <w:pPr>
        <w:pStyle w:val="Heading1"/>
      </w:pPr>
      <w:r>
        <w:t>Purpose</w:t>
      </w:r>
      <w:r w:rsidR="00B11DE9">
        <w:t xml:space="preserve"> of the guidelines</w:t>
      </w:r>
    </w:p>
    <w:p w14:paraId="340579F6" w14:textId="2289B48A" w:rsidR="003E512A" w:rsidRDefault="003E512A" w:rsidP="003E512A">
      <w:pPr>
        <w:pStyle w:val="DHHSbody"/>
      </w:pPr>
      <w:bookmarkStart w:id="2" w:name="_Toc256778633"/>
      <w:bookmarkEnd w:id="1"/>
      <w:r>
        <w:t xml:space="preserve">The purpose of these guidelines is to assist health services to establish appropriate procedures and policies </w:t>
      </w:r>
      <w:r w:rsidR="007674EE">
        <w:t xml:space="preserve">regarding </w:t>
      </w:r>
      <w:r>
        <w:t xml:space="preserve">the use and design of behavioural assessment rooms. The guidelines are intended to provide guidance </w:t>
      </w:r>
      <w:r w:rsidR="00DB0C29">
        <w:t>only – they</w:t>
      </w:r>
      <w:r>
        <w:t xml:space="preserve"> are not a substitute for a health service obtaining its own independent legal and medical advice.</w:t>
      </w:r>
    </w:p>
    <w:p w14:paraId="51249966" w14:textId="015324D4" w:rsidR="003E512A" w:rsidRDefault="003E512A" w:rsidP="003E512A">
      <w:pPr>
        <w:pStyle w:val="DHHSbody"/>
      </w:pPr>
      <w:r>
        <w:t>These guidelines apply to Victorian hospitals (public and private) that have, or are planning to introduce, a behavioural assessment room within their emergency department.</w:t>
      </w:r>
      <w:r w:rsidR="004203D4">
        <w:t xml:space="preserve">  </w:t>
      </w:r>
    </w:p>
    <w:p w14:paraId="5D879E64" w14:textId="415EAB89" w:rsidR="00B47F21" w:rsidRPr="004203D4" w:rsidRDefault="00DB0C29" w:rsidP="004203D4">
      <w:pPr>
        <w:pStyle w:val="DHHSbody"/>
      </w:pPr>
      <w:r>
        <w:t>B</w:t>
      </w:r>
      <w:r w:rsidR="006431DC">
        <w:t>ehavioural assessment room</w:t>
      </w:r>
      <w:r>
        <w:t>s are not the norm</w:t>
      </w:r>
      <w:r w:rsidR="00012A50">
        <w:t xml:space="preserve"> in urgent care centres</w:t>
      </w:r>
      <w:r w:rsidR="009A45F5">
        <w:t xml:space="preserve">, mainly because staff resources are not available to maintain staff </w:t>
      </w:r>
      <w:r w:rsidR="007B1B01">
        <w:t xml:space="preserve">and patient </w:t>
      </w:r>
      <w:r w:rsidR="009A45F5">
        <w:t>safety</w:t>
      </w:r>
      <w:r w:rsidR="007B1B01">
        <w:t xml:space="preserve"> or </w:t>
      </w:r>
      <w:r>
        <w:t xml:space="preserve">to </w:t>
      </w:r>
      <w:r w:rsidR="007B1B01">
        <w:t>support patient care in the room</w:t>
      </w:r>
      <w:r w:rsidR="00012A50" w:rsidRPr="007E3B8F">
        <w:t>.</w:t>
      </w:r>
      <w:r w:rsidR="004203D4">
        <w:t xml:space="preserve">  </w:t>
      </w:r>
    </w:p>
    <w:p w14:paraId="39A7A0FF" w14:textId="2B39A54F" w:rsidR="008E14EB" w:rsidRDefault="008E14EB" w:rsidP="00547069">
      <w:pPr>
        <w:pStyle w:val="Heading1"/>
      </w:pPr>
      <w:r>
        <w:t>Definitions</w:t>
      </w:r>
    </w:p>
    <w:p w14:paraId="6ED82D1A" w14:textId="4C3B60B2" w:rsidR="00301ED3" w:rsidRPr="00547069" w:rsidRDefault="006431DC" w:rsidP="00547069">
      <w:pPr>
        <w:pStyle w:val="DHHSbody"/>
        <w:rPr>
          <w:b/>
        </w:rPr>
      </w:pPr>
      <w:r w:rsidRPr="00547069">
        <w:rPr>
          <w:b/>
        </w:rPr>
        <w:t>Behavioural assessment room</w:t>
      </w:r>
    </w:p>
    <w:p w14:paraId="76472FCF" w14:textId="7CBAC7EA" w:rsidR="00301ED3" w:rsidRDefault="00301ED3" w:rsidP="00301ED3">
      <w:pPr>
        <w:pStyle w:val="DHHSbody"/>
      </w:pPr>
      <w:r>
        <w:t>A specifically designed room for assess</w:t>
      </w:r>
      <w:r w:rsidR="00DB0C29">
        <w:t>ing</w:t>
      </w:r>
      <w:r>
        <w:t xml:space="preserve"> and manag</w:t>
      </w:r>
      <w:r w:rsidR="00DB0C29">
        <w:t>ing</w:t>
      </w:r>
      <w:r>
        <w:t xml:space="preserve"> emergency department patients exhibiting aggression that places themselves or others </w:t>
      </w:r>
      <w:r w:rsidR="0082008E">
        <w:t xml:space="preserve">(including staff) </w:t>
      </w:r>
      <w:r>
        <w:t>at risk of harm.</w:t>
      </w:r>
      <w:r w:rsidR="004203D4">
        <w:t xml:space="preserve"> </w:t>
      </w:r>
    </w:p>
    <w:p w14:paraId="240211A9" w14:textId="77777777" w:rsidR="00301ED3" w:rsidRPr="00547069" w:rsidRDefault="008E14EB" w:rsidP="00547069">
      <w:pPr>
        <w:pStyle w:val="DHHSbody"/>
        <w:rPr>
          <w:b/>
        </w:rPr>
      </w:pPr>
      <w:r w:rsidRPr="00547069">
        <w:rPr>
          <w:b/>
        </w:rPr>
        <w:t>Occupational violence</w:t>
      </w:r>
      <w:r w:rsidR="00301ED3" w:rsidRPr="00547069">
        <w:rPr>
          <w:b/>
        </w:rPr>
        <w:t xml:space="preserve"> and aggression</w:t>
      </w:r>
    </w:p>
    <w:p w14:paraId="7E6C44CD" w14:textId="573D6DAC" w:rsidR="008E14EB" w:rsidRDefault="00301ED3" w:rsidP="00301ED3">
      <w:pPr>
        <w:pStyle w:val="DHHSbody"/>
      </w:pPr>
      <w:r>
        <w:t>A</w:t>
      </w:r>
      <w:r w:rsidR="008E14EB" w:rsidRPr="00E95BD7">
        <w:t>ny incident where an employee is abused, threatened or assaulted in</w:t>
      </w:r>
      <w:r w:rsidR="008E14EB">
        <w:t xml:space="preserve"> </w:t>
      </w:r>
      <w:r w:rsidR="008E14EB" w:rsidRPr="00E95BD7">
        <w:t>circumstances arising out of, or in the course of, their employment. Examples of</w:t>
      </w:r>
      <w:r w:rsidR="008E14EB">
        <w:t xml:space="preserve"> </w:t>
      </w:r>
      <w:r w:rsidR="008E14EB" w:rsidRPr="00E95BD7">
        <w:t>occupational violence include</w:t>
      </w:r>
      <w:r w:rsidR="00DB0C29">
        <w:t xml:space="preserve"> </w:t>
      </w:r>
      <w:r w:rsidR="008E14EB">
        <w:t>v</w:t>
      </w:r>
      <w:r w:rsidR="008E14EB" w:rsidRPr="00E95BD7">
        <w:t>erbal, physical or psychological</w:t>
      </w:r>
      <w:r w:rsidR="008E14EB">
        <w:t xml:space="preserve"> </w:t>
      </w:r>
      <w:r w:rsidR="008E14EB" w:rsidRPr="00E95BD7">
        <w:t>abuse, threats, spitting, biting, throwing objects, racial vilification, sexual harassment or</w:t>
      </w:r>
      <w:r w:rsidR="008E14EB">
        <w:t xml:space="preserve"> </w:t>
      </w:r>
      <w:r w:rsidR="008E14EB" w:rsidRPr="00E95BD7">
        <w:t>any form of indecent physical conduct</w:t>
      </w:r>
      <w:r w:rsidR="008E14EB">
        <w:t>.</w:t>
      </w:r>
    </w:p>
    <w:p w14:paraId="53780507" w14:textId="77777777" w:rsidR="001C2230" w:rsidRPr="00547069" w:rsidRDefault="001C2230" w:rsidP="00547069">
      <w:pPr>
        <w:pStyle w:val="DHHSbody"/>
        <w:rPr>
          <w:b/>
        </w:rPr>
      </w:pPr>
      <w:r w:rsidRPr="00547069">
        <w:rPr>
          <w:b/>
        </w:rPr>
        <w:lastRenderedPageBreak/>
        <w:t xml:space="preserve">Clinical aggression </w:t>
      </w:r>
    </w:p>
    <w:p w14:paraId="2E95137D" w14:textId="08996FAB" w:rsidR="001C2230" w:rsidRDefault="001C2230" w:rsidP="001C2230">
      <w:pPr>
        <w:pStyle w:val="DHHSbody"/>
      </w:pPr>
      <w:r>
        <w:t xml:space="preserve">Aggression </w:t>
      </w:r>
      <w:r w:rsidR="00DB0C29">
        <w:t xml:space="preserve">that </w:t>
      </w:r>
      <w:r>
        <w:t>aris</w:t>
      </w:r>
      <w:r w:rsidR="00DB0C29">
        <w:t>es</w:t>
      </w:r>
      <w:r>
        <w:t xml:space="preserve"> from </w:t>
      </w:r>
      <w:r w:rsidR="00DB0C29">
        <w:t xml:space="preserve">a </w:t>
      </w:r>
      <w:r>
        <w:t xml:space="preserve">health condition and </w:t>
      </w:r>
      <w:r w:rsidR="00DB0C29">
        <w:t xml:space="preserve">that </w:t>
      </w:r>
      <w:r>
        <w:t>occurs between a health professional and a patient.</w:t>
      </w:r>
    </w:p>
    <w:p w14:paraId="62E7541C" w14:textId="0D84F8BA" w:rsidR="00021A69" w:rsidRPr="00547069" w:rsidRDefault="00021A69" w:rsidP="00547069">
      <w:pPr>
        <w:pStyle w:val="DHHSbody"/>
        <w:rPr>
          <w:b/>
        </w:rPr>
      </w:pPr>
      <w:r w:rsidRPr="00547069">
        <w:rPr>
          <w:b/>
        </w:rPr>
        <w:t xml:space="preserve">Senior </w:t>
      </w:r>
      <w:r w:rsidR="00F768ED" w:rsidRPr="00547069">
        <w:rPr>
          <w:b/>
        </w:rPr>
        <w:t>health practitioner</w:t>
      </w:r>
    </w:p>
    <w:p w14:paraId="5851A5ED" w14:textId="7FDE77FC" w:rsidR="00021A69" w:rsidRDefault="00021A69" w:rsidP="001C2230">
      <w:pPr>
        <w:pStyle w:val="DHHSbody"/>
      </w:pPr>
      <w:r>
        <w:t xml:space="preserve">In this document a senior </w:t>
      </w:r>
      <w:r w:rsidR="00F768ED">
        <w:t xml:space="preserve">health practitioner </w:t>
      </w:r>
      <w:r>
        <w:t>is defined as a medical or nursing team leader</w:t>
      </w:r>
      <w:r w:rsidR="00914342">
        <w:t xml:space="preserve"> (</w:t>
      </w:r>
      <w:r>
        <w:t>not an intern or graduate</w:t>
      </w:r>
      <w:r w:rsidR="00914342">
        <w:t>)</w:t>
      </w:r>
      <w:r>
        <w:t xml:space="preserve"> with </w:t>
      </w:r>
      <w:r w:rsidR="00914342">
        <w:t xml:space="preserve">the </w:t>
      </w:r>
      <w:r>
        <w:t>skills and knowledge to assess whether a patient’s medical condition can or cannot be managed safely in a behavioural assessment room.</w:t>
      </w:r>
    </w:p>
    <w:p w14:paraId="1A986675" w14:textId="77777777" w:rsidR="00B11DE9" w:rsidRPr="000A6666" w:rsidRDefault="00B11DE9" w:rsidP="00B11DE9">
      <w:pPr>
        <w:pStyle w:val="Heading1"/>
      </w:pPr>
      <w:r>
        <w:t>Guidelines</w:t>
      </w:r>
    </w:p>
    <w:p w14:paraId="639F6540" w14:textId="77777777" w:rsidR="00B11DE9" w:rsidRPr="0029752B" w:rsidRDefault="00BA7DBD" w:rsidP="00B11DE9">
      <w:pPr>
        <w:pStyle w:val="Heading2"/>
      </w:pPr>
      <w:r>
        <w:t>Overarching p</w:t>
      </w:r>
      <w:r w:rsidR="00B11DE9">
        <w:t>rinciples</w:t>
      </w:r>
    </w:p>
    <w:p w14:paraId="74FC44C7" w14:textId="4AA0BCA0" w:rsidR="008D1EB0" w:rsidRDefault="008D1EB0" w:rsidP="00E94091">
      <w:pPr>
        <w:pStyle w:val="DHHSbullet1"/>
      </w:pPr>
      <w:r>
        <w:t xml:space="preserve">Employers </w:t>
      </w:r>
      <w:r w:rsidR="00D014D2">
        <w:t xml:space="preserve">must </w:t>
      </w:r>
      <w:r>
        <w:t>provide a safe workplace</w:t>
      </w:r>
      <w:r w:rsidR="00E94091">
        <w:t xml:space="preserve"> and have </w:t>
      </w:r>
      <w:r w:rsidR="00E94091" w:rsidRPr="00E94091">
        <w:t xml:space="preserve">strategies </w:t>
      </w:r>
      <w:r w:rsidR="00E94091">
        <w:t xml:space="preserve">in place </w:t>
      </w:r>
      <w:r w:rsidR="00E94091" w:rsidRPr="00E94091">
        <w:t xml:space="preserve">to proactively prevent and manage occupational violence </w:t>
      </w:r>
      <w:r>
        <w:t xml:space="preserve">(as per their obligations under the </w:t>
      </w:r>
      <w:r w:rsidRPr="00E94091">
        <w:rPr>
          <w:i/>
        </w:rPr>
        <w:t>O</w:t>
      </w:r>
      <w:r w:rsidR="00B47F21">
        <w:rPr>
          <w:i/>
        </w:rPr>
        <w:t xml:space="preserve">ccupational </w:t>
      </w:r>
      <w:r w:rsidRPr="00E94091">
        <w:rPr>
          <w:i/>
        </w:rPr>
        <w:t>H</w:t>
      </w:r>
      <w:r w:rsidR="00B47F21">
        <w:rPr>
          <w:i/>
        </w:rPr>
        <w:t xml:space="preserve">ealth and </w:t>
      </w:r>
      <w:r w:rsidRPr="00E94091">
        <w:rPr>
          <w:i/>
        </w:rPr>
        <w:t>S</w:t>
      </w:r>
      <w:r w:rsidR="00B47F21">
        <w:rPr>
          <w:i/>
        </w:rPr>
        <w:t>afety</w:t>
      </w:r>
      <w:r w:rsidRPr="00E94091">
        <w:rPr>
          <w:i/>
        </w:rPr>
        <w:t xml:space="preserve"> Act 2004</w:t>
      </w:r>
      <w:r>
        <w:t>).</w:t>
      </w:r>
    </w:p>
    <w:p w14:paraId="0CE78227" w14:textId="3DC3818C" w:rsidR="002E2C26" w:rsidRDefault="002E2C26" w:rsidP="00E94091">
      <w:pPr>
        <w:pStyle w:val="DHHSbullet1"/>
      </w:pPr>
      <w:r>
        <w:t xml:space="preserve">Staff </w:t>
      </w:r>
      <w:r w:rsidR="00D014D2">
        <w:t>are</w:t>
      </w:r>
      <w:r w:rsidR="009B6F56">
        <w:t xml:space="preserve"> </w:t>
      </w:r>
      <w:r>
        <w:t>entitled to a safe and secure working environment that is free of violence.</w:t>
      </w:r>
    </w:p>
    <w:p w14:paraId="2878CF63" w14:textId="71860F4C" w:rsidR="00BF7EE4" w:rsidRDefault="00BF7EE4" w:rsidP="00E94091">
      <w:pPr>
        <w:pStyle w:val="DHHSbullet1"/>
      </w:pPr>
      <w:r>
        <w:t xml:space="preserve">Patients </w:t>
      </w:r>
      <w:r w:rsidR="009B6F56">
        <w:t>should be</w:t>
      </w:r>
      <w:r>
        <w:t xml:space="preserve"> treated safely</w:t>
      </w:r>
      <w:r w:rsidR="00C012B4">
        <w:t xml:space="preserve"> and with dignity, ensuring</w:t>
      </w:r>
      <w:r>
        <w:t xml:space="preserve"> their clinical needs are met</w:t>
      </w:r>
      <w:r w:rsidR="00715F3C">
        <w:t xml:space="preserve"> and</w:t>
      </w:r>
      <w:r w:rsidR="0079799A">
        <w:t xml:space="preserve"> their </w:t>
      </w:r>
      <w:r w:rsidR="00715F3C">
        <w:t xml:space="preserve">privacy </w:t>
      </w:r>
      <w:r w:rsidR="0079799A">
        <w:t xml:space="preserve">is </w:t>
      </w:r>
      <w:r w:rsidR="00715F3C">
        <w:t>maintained.</w:t>
      </w:r>
    </w:p>
    <w:p w14:paraId="3DB8CBCD" w14:textId="1F14FBF6" w:rsidR="00715F3C" w:rsidRDefault="00F81764" w:rsidP="005165B2">
      <w:pPr>
        <w:pStyle w:val="DHHSbullet1"/>
      </w:pPr>
      <w:r w:rsidRPr="007706D1">
        <w:t>The rights and welfare of all patients</w:t>
      </w:r>
      <w:r w:rsidR="00F768ED">
        <w:t xml:space="preserve"> and visitors</w:t>
      </w:r>
      <w:r w:rsidRPr="007706D1">
        <w:t xml:space="preserve"> </w:t>
      </w:r>
      <w:r w:rsidR="009B6F56">
        <w:t>should be</w:t>
      </w:r>
      <w:r w:rsidRPr="007706D1">
        <w:t xml:space="preserve"> </w:t>
      </w:r>
      <w:r w:rsidR="00995A04" w:rsidRPr="007706D1">
        <w:t>considered</w:t>
      </w:r>
      <w:r w:rsidR="00B56046">
        <w:t xml:space="preserve"> at all times</w:t>
      </w:r>
      <w:r w:rsidRPr="007706D1">
        <w:t>.</w:t>
      </w:r>
      <w:r w:rsidR="005165B2" w:rsidRPr="005165B2">
        <w:t xml:space="preserve"> </w:t>
      </w:r>
    </w:p>
    <w:p w14:paraId="756F5235" w14:textId="3F05B911" w:rsidR="007706D1" w:rsidRPr="007706D1" w:rsidRDefault="00F81764" w:rsidP="007706D1">
      <w:pPr>
        <w:pStyle w:val="DHHSbullet1"/>
      </w:pPr>
      <w:r w:rsidRPr="007706D1">
        <w:t>Specific gender and culture</w:t>
      </w:r>
      <w:r w:rsidR="00C012B4">
        <w:t>-</w:t>
      </w:r>
      <w:r w:rsidRPr="007706D1">
        <w:t xml:space="preserve">related </w:t>
      </w:r>
      <w:r w:rsidR="00F768ED">
        <w:t>matters</w:t>
      </w:r>
      <w:r w:rsidRPr="007706D1">
        <w:t xml:space="preserve"> should be observed whe</w:t>
      </w:r>
      <w:r w:rsidR="00A1737E">
        <w:t>r</w:t>
      </w:r>
      <w:r w:rsidRPr="007706D1">
        <w:t>ever possible.</w:t>
      </w:r>
      <w:r w:rsidR="004203D4">
        <w:t xml:space="preserve"> </w:t>
      </w:r>
      <w:r w:rsidR="007706D1">
        <w:t>T</w:t>
      </w:r>
      <w:r w:rsidR="007706D1" w:rsidRPr="007706D1">
        <w:t xml:space="preserve">he unique cultural identity of individuals </w:t>
      </w:r>
      <w:r w:rsidR="007706D1">
        <w:t>should be considered</w:t>
      </w:r>
      <w:r w:rsidR="007706D1" w:rsidRPr="007706D1">
        <w:t xml:space="preserve"> to safely meet their needs, expe</w:t>
      </w:r>
      <w:r w:rsidR="007706D1">
        <w:t>ctations and rights.</w:t>
      </w:r>
    </w:p>
    <w:p w14:paraId="4AB1BA2F" w14:textId="77777777" w:rsidR="00277497" w:rsidRDefault="00715F3C" w:rsidP="00277497">
      <w:pPr>
        <w:pStyle w:val="DHHSbullet1"/>
      </w:pPr>
      <w:r>
        <w:t>A continuous q</w:t>
      </w:r>
      <w:r w:rsidR="00277497">
        <w:t xml:space="preserve">uality </w:t>
      </w:r>
      <w:r>
        <w:t>improvement process should be implemented to support safe and quality care a</w:t>
      </w:r>
      <w:r w:rsidR="00A1737E">
        <w:t>s well as staff</w:t>
      </w:r>
      <w:r>
        <w:t xml:space="preserve"> </w:t>
      </w:r>
      <w:r w:rsidR="00A1737E">
        <w:t xml:space="preserve">and </w:t>
      </w:r>
      <w:r>
        <w:t>workplace safety.</w:t>
      </w:r>
    </w:p>
    <w:bookmarkEnd w:id="2"/>
    <w:p w14:paraId="1F406B87" w14:textId="560B1388" w:rsidR="00B11DE9" w:rsidRDefault="009B6F56" w:rsidP="00B11DE9">
      <w:pPr>
        <w:pStyle w:val="Heading2"/>
      </w:pPr>
      <w:r>
        <w:t>Objectives</w:t>
      </w:r>
    </w:p>
    <w:p w14:paraId="0569D457" w14:textId="77777777" w:rsidR="00177B11" w:rsidRDefault="00FE18DA" w:rsidP="004203D4">
      <w:pPr>
        <w:pStyle w:val="Heading3"/>
      </w:pPr>
      <w:r>
        <w:t>Governance and c</w:t>
      </w:r>
      <w:r w:rsidR="00177B11">
        <w:t>linical governance</w:t>
      </w:r>
    </w:p>
    <w:p w14:paraId="72FA6CDC" w14:textId="68186118" w:rsidR="00F35ED2" w:rsidRDefault="00F35ED2" w:rsidP="00F35ED2">
      <w:pPr>
        <w:pStyle w:val="DHHSbullet1"/>
      </w:pPr>
      <w:r>
        <w:t>The health service should have a policy and procedure (or a set of related policies and procedures) for u</w:t>
      </w:r>
      <w:r w:rsidRPr="002A584F">
        <w:t>s</w:t>
      </w:r>
      <w:r w:rsidR="00C012B4">
        <w:t xml:space="preserve">ing the </w:t>
      </w:r>
      <w:r>
        <w:t>behavioural assessment room</w:t>
      </w:r>
      <w:r w:rsidRPr="002A584F">
        <w:t xml:space="preserve"> </w:t>
      </w:r>
      <w:r w:rsidR="00C012B4">
        <w:t>that</w:t>
      </w:r>
      <w:r w:rsidRPr="003023FE">
        <w:t xml:space="preserve"> has executive </w:t>
      </w:r>
      <w:r>
        <w:t xml:space="preserve">authorisation. </w:t>
      </w:r>
    </w:p>
    <w:p w14:paraId="54E4BF59" w14:textId="568C8B31" w:rsidR="00F65EFC" w:rsidRDefault="005E22B4" w:rsidP="00D63DD7">
      <w:pPr>
        <w:pStyle w:val="DHHSbullet1"/>
      </w:pPr>
      <w:r>
        <w:t xml:space="preserve">The </w:t>
      </w:r>
      <w:r w:rsidR="006431DC">
        <w:t>behavioural assessment room</w:t>
      </w:r>
      <w:r>
        <w:t xml:space="preserve"> policy and procedure </w:t>
      </w:r>
      <w:r w:rsidR="009B6F56">
        <w:t>should be consistent</w:t>
      </w:r>
      <w:r w:rsidR="008D1EB0">
        <w:t xml:space="preserve"> with the principles and </w:t>
      </w:r>
      <w:r w:rsidR="009B6F56">
        <w:t xml:space="preserve">recommendations set out </w:t>
      </w:r>
      <w:r w:rsidR="00F65EFC">
        <w:t>in these guidelines, taking into account local conditions, operational requirements and resources.</w:t>
      </w:r>
    </w:p>
    <w:p w14:paraId="33940E2B" w14:textId="0C05F398" w:rsidR="009B6F56" w:rsidRDefault="009B6F56" w:rsidP="009B6F56">
      <w:pPr>
        <w:pStyle w:val="DHHSbullet1"/>
      </w:pPr>
      <w:r>
        <w:t>Existing health service policies and procedures should be updated to support the implementation of these guidelines and</w:t>
      </w:r>
      <w:r w:rsidR="00C012B4">
        <w:t xml:space="preserve"> to</w:t>
      </w:r>
      <w:r>
        <w:t xml:space="preserve"> accommodate the use of behavioural assessment rooms in hospital service operations and clinical guidelines and processes.</w:t>
      </w:r>
    </w:p>
    <w:p w14:paraId="668DA9A6" w14:textId="26B22233" w:rsidR="004F1E7A" w:rsidRDefault="004F1E7A" w:rsidP="004F1E7A">
      <w:pPr>
        <w:pStyle w:val="DHHSbullet1"/>
      </w:pPr>
      <w:r>
        <w:t xml:space="preserve">The use of a </w:t>
      </w:r>
      <w:r w:rsidR="006431DC">
        <w:t>behavioural assessment room</w:t>
      </w:r>
      <w:r>
        <w:t xml:space="preserve"> </w:t>
      </w:r>
      <w:r w:rsidR="009B6F56">
        <w:t xml:space="preserve">should </w:t>
      </w:r>
      <w:r>
        <w:t>fit within a health service organisation’s overarching policies</w:t>
      </w:r>
      <w:r w:rsidR="009B1ED9">
        <w:t>,</w:t>
      </w:r>
      <w:r w:rsidR="00F768ED">
        <w:t xml:space="preserve"> standards,</w:t>
      </w:r>
      <w:r w:rsidR="009B1ED9">
        <w:t xml:space="preserve"> requirements </w:t>
      </w:r>
      <w:r w:rsidR="00F768ED">
        <w:t xml:space="preserve">and training/education </w:t>
      </w:r>
      <w:r w:rsidR="00791710">
        <w:t>to</w:t>
      </w:r>
      <w:r w:rsidR="00C012B4">
        <w:t>:</w:t>
      </w:r>
      <w:r w:rsidR="00791710">
        <w:t xml:space="preserve"> provide a safe </w:t>
      </w:r>
      <w:r w:rsidR="00C16B1C">
        <w:t>and secure environment for staff, patients and visitors</w:t>
      </w:r>
      <w:r w:rsidR="00C012B4">
        <w:t>; provide</w:t>
      </w:r>
      <w:r w:rsidR="00791710">
        <w:t xml:space="preserve"> </w:t>
      </w:r>
      <w:r w:rsidR="00C16B1C">
        <w:t>safe and quality</w:t>
      </w:r>
      <w:r w:rsidR="000F7354">
        <w:t xml:space="preserve"> patient care</w:t>
      </w:r>
      <w:r w:rsidR="00C012B4">
        <w:t>;</w:t>
      </w:r>
      <w:r w:rsidR="00883ADE">
        <w:t xml:space="preserve"> and</w:t>
      </w:r>
      <w:r>
        <w:t xml:space="preserve"> prevent and manage </w:t>
      </w:r>
      <w:r w:rsidR="001C2230">
        <w:t xml:space="preserve">occupational violence and </w:t>
      </w:r>
      <w:r>
        <w:t>aggression.</w:t>
      </w:r>
    </w:p>
    <w:p w14:paraId="1DE40DB0" w14:textId="2CE38EDE" w:rsidR="009B6F56" w:rsidRDefault="009B6F56" w:rsidP="009B6F56">
      <w:pPr>
        <w:pStyle w:val="DHHSbullet1"/>
      </w:pPr>
      <w:r>
        <w:t>T</w:t>
      </w:r>
      <w:r w:rsidRPr="00234F2F">
        <w:t xml:space="preserve">he authority </w:t>
      </w:r>
      <w:r>
        <w:t xml:space="preserve">for </w:t>
      </w:r>
      <w:r w:rsidR="00C012B4">
        <w:t>using</w:t>
      </w:r>
      <w:r w:rsidRPr="00234F2F">
        <w:t xml:space="preserve"> the </w:t>
      </w:r>
      <w:r>
        <w:t>behavioural assessment room should be specified in the health service’s policy and procedures.</w:t>
      </w:r>
      <w:r w:rsidR="004203D4">
        <w:t xml:space="preserve"> </w:t>
      </w:r>
      <w:r>
        <w:t xml:space="preserve">The authorisation should be designated to </w:t>
      </w:r>
      <w:r w:rsidRPr="003023FE">
        <w:t>a senior</w:t>
      </w:r>
      <w:r>
        <w:t xml:space="preserve"> </w:t>
      </w:r>
      <w:r w:rsidR="00F768ED">
        <w:t>health practitioner</w:t>
      </w:r>
      <w:r>
        <w:t>.</w:t>
      </w:r>
    </w:p>
    <w:p w14:paraId="2C9D784A" w14:textId="18F81CE9" w:rsidR="00686D93" w:rsidRDefault="00194706" w:rsidP="00177B11">
      <w:pPr>
        <w:pStyle w:val="DHHSbullet1"/>
      </w:pPr>
      <w:r>
        <w:t xml:space="preserve">A framework (or clinical guideline or process) to guide the assessment of </w:t>
      </w:r>
      <w:r w:rsidR="004B708D">
        <w:t xml:space="preserve">a </w:t>
      </w:r>
      <w:r>
        <w:t xml:space="preserve">patient’s suitability </w:t>
      </w:r>
      <w:r w:rsidR="004B708D">
        <w:t xml:space="preserve">for, and </w:t>
      </w:r>
      <w:r w:rsidR="00C012B4">
        <w:t xml:space="preserve">the service’s </w:t>
      </w:r>
      <w:r w:rsidR="004B708D">
        <w:t xml:space="preserve">decision to use, </w:t>
      </w:r>
      <w:r>
        <w:t xml:space="preserve">the behavioural assessment room </w:t>
      </w:r>
      <w:r w:rsidR="009B6F56">
        <w:t>should be</w:t>
      </w:r>
      <w:r>
        <w:t xml:space="preserve"> </w:t>
      </w:r>
      <w:r w:rsidR="00C012B4">
        <w:t xml:space="preserve">readily </w:t>
      </w:r>
      <w:r>
        <w:t>available to</w:t>
      </w:r>
      <w:r w:rsidR="009A35BD">
        <w:t xml:space="preserve"> all staff </w:t>
      </w:r>
      <w:r>
        <w:t>.</w:t>
      </w:r>
      <w:r w:rsidR="004B708D">
        <w:t xml:space="preserve"> </w:t>
      </w:r>
    </w:p>
    <w:p w14:paraId="491595D0" w14:textId="3A1B781F" w:rsidR="009B6F56" w:rsidRPr="00EA0074" w:rsidRDefault="009B6F56" w:rsidP="009B6F56">
      <w:pPr>
        <w:pStyle w:val="DHHSbullet1"/>
      </w:pPr>
      <w:r w:rsidRPr="00EA0074">
        <w:t>The development</w:t>
      </w:r>
      <w:r>
        <w:t xml:space="preserve">, operation and review of a behavioural assessment room </w:t>
      </w:r>
      <w:r w:rsidRPr="00EA0074">
        <w:t xml:space="preserve">should include consultation with </w:t>
      </w:r>
      <w:r>
        <w:t>emergency department</w:t>
      </w:r>
      <w:r w:rsidRPr="00EA0074">
        <w:t xml:space="preserve"> staff, mental health staff, security staff, </w:t>
      </w:r>
      <w:r w:rsidR="00F768ED">
        <w:t>after</w:t>
      </w:r>
      <w:r w:rsidR="00C012B4">
        <w:t>-</w:t>
      </w:r>
      <w:r w:rsidR="00F768ED">
        <w:t xml:space="preserve">hours coordinators, </w:t>
      </w:r>
      <w:r w:rsidR="00C012B4">
        <w:t xml:space="preserve">the </w:t>
      </w:r>
      <w:r>
        <w:t xml:space="preserve">health service </w:t>
      </w:r>
      <w:r w:rsidRPr="00EA0074">
        <w:t>executive</w:t>
      </w:r>
      <w:r>
        <w:t xml:space="preserve">, consumers, </w:t>
      </w:r>
      <w:r w:rsidR="00F768ED">
        <w:t xml:space="preserve">unions, </w:t>
      </w:r>
      <w:r>
        <w:t>local police and ambulance staff and</w:t>
      </w:r>
      <w:r w:rsidR="00C012B4">
        <w:t>,</w:t>
      </w:r>
      <w:r>
        <w:t xml:space="preserve"> depending on local context, external security staff and prison staff.</w:t>
      </w:r>
    </w:p>
    <w:p w14:paraId="301C8C52" w14:textId="74F11A56" w:rsidR="002F6F01" w:rsidRPr="009E3958" w:rsidRDefault="001645EA" w:rsidP="00D63DD7">
      <w:pPr>
        <w:pStyle w:val="DHHSbullet1"/>
      </w:pPr>
      <w:r>
        <w:t xml:space="preserve">A framework for continuous quality improvement </w:t>
      </w:r>
      <w:r w:rsidRPr="009E3958">
        <w:t>s</w:t>
      </w:r>
      <w:r w:rsidR="00F35ED2">
        <w:t>hould be</w:t>
      </w:r>
      <w:r w:rsidRPr="009E3958">
        <w:t xml:space="preserve"> developed and implemented.</w:t>
      </w:r>
      <w:r w:rsidR="004203D4">
        <w:t xml:space="preserve"> </w:t>
      </w:r>
      <w:r w:rsidR="002F6F01" w:rsidRPr="009E3958">
        <w:t xml:space="preserve">The use and processes of a </w:t>
      </w:r>
      <w:r w:rsidR="006431DC">
        <w:t>behavioural assessment room</w:t>
      </w:r>
      <w:r w:rsidR="002F6F01" w:rsidRPr="009E3958">
        <w:t xml:space="preserve"> should be subject to</w:t>
      </w:r>
      <w:r w:rsidR="00883ADE">
        <w:t xml:space="preserve"> data collection,</w:t>
      </w:r>
      <w:r w:rsidR="002F6F01" w:rsidRPr="009E3958">
        <w:t xml:space="preserve"> monitoring, reporting</w:t>
      </w:r>
      <w:r w:rsidR="001C57B4">
        <w:t>,</w:t>
      </w:r>
      <w:r w:rsidR="002F6F01" w:rsidRPr="009E3958">
        <w:t xml:space="preserve"> evaluation</w:t>
      </w:r>
      <w:r w:rsidR="001359FA">
        <w:t xml:space="preserve"> and regular environmental audits</w:t>
      </w:r>
      <w:r w:rsidR="002F6F01" w:rsidRPr="009E3958">
        <w:t>.</w:t>
      </w:r>
      <w:r w:rsidR="004203D4">
        <w:t xml:space="preserve"> </w:t>
      </w:r>
      <w:r w:rsidR="002F6F01" w:rsidRPr="009E3958">
        <w:t xml:space="preserve"> </w:t>
      </w:r>
    </w:p>
    <w:p w14:paraId="523FECAC" w14:textId="7D7D524F" w:rsidR="00E52712" w:rsidRDefault="00E52712" w:rsidP="001645EA">
      <w:pPr>
        <w:pStyle w:val="DHHSbullet1"/>
      </w:pPr>
      <w:r w:rsidRPr="009E3958">
        <w:lastRenderedPageBreak/>
        <w:t xml:space="preserve">The quality improvement and reporting of the </w:t>
      </w:r>
      <w:r w:rsidR="006431DC">
        <w:t>behavioural assessment room</w:t>
      </w:r>
      <w:r w:rsidR="00C10547">
        <w:t>’s</w:t>
      </w:r>
      <w:r w:rsidRPr="009E3958">
        <w:t xml:space="preserve"> use </w:t>
      </w:r>
      <w:r w:rsidR="00F35ED2">
        <w:t>should</w:t>
      </w:r>
      <w:r>
        <w:t xml:space="preserve"> be overseen by a health service’s violence and aggression committee</w:t>
      </w:r>
      <w:r w:rsidR="006620BD">
        <w:t xml:space="preserve"> (or similar committee, however named)</w:t>
      </w:r>
      <w:r>
        <w:t>.</w:t>
      </w:r>
    </w:p>
    <w:p w14:paraId="796755E0" w14:textId="6965CC8C" w:rsidR="002F6F01" w:rsidRDefault="002F6F01" w:rsidP="00D63DD7">
      <w:pPr>
        <w:pStyle w:val="DHHSbullet1"/>
      </w:pPr>
      <w:r>
        <w:t xml:space="preserve">The </w:t>
      </w:r>
      <w:r w:rsidR="006431DC">
        <w:t>behavioural assessment room</w:t>
      </w:r>
      <w:r>
        <w:t xml:space="preserve"> policy should be reviewed</w:t>
      </w:r>
      <w:r w:rsidR="00336BF1">
        <w:t xml:space="preserve"> </w:t>
      </w:r>
      <w:r w:rsidR="00336BF1" w:rsidRPr="009E3958">
        <w:t>annually in consultation with stakeholders</w:t>
      </w:r>
      <w:r w:rsidR="009E3958" w:rsidRPr="009E3958">
        <w:t xml:space="preserve"> </w:t>
      </w:r>
      <w:r w:rsidR="009E3958">
        <w:t>and modified if required.</w:t>
      </w:r>
    </w:p>
    <w:p w14:paraId="0C5678F3" w14:textId="6EB4474E" w:rsidR="00B57BCF" w:rsidRDefault="00F35ED2" w:rsidP="004203D4">
      <w:pPr>
        <w:pStyle w:val="Heading3"/>
      </w:pPr>
      <w:r>
        <w:t>Recommended p</w:t>
      </w:r>
      <w:r w:rsidR="00FE18DA">
        <w:t>arameters of use</w:t>
      </w:r>
    </w:p>
    <w:p w14:paraId="6A795B8B" w14:textId="35E77E3C" w:rsidR="00100ABC" w:rsidRDefault="00100ABC" w:rsidP="00100ABC">
      <w:pPr>
        <w:pStyle w:val="DHHSbullet1"/>
      </w:pPr>
      <w:r>
        <w:t xml:space="preserve">The behavioural assessment room </w:t>
      </w:r>
      <w:r w:rsidR="00E67690">
        <w:t>should be</w:t>
      </w:r>
      <w:r>
        <w:t xml:space="preserve"> for any emergency department patient exhibiting or at risk of aggression or violence that poses a threat of harm to themselves or others.</w:t>
      </w:r>
    </w:p>
    <w:p w14:paraId="6C6ABE71" w14:textId="2585282C" w:rsidR="008442DF" w:rsidRPr="003023FE" w:rsidRDefault="00100ABC" w:rsidP="008442DF">
      <w:pPr>
        <w:pStyle w:val="DHHSbullet1"/>
      </w:pPr>
      <w:r>
        <w:t>A</w:t>
      </w:r>
      <w:r w:rsidR="005643E8">
        <w:t xml:space="preserve"> senior </w:t>
      </w:r>
      <w:r w:rsidR="00F768ED">
        <w:t>health practitioner</w:t>
      </w:r>
      <w:r w:rsidR="005643E8">
        <w:t xml:space="preserve"> </w:t>
      </w:r>
      <w:r w:rsidR="00E67690">
        <w:t>should be</w:t>
      </w:r>
      <w:r w:rsidR="005643E8">
        <w:t xml:space="preserve"> responsible for </w:t>
      </w:r>
      <w:r w:rsidR="00F768ED">
        <w:t>overseeing</w:t>
      </w:r>
      <w:r w:rsidR="005643E8">
        <w:t xml:space="preserve"> patients in the </w:t>
      </w:r>
      <w:r w:rsidR="006431DC">
        <w:t>behavioural assessment room</w:t>
      </w:r>
      <w:r w:rsidR="005643E8">
        <w:t>.</w:t>
      </w:r>
    </w:p>
    <w:p w14:paraId="15B3B9E1" w14:textId="0062F9C1" w:rsidR="008442DF" w:rsidRDefault="008442DF" w:rsidP="008442DF">
      <w:pPr>
        <w:pStyle w:val="DHHSbullet1"/>
      </w:pPr>
      <w:r>
        <w:t xml:space="preserve">The </w:t>
      </w:r>
      <w:r w:rsidR="006431DC">
        <w:t>behavioural assessment room</w:t>
      </w:r>
      <w:r>
        <w:t xml:space="preserve"> </w:t>
      </w:r>
      <w:r w:rsidR="000F7354">
        <w:t>s</w:t>
      </w:r>
      <w:r w:rsidR="00E67690">
        <w:t>hould be</w:t>
      </w:r>
      <w:r>
        <w:t xml:space="preserve"> used </w:t>
      </w:r>
      <w:r w:rsidR="000F7354">
        <w:t xml:space="preserve">only </w:t>
      </w:r>
      <w:r>
        <w:t xml:space="preserve">when the authorising senior </w:t>
      </w:r>
      <w:r w:rsidR="00F768ED">
        <w:t>health practitioner</w:t>
      </w:r>
      <w:r>
        <w:t xml:space="preserve"> determines that it is the most appropriate space to provide management and safety for a patient and/or others</w:t>
      </w:r>
    </w:p>
    <w:p w14:paraId="2AEEA7A2" w14:textId="70140573" w:rsidR="008442DF" w:rsidRDefault="001C57B4" w:rsidP="008442DF">
      <w:pPr>
        <w:pStyle w:val="DHHSbullet2"/>
      </w:pPr>
      <w:r>
        <w:t>p</w:t>
      </w:r>
      <w:r w:rsidR="001359FA">
        <w:t>revention, e</w:t>
      </w:r>
      <w:r w:rsidR="00E67690">
        <w:t>arly intervention</w:t>
      </w:r>
      <w:r w:rsidR="000F7354">
        <w:t xml:space="preserve"> and d</w:t>
      </w:r>
      <w:r w:rsidR="008442DF">
        <w:t>e-escalation techniques should be utilised first when appropriate.</w:t>
      </w:r>
    </w:p>
    <w:p w14:paraId="54D5EEF1" w14:textId="74E5B2E7" w:rsidR="00100ABC" w:rsidRDefault="002E31A0" w:rsidP="00100ABC">
      <w:pPr>
        <w:pStyle w:val="DHHSbullet1"/>
      </w:pPr>
      <w:r w:rsidRPr="00530358">
        <w:t xml:space="preserve">The length of time a patient stays in the </w:t>
      </w:r>
      <w:r w:rsidR="00021A69" w:rsidRPr="00530358">
        <w:t>behavioural assessment room</w:t>
      </w:r>
      <w:r w:rsidR="00E67690">
        <w:t xml:space="preserve"> should be</w:t>
      </w:r>
      <w:r w:rsidRPr="00530358">
        <w:t xml:space="preserve"> based on the professional judgement of the senior </w:t>
      </w:r>
      <w:r w:rsidR="00F768ED">
        <w:t>health practitioner</w:t>
      </w:r>
      <w:r w:rsidR="008267B3" w:rsidRPr="00530358">
        <w:t>;</w:t>
      </w:r>
      <w:r w:rsidRPr="00530358">
        <w:t xml:space="preserve"> however, </w:t>
      </w:r>
      <w:r w:rsidR="00530358" w:rsidRPr="00530358">
        <w:t>the</w:t>
      </w:r>
      <w:r w:rsidR="002A3097">
        <w:t xml:space="preserve"> least</w:t>
      </w:r>
      <w:r w:rsidR="00530358" w:rsidRPr="00530358">
        <w:t xml:space="preserve"> amount of time necessary</w:t>
      </w:r>
      <w:r w:rsidR="00447E14">
        <w:t xml:space="preserve"> </w:t>
      </w:r>
      <w:r w:rsidR="00530358" w:rsidRPr="00530358">
        <w:t xml:space="preserve">is </w:t>
      </w:r>
      <w:r w:rsidRPr="00530358">
        <w:t>preferred.</w:t>
      </w:r>
    </w:p>
    <w:p w14:paraId="20A1C2DA" w14:textId="2B0D38C3" w:rsidR="00C82EE4" w:rsidRDefault="00177B11" w:rsidP="00177B11">
      <w:pPr>
        <w:pStyle w:val="DHHSbullet1"/>
      </w:pPr>
      <w:r>
        <w:t xml:space="preserve">The </w:t>
      </w:r>
      <w:r w:rsidR="006431DC">
        <w:t>behavioural assessment room</w:t>
      </w:r>
      <w:r>
        <w:t xml:space="preserve"> </w:t>
      </w:r>
      <w:r w:rsidR="009B6F56">
        <w:t>should</w:t>
      </w:r>
      <w:r>
        <w:t xml:space="preserve"> not be locked</w:t>
      </w:r>
      <w:r w:rsidR="0079799A">
        <w:t xml:space="preserve"> </w:t>
      </w:r>
      <w:r w:rsidR="00D016DF">
        <w:t>whil</w:t>
      </w:r>
      <w:r w:rsidR="001C57B4">
        <w:t>e</w:t>
      </w:r>
      <w:r w:rsidR="0079799A">
        <w:t xml:space="preserve"> occupied</w:t>
      </w:r>
      <w:r w:rsidR="00C82EE4">
        <w:t>.</w:t>
      </w:r>
    </w:p>
    <w:p w14:paraId="78BCE63B" w14:textId="2CE84CB6" w:rsidR="008442DF" w:rsidRDefault="00C10547" w:rsidP="008442DF">
      <w:pPr>
        <w:pStyle w:val="DHHSbullet1"/>
      </w:pPr>
      <w:r>
        <w:t>The</w:t>
      </w:r>
      <w:r w:rsidR="00B1561F">
        <w:t xml:space="preserve"> behavioural assessment</w:t>
      </w:r>
      <w:r>
        <w:t xml:space="preserve"> room should not be used to seclude patients.</w:t>
      </w:r>
      <w:r w:rsidR="004203D4">
        <w:t xml:space="preserve"> </w:t>
      </w:r>
      <w:r w:rsidR="008442DF">
        <w:t>S</w:t>
      </w:r>
      <w:r w:rsidR="008442DF" w:rsidRPr="00482E5D">
        <w:t xml:space="preserve">eclusion </w:t>
      </w:r>
      <w:r w:rsidR="008442DF">
        <w:t>is the sole confinement of a person to a room or any other enclosed space from which it is not within the control of the person to leave.</w:t>
      </w:r>
    </w:p>
    <w:p w14:paraId="25A2E105" w14:textId="52F24A55" w:rsidR="002A3097" w:rsidRPr="003F727B" w:rsidRDefault="002A3097" w:rsidP="002A3097">
      <w:pPr>
        <w:pStyle w:val="DHHSbullet1"/>
      </w:pPr>
      <w:r>
        <w:t xml:space="preserve">If a patient has been restrained they should not be left unattended in a behavioural assessment room; a </w:t>
      </w:r>
      <w:r w:rsidR="001C57B4">
        <w:t>r</w:t>
      </w:r>
      <w:r>
        <w:t xml:space="preserve">egistered </w:t>
      </w:r>
      <w:r w:rsidR="001C57B4">
        <w:t>n</w:t>
      </w:r>
      <w:r>
        <w:t xml:space="preserve">urse or </w:t>
      </w:r>
      <w:r w:rsidR="001C57B4">
        <w:t>r</w:t>
      </w:r>
      <w:r>
        <w:t xml:space="preserve">egistered </w:t>
      </w:r>
      <w:r w:rsidR="001C57B4">
        <w:t>m</w:t>
      </w:r>
      <w:r>
        <w:t xml:space="preserve">edical </w:t>
      </w:r>
      <w:r w:rsidR="001C57B4">
        <w:t>p</w:t>
      </w:r>
      <w:r>
        <w:t>ractitioner should provide continuous visual observations and document these.</w:t>
      </w:r>
      <w:r w:rsidR="004203D4">
        <w:t xml:space="preserve"> </w:t>
      </w:r>
      <w:r>
        <w:t xml:space="preserve">The </w:t>
      </w:r>
      <w:r w:rsidR="001C57B4">
        <w:t>n</w:t>
      </w:r>
      <w:r>
        <w:t xml:space="preserve">urse or </w:t>
      </w:r>
      <w:r w:rsidR="001C57B4">
        <w:t>m</w:t>
      </w:r>
      <w:r>
        <w:t xml:space="preserve">edical </w:t>
      </w:r>
      <w:r w:rsidR="001C57B4">
        <w:t>p</w:t>
      </w:r>
      <w:r>
        <w:t>ractitioner may be either in the room with the patient (if it is safe to do so) or may provide continuous visual observation (for example, through a window) if it is necessary to reduce stimuli.</w:t>
      </w:r>
    </w:p>
    <w:p w14:paraId="0A2E8636" w14:textId="0E221AAB" w:rsidR="00177B11" w:rsidRDefault="00177B11" w:rsidP="00D016DF">
      <w:pPr>
        <w:pStyle w:val="DHHSbullet1lastline"/>
      </w:pPr>
      <w:r w:rsidRPr="002140A8">
        <w:t>If not otherwise in use</w:t>
      </w:r>
      <w:r w:rsidR="002B00FD">
        <w:t>, health services may choose to use</w:t>
      </w:r>
      <w:r w:rsidRPr="002140A8">
        <w:t xml:space="preserve"> </w:t>
      </w:r>
      <w:r w:rsidR="00C82EE4">
        <w:t xml:space="preserve">the room </w:t>
      </w:r>
      <w:r w:rsidR="002B00FD">
        <w:t>for other purposes</w:t>
      </w:r>
      <w:r w:rsidR="00021A69">
        <w:t xml:space="preserve"> such </w:t>
      </w:r>
      <w:r w:rsidR="00021A69" w:rsidRPr="00054B90">
        <w:rPr>
          <w:color w:val="000000"/>
        </w:rPr>
        <w:t>as a confidential, quiet environment for assessment</w:t>
      </w:r>
      <w:r w:rsidR="00021A69">
        <w:rPr>
          <w:color w:val="000000"/>
        </w:rPr>
        <w:t xml:space="preserve"> or as a low-stimulus room for patients to prevent escalation and aggression</w:t>
      </w:r>
      <w:r w:rsidRPr="002140A8">
        <w:t>.</w:t>
      </w:r>
      <w:r w:rsidR="004203D4">
        <w:t xml:space="preserve"> </w:t>
      </w:r>
      <w:r w:rsidR="00021A69">
        <w:t>T</w:t>
      </w:r>
      <w:r w:rsidR="002B00FD">
        <w:t xml:space="preserve">he room </w:t>
      </w:r>
      <w:r w:rsidR="009B6F56">
        <w:t>should</w:t>
      </w:r>
      <w:r w:rsidR="002B00FD">
        <w:t xml:space="preserve"> be </w:t>
      </w:r>
      <w:r w:rsidR="00021A69">
        <w:t xml:space="preserve">prioritised for its main purpose and </w:t>
      </w:r>
      <w:r w:rsidR="00A25DA2">
        <w:t>maintained i</w:t>
      </w:r>
      <w:r w:rsidR="002B00FD">
        <w:t xml:space="preserve">n the condition appropriate for its main use as a </w:t>
      </w:r>
      <w:r w:rsidR="006431DC">
        <w:t>behavioural assessment room</w:t>
      </w:r>
      <w:r w:rsidR="002B00FD">
        <w:t xml:space="preserve"> (</w:t>
      </w:r>
      <w:r w:rsidR="001C57B4">
        <w:t>for example,</w:t>
      </w:r>
      <w:r w:rsidR="002B00FD">
        <w:t xml:space="preserve"> equipment not left out)</w:t>
      </w:r>
      <w:r w:rsidR="00021A69">
        <w:t xml:space="preserve">, which </w:t>
      </w:r>
      <w:r w:rsidR="00E67690">
        <w:t>should</w:t>
      </w:r>
      <w:r w:rsidR="00021A69">
        <w:t xml:space="preserve"> be reflected in local policies and procedures.</w:t>
      </w:r>
      <w:r w:rsidR="006C511A">
        <w:t xml:space="preserve"> </w:t>
      </w:r>
    </w:p>
    <w:p w14:paraId="35DF6B89" w14:textId="77777777" w:rsidR="00B57BCF" w:rsidRDefault="00B57BCF" w:rsidP="004203D4">
      <w:pPr>
        <w:pStyle w:val="Heading3"/>
      </w:pPr>
      <w:r>
        <w:t xml:space="preserve">Management </w:t>
      </w:r>
      <w:r w:rsidR="008B4A1A">
        <w:t xml:space="preserve">and transfer </w:t>
      </w:r>
      <w:r>
        <w:t>of patients</w:t>
      </w:r>
    </w:p>
    <w:p w14:paraId="572D2DCB" w14:textId="260340B6" w:rsidR="0079799A" w:rsidRPr="009C2C4E" w:rsidRDefault="00142126" w:rsidP="00A2362C">
      <w:pPr>
        <w:pStyle w:val="DHHSbullet1"/>
      </w:pPr>
      <w:r w:rsidRPr="004C4A12">
        <w:t xml:space="preserve">The senior </w:t>
      </w:r>
      <w:r w:rsidR="00F768ED">
        <w:t>health practitioner</w:t>
      </w:r>
      <w:r w:rsidRPr="004C4A12">
        <w:t>(s) designated with authority</w:t>
      </w:r>
      <w:r w:rsidR="001C57B4">
        <w:t xml:space="preserve"> for the room</w:t>
      </w:r>
      <w:r w:rsidRPr="004C4A12">
        <w:t xml:space="preserve"> </w:t>
      </w:r>
      <w:r w:rsidR="005E4BFA">
        <w:t>should authorise</w:t>
      </w:r>
      <w:r w:rsidRPr="004C4A12">
        <w:t xml:space="preserve"> when a patient can be moved into the </w:t>
      </w:r>
      <w:r w:rsidR="006431DC">
        <w:t>behavioural assessment room</w:t>
      </w:r>
      <w:r w:rsidRPr="004C4A12">
        <w:t xml:space="preserve">, </w:t>
      </w:r>
      <w:r w:rsidR="00A87C62">
        <w:t>should oversee</w:t>
      </w:r>
      <w:r w:rsidRPr="004C4A12">
        <w:t xml:space="preserve"> their care, </w:t>
      </w:r>
      <w:r w:rsidR="00A87C62">
        <w:t xml:space="preserve">should </w:t>
      </w:r>
      <w:r w:rsidR="009C2C4E">
        <w:t xml:space="preserve">determine the clinical </w:t>
      </w:r>
      <w:r w:rsidR="009C2C4E" w:rsidRPr="009C2C4E">
        <w:t xml:space="preserve">response </w:t>
      </w:r>
      <w:r w:rsidR="009C2C4E">
        <w:t xml:space="preserve">team </w:t>
      </w:r>
      <w:r w:rsidR="009C2C4E" w:rsidRPr="009C2C4E">
        <w:t xml:space="preserve">required for assessment, and </w:t>
      </w:r>
      <w:r w:rsidR="009C2C4E">
        <w:t>decide</w:t>
      </w:r>
      <w:r w:rsidRPr="009C2C4E">
        <w:t xml:space="preserve"> when the</w:t>
      </w:r>
      <w:r w:rsidR="009C2C4E">
        <w:t xml:space="preserve"> patient</w:t>
      </w:r>
      <w:r w:rsidRPr="009C2C4E">
        <w:t xml:space="preserve"> can be </w:t>
      </w:r>
      <w:r w:rsidR="00DE3CD3" w:rsidRPr="009C2C4E">
        <w:t>transferred</w:t>
      </w:r>
      <w:r w:rsidRPr="009C2C4E">
        <w:t xml:space="preserve"> out.</w:t>
      </w:r>
    </w:p>
    <w:p w14:paraId="0FD9E15C" w14:textId="04C0294E" w:rsidR="00B1561F" w:rsidRPr="009C2C4E" w:rsidRDefault="00D016DF" w:rsidP="00B1561F">
      <w:pPr>
        <w:pStyle w:val="DHHSbullet1"/>
      </w:pPr>
      <w:r w:rsidRPr="009C2C4E">
        <w:t>A m</w:t>
      </w:r>
      <w:r w:rsidR="002142FC" w:rsidRPr="009C2C4E">
        <w:t xml:space="preserve">edical and nursing assessment appropriate to the patient’s presentation </w:t>
      </w:r>
      <w:r w:rsidR="009B6F56" w:rsidRPr="009C2C4E">
        <w:t>should</w:t>
      </w:r>
      <w:r w:rsidR="00D0765A" w:rsidRPr="009C2C4E">
        <w:t xml:space="preserve"> </w:t>
      </w:r>
      <w:r w:rsidRPr="009C2C4E">
        <w:t>be</w:t>
      </w:r>
      <w:r w:rsidR="002142FC" w:rsidRPr="009C2C4E">
        <w:t xml:space="preserve"> undertaken</w:t>
      </w:r>
      <w:r w:rsidR="005F3DDA" w:rsidRPr="009C2C4E">
        <w:t xml:space="preserve"> as soon as possible</w:t>
      </w:r>
      <w:r w:rsidRPr="009C2C4E">
        <w:t>.</w:t>
      </w:r>
      <w:r w:rsidR="004203D4" w:rsidRPr="009C2C4E">
        <w:t xml:space="preserve"> </w:t>
      </w:r>
      <w:r w:rsidR="00037D3C" w:rsidRPr="009C2C4E">
        <w:t xml:space="preserve">The aim of this assessment </w:t>
      </w:r>
      <w:r w:rsidR="00A87C62" w:rsidRPr="009C2C4E">
        <w:t xml:space="preserve">should be </w:t>
      </w:r>
      <w:r w:rsidR="00037D3C" w:rsidRPr="009C2C4E">
        <w:t>to ascertain the causes(s) of the behavioural disturbance and to determine a management and treatment plan.</w:t>
      </w:r>
    </w:p>
    <w:p w14:paraId="3F86CA2B" w14:textId="3F530669" w:rsidR="004E0D2A" w:rsidRPr="009C2C4E" w:rsidRDefault="002142FC" w:rsidP="005F3DDA">
      <w:pPr>
        <w:pStyle w:val="DHHSbullet1"/>
      </w:pPr>
      <w:r w:rsidRPr="009C2C4E">
        <w:t xml:space="preserve">A documented collaborative management plan </w:t>
      </w:r>
      <w:r w:rsidR="009B6F56" w:rsidRPr="009C2C4E">
        <w:t>should</w:t>
      </w:r>
      <w:r w:rsidR="00D0765A" w:rsidRPr="009C2C4E">
        <w:t xml:space="preserve"> </w:t>
      </w:r>
      <w:r w:rsidR="00D016DF" w:rsidRPr="009C2C4E">
        <w:t>be developed</w:t>
      </w:r>
      <w:r w:rsidR="001C57B4" w:rsidRPr="009C2C4E">
        <w:t xml:space="preserve"> for the patient</w:t>
      </w:r>
      <w:r w:rsidR="00D016DF" w:rsidRPr="009C2C4E">
        <w:t>.</w:t>
      </w:r>
      <w:r w:rsidR="005F3DDA" w:rsidRPr="009C2C4E">
        <w:t xml:space="preserve"> </w:t>
      </w:r>
    </w:p>
    <w:p w14:paraId="4038BE4B" w14:textId="1A84A506" w:rsidR="005D0EBF" w:rsidRPr="00482E5D" w:rsidRDefault="00C10547" w:rsidP="005D0EBF">
      <w:pPr>
        <w:pStyle w:val="DHHSbullet1"/>
      </w:pPr>
      <w:r>
        <w:t xml:space="preserve">The patient should be observed </w:t>
      </w:r>
      <w:r w:rsidR="005D0EBF">
        <w:t xml:space="preserve">at regular intervals set by </w:t>
      </w:r>
      <w:r w:rsidR="00117CBF">
        <w:t xml:space="preserve">the </w:t>
      </w:r>
      <w:r w:rsidR="005D0EBF">
        <w:t xml:space="preserve">senior </w:t>
      </w:r>
      <w:r w:rsidR="00F768ED">
        <w:t>health practitioner</w:t>
      </w:r>
      <w:r w:rsidR="009869EA">
        <w:t xml:space="preserve">, </w:t>
      </w:r>
      <w:r w:rsidR="00A87C62">
        <w:t xml:space="preserve">which should be </w:t>
      </w:r>
      <w:r w:rsidR="009869EA">
        <w:t xml:space="preserve">based on </w:t>
      </w:r>
      <w:r w:rsidR="005D0EBF">
        <w:t>t</w:t>
      </w:r>
      <w:r w:rsidR="009869EA">
        <w:t xml:space="preserve">he patient’s </w:t>
      </w:r>
      <w:r w:rsidR="005D0EBF">
        <w:t>clinical needs</w:t>
      </w:r>
      <w:r w:rsidR="00663875">
        <w:t>,</w:t>
      </w:r>
      <w:r w:rsidR="009869EA">
        <w:t xml:space="preserve"> risk</w:t>
      </w:r>
      <w:r w:rsidR="00663875">
        <w:t xml:space="preserve"> assessment and risk mitigation strategies to maintain staff and patient safety</w:t>
      </w:r>
      <w:r w:rsidR="005D0EBF">
        <w:t>.</w:t>
      </w:r>
      <w:r w:rsidR="00D726A3">
        <w:t xml:space="preserve">  The frequency of observations should be documented in the patient’s management plan.</w:t>
      </w:r>
      <w:r w:rsidR="004203D4">
        <w:t xml:space="preserve"> </w:t>
      </w:r>
      <w:r w:rsidR="005D0EBF">
        <w:t xml:space="preserve">If a patient has been restrained they </w:t>
      </w:r>
      <w:r w:rsidR="009B6F56">
        <w:t>should</w:t>
      </w:r>
      <w:r w:rsidR="005D0EBF">
        <w:t xml:space="preserve"> </w:t>
      </w:r>
      <w:r>
        <w:t xml:space="preserve">be </w:t>
      </w:r>
      <w:r w:rsidR="00117CBF">
        <w:t>continuous</w:t>
      </w:r>
      <w:r>
        <w:t>ly</w:t>
      </w:r>
      <w:r w:rsidR="005D0EBF">
        <w:t xml:space="preserve"> observ</w:t>
      </w:r>
      <w:r>
        <w:t>ed</w:t>
      </w:r>
      <w:r w:rsidR="005D0EBF">
        <w:t>.</w:t>
      </w:r>
    </w:p>
    <w:p w14:paraId="3106AF2F" w14:textId="30FDF332" w:rsidR="00355785" w:rsidRDefault="00355785" w:rsidP="002142FC">
      <w:pPr>
        <w:pStyle w:val="DHHSbullet1"/>
      </w:pPr>
      <w:r w:rsidRPr="004C4A12">
        <w:t>The patient s</w:t>
      </w:r>
      <w:r w:rsidR="00A87C62">
        <w:t>hould be</w:t>
      </w:r>
      <w:r w:rsidRPr="004C4A12">
        <w:t xml:space="preserve"> reas</w:t>
      </w:r>
      <w:r w:rsidR="000F7354">
        <w:t>sessed and the</w:t>
      </w:r>
      <w:r w:rsidR="00492E31">
        <w:t>ir</w:t>
      </w:r>
      <w:r w:rsidR="000F7354">
        <w:t xml:space="preserve"> management plan </w:t>
      </w:r>
      <w:r w:rsidRPr="004C4A12">
        <w:t>revised accordingly</w:t>
      </w:r>
      <w:r w:rsidR="0079799A" w:rsidRPr="004C4A12">
        <w:t xml:space="preserve"> at regular intervals</w:t>
      </w:r>
      <w:r w:rsidRPr="004C4A12">
        <w:t>.</w:t>
      </w:r>
      <w:r w:rsidR="004203D4">
        <w:t xml:space="preserve"> </w:t>
      </w:r>
      <w:r w:rsidR="00A87C62">
        <w:t xml:space="preserve">The timing of </w:t>
      </w:r>
      <w:r w:rsidR="00492E31">
        <w:t xml:space="preserve">the </w:t>
      </w:r>
      <w:r w:rsidR="00A87C62">
        <w:t xml:space="preserve">reassessment </w:t>
      </w:r>
      <w:r w:rsidR="005F3DDA">
        <w:t>s</w:t>
      </w:r>
      <w:r w:rsidR="00A87C62">
        <w:t>hould be</w:t>
      </w:r>
      <w:r w:rsidR="005F3DDA">
        <w:t xml:space="preserve"> a clinical decision</w:t>
      </w:r>
      <w:r w:rsidR="00A87C62">
        <w:t xml:space="preserve"> </w:t>
      </w:r>
      <w:r w:rsidR="005F3DDA">
        <w:t>based on the patient’s diagnosis, management plan, risk assessment and mitigation strategies to main</w:t>
      </w:r>
      <w:r w:rsidR="009869EA">
        <w:t>tain staff and patient safety.</w:t>
      </w:r>
    </w:p>
    <w:p w14:paraId="74951772" w14:textId="76DE3C6B" w:rsidR="004118FB" w:rsidRPr="004118FB" w:rsidRDefault="004D40F2" w:rsidP="004118FB">
      <w:pPr>
        <w:pStyle w:val="DHHSbullet1"/>
      </w:pPr>
      <w:r>
        <w:t>T</w:t>
      </w:r>
      <w:r w:rsidR="00AC5EBE">
        <w:t>he principles of least restrictive care should be employed</w:t>
      </w:r>
      <w:r w:rsidRPr="004D40F2">
        <w:t xml:space="preserve"> </w:t>
      </w:r>
      <w:r>
        <w:t>within the behavioural assessment room</w:t>
      </w:r>
      <w:r w:rsidR="00AC5EBE">
        <w:t>.</w:t>
      </w:r>
      <w:r w:rsidR="004203D4">
        <w:t xml:space="preserve"> </w:t>
      </w:r>
      <w:r w:rsidR="00AC5EBE">
        <w:t xml:space="preserve">Least restrictive care principles </w:t>
      </w:r>
      <w:r w:rsidR="00492E31">
        <w:t>stipulate that people</w:t>
      </w:r>
      <w:r w:rsidR="00AC5EBE" w:rsidRPr="001B7D46">
        <w:t xml:space="preserve"> receive assessment and treatment in the least restrictive way with the </w:t>
      </w:r>
      <w:r w:rsidR="00492E31">
        <w:t>fewest</w:t>
      </w:r>
      <w:r w:rsidR="00492E31" w:rsidRPr="001B7D46">
        <w:t xml:space="preserve"> </w:t>
      </w:r>
      <w:r w:rsidR="00AC5EBE" w:rsidRPr="001B7D46">
        <w:t>possible restrictions on human rights and human dignity</w:t>
      </w:r>
      <w:r w:rsidR="00AC5EBE">
        <w:t>.</w:t>
      </w:r>
    </w:p>
    <w:p w14:paraId="6B84F0A2" w14:textId="77777777" w:rsidR="004118FB" w:rsidRDefault="004118FB">
      <w:pPr>
        <w:spacing w:after="0" w:line="240" w:lineRule="auto"/>
        <w:rPr>
          <w:rFonts w:ascii="Arial" w:eastAsia="Times" w:hAnsi="Arial" w:cs="Times New Roman"/>
          <w:sz w:val="20"/>
          <w:szCs w:val="20"/>
        </w:rPr>
      </w:pPr>
      <w:r>
        <w:br w:type="page"/>
      </w:r>
    </w:p>
    <w:p w14:paraId="4AD3DB4D" w14:textId="46C0BFA5" w:rsidR="00AC5EBE" w:rsidRDefault="00AC5EBE" w:rsidP="003F727B">
      <w:pPr>
        <w:pStyle w:val="DHHSbullet1"/>
      </w:pPr>
      <w:r w:rsidRPr="00D93DF1">
        <w:lastRenderedPageBreak/>
        <w:t xml:space="preserve">If restraint is required (following the use or consideration of least restrictive interventions) all legal obligations under the </w:t>
      </w:r>
      <w:r w:rsidRPr="003F727B">
        <w:rPr>
          <w:i/>
        </w:rPr>
        <w:t>Mental Health Act 2014</w:t>
      </w:r>
      <w:r w:rsidRPr="00D93DF1">
        <w:t xml:space="preserve"> relating to the use of bodily restraint on a person receiving mental health services should be </w:t>
      </w:r>
      <w:r w:rsidR="00AA224C">
        <w:t>observed</w:t>
      </w:r>
      <w:r w:rsidRPr="00D93DF1">
        <w:t>.</w:t>
      </w:r>
      <w:r w:rsidR="004203D4">
        <w:t xml:space="preserve"> </w:t>
      </w:r>
      <w:r>
        <w:t xml:space="preserve">Specifically, the patient should have continuous visual observation and be clinically reviewed as often as appropriate, having regard to the person’s condition, but not less frequently than every 15 minutes. </w:t>
      </w:r>
      <w:r w:rsidRPr="00D93DF1">
        <w:t>In addition appropriate monitoring and review as per the health service</w:t>
      </w:r>
      <w:r w:rsidR="00492E31">
        <w:t>’</w:t>
      </w:r>
      <w:r w:rsidRPr="00D93DF1">
        <w:t>s restraint and sedation procedures should be followed.</w:t>
      </w:r>
    </w:p>
    <w:p w14:paraId="4EF00391" w14:textId="559E69F8" w:rsidR="00E94091" w:rsidRDefault="00E94091" w:rsidP="00E94091">
      <w:pPr>
        <w:pStyle w:val="DHHSbullet1"/>
      </w:pPr>
      <w:r>
        <w:t>T</w:t>
      </w:r>
      <w:r w:rsidRPr="00825968">
        <w:t xml:space="preserve">he potential trauma that </w:t>
      </w:r>
      <w:r>
        <w:t>restraint</w:t>
      </w:r>
      <w:r w:rsidR="005F5D8D">
        <w:t xml:space="preserve"> and sedation</w:t>
      </w:r>
      <w:r>
        <w:t xml:space="preserve"> </w:t>
      </w:r>
      <w:r w:rsidRPr="00825968">
        <w:t xml:space="preserve">may have on </w:t>
      </w:r>
      <w:r w:rsidR="00492E31">
        <w:t>a person</w:t>
      </w:r>
      <w:r w:rsidRPr="00825968">
        <w:t xml:space="preserve"> </w:t>
      </w:r>
      <w:r>
        <w:t>should be considered</w:t>
      </w:r>
      <w:r w:rsidR="00492E31">
        <w:t>, with</w:t>
      </w:r>
      <w:r w:rsidRPr="00825968">
        <w:t xml:space="preserve"> support </w:t>
      </w:r>
      <w:r w:rsidR="00492E31">
        <w:t xml:space="preserve">provided </w:t>
      </w:r>
      <w:r w:rsidRPr="00825968">
        <w:t>to the patient as required.</w:t>
      </w:r>
    </w:p>
    <w:p w14:paraId="68C5BF85" w14:textId="399BAEBF" w:rsidR="006C3B6A" w:rsidRDefault="00CD6D5F" w:rsidP="002142FC">
      <w:pPr>
        <w:pStyle w:val="DHHSbullet1"/>
      </w:pPr>
      <w:r>
        <w:t xml:space="preserve">When safe to do so, </w:t>
      </w:r>
      <w:r w:rsidR="00492E31">
        <w:t xml:space="preserve">and </w:t>
      </w:r>
      <w:r>
        <w:t xml:space="preserve">as determined by the authorising senior </w:t>
      </w:r>
      <w:r w:rsidR="00F768ED">
        <w:t>health practitioner</w:t>
      </w:r>
      <w:r>
        <w:t>,</w:t>
      </w:r>
      <w:r w:rsidR="006C3B6A">
        <w:t xml:space="preserve"> the patient </w:t>
      </w:r>
      <w:r w:rsidR="001A27C8">
        <w:t>should be returned</w:t>
      </w:r>
      <w:r w:rsidR="006C3B6A">
        <w:t xml:space="preserve"> into the main </w:t>
      </w:r>
      <w:r w:rsidR="0079799A">
        <w:t>clinical</w:t>
      </w:r>
      <w:r w:rsidR="006C3B6A">
        <w:t xml:space="preserve"> area of the emergency </w:t>
      </w:r>
      <w:r w:rsidR="001A27C8">
        <w:t>department or transferred to another</w:t>
      </w:r>
      <w:r w:rsidR="0079799A">
        <w:t xml:space="preserve"> appropriate</w:t>
      </w:r>
      <w:r w:rsidR="001A27C8">
        <w:t xml:space="preserve"> ward or service</w:t>
      </w:r>
      <w:r w:rsidR="006C3B6A"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9869EA" w:rsidRPr="009869EA" w14:paraId="4E6C5B51" w14:textId="77777777">
        <w:trPr>
          <w:trHeight w:val="103"/>
        </w:trPr>
        <w:tc>
          <w:tcPr>
            <w:tcW w:w="9385" w:type="dxa"/>
          </w:tcPr>
          <w:p w14:paraId="7876A105" w14:textId="39542988" w:rsidR="009869EA" w:rsidRPr="009869EA" w:rsidRDefault="009869EA" w:rsidP="009869EA">
            <w:pPr>
              <w:pStyle w:val="DHHSbullet1"/>
            </w:pPr>
            <w:r w:rsidRPr="009869EA">
              <w:t xml:space="preserve">Timely, relevant and structured clinical handover that supports safe patient care and staff safety </w:t>
            </w:r>
            <w:r w:rsidR="009B6F56">
              <w:t>should</w:t>
            </w:r>
            <w:r w:rsidRPr="009869EA">
              <w:t xml:space="preserve"> be provided in accordance with the </w:t>
            </w:r>
            <w:r w:rsidRPr="003F727B">
              <w:rPr>
                <w:i/>
              </w:rPr>
              <w:t>National Safety and Quality Health Service Standards</w:t>
            </w:r>
            <w:r w:rsidRPr="009869EA">
              <w:t>, Standard 6 Clinical Handover.</w:t>
            </w:r>
          </w:p>
          <w:p w14:paraId="17951C53" w14:textId="402C41F7" w:rsidR="00935379" w:rsidRPr="009869EA" w:rsidRDefault="00492E31" w:rsidP="00AA224C">
            <w:pPr>
              <w:pStyle w:val="DHHSbullet1"/>
            </w:pPr>
            <w:r>
              <w:t>Where an incident has occurred,</w:t>
            </w:r>
            <w:r w:rsidRPr="009869EA">
              <w:t xml:space="preserve"> </w:t>
            </w:r>
            <w:r>
              <w:t>p</w:t>
            </w:r>
            <w:r w:rsidR="00F65EFC" w:rsidRPr="009869EA">
              <w:t xml:space="preserve">ost-incident support processes </w:t>
            </w:r>
            <w:r w:rsidR="00A87C62">
              <w:t xml:space="preserve">should be </w:t>
            </w:r>
            <w:r w:rsidR="0013539C" w:rsidRPr="009869EA">
              <w:t>in place for patients</w:t>
            </w:r>
            <w:r w:rsidR="009869EA">
              <w:t xml:space="preserve"> and staff</w:t>
            </w:r>
            <w:r w:rsidR="0004722C" w:rsidRPr="009869EA">
              <w:t>.</w:t>
            </w:r>
          </w:p>
        </w:tc>
      </w:tr>
    </w:tbl>
    <w:p w14:paraId="2DF810FD" w14:textId="4E3D9A22" w:rsidR="00BA4A2D" w:rsidRDefault="00FF0AF4" w:rsidP="00BA4A2D">
      <w:pPr>
        <w:pStyle w:val="DHHSbullet1"/>
      </w:pPr>
      <w:r>
        <w:t>A Code Grey response may be required to support</w:t>
      </w:r>
      <w:r w:rsidR="002B00FD">
        <w:t xml:space="preserve"> patient management.</w:t>
      </w:r>
      <w:r w:rsidR="004203D4">
        <w:t xml:space="preserve"> </w:t>
      </w:r>
      <w:r w:rsidR="002B00FD">
        <w:t>A Code Grey response is</w:t>
      </w:r>
      <w:r>
        <w:t xml:space="preserve"> a coordinated clinical and security response to actual or potential aggression or violence.</w:t>
      </w:r>
    </w:p>
    <w:p w14:paraId="20B0763B" w14:textId="77777777" w:rsidR="009457BF" w:rsidRDefault="00B566A2" w:rsidP="004203D4">
      <w:pPr>
        <w:pStyle w:val="Heading3"/>
      </w:pPr>
      <w:r>
        <w:t>Staff care and support</w:t>
      </w:r>
      <w:r w:rsidR="005F3DDA">
        <w:t xml:space="preserve"> </w:t>
      </w:r>
    </w:p>
    <w:p w14:paraId="16E65C85" w14:textId="361C2BB8" w:rsidR="00FB27BE" w:rsidRDefault="00FB27BE" w:rsidP="00FB27BE">
      <w:pPr>
        <w:pStyle w:val="DHHSbullet1"/>
      </w:pPr>
      <w:r>
        <w:t xml:space="preserve">All staff required to work in the behavioural assessment room or </w:t>
      </w:r>
      <w:r w:rsidR="00492E31">
        <w:t xml:space="preserve">to </w:t>
      </w:r>
      <w:r>
        <w:t xml:space="preserve">be involved in an incident that may occur in the room (Code Grey response team) </w:t>
      </w:r>
      <w:r w:rsidR="009B6F56">
        <w:t>should</w:t>
      </w:r>
      <w:r>
        <w:t xml:space="preserve"> be trained on the use and requirements of the behavioural assessment room and its related policies.</w:t>
      </w:r>
    </w:p>
    <w:p w14:paraId="701A9942" w14:textId="713FDF68" w:rsidR="00FB27BE" w:rsidRDefault="00FB27BE" w:rsidP="00FB27BE">
      <w:pPr>
        <w:pStyle w:val="DHHSbullet1"/>
      </w:pPr>
      <w:r w:rsidRPr="004C4A12">
        <w:t xml:space="preserve">The senior </w:t>
      </w:r>
      <w:r w:rsidR="00F768ED">
        <w:t>health practitioner</w:t>
      </w:r>
      <w:r w:rsidRPr="004C4A12">
        <w:t>(s)</w:t>
      </w:r>
      <w:r>
        <w:t xml:space="preserve"> designated with the authority to use the behavioural assessment room should be identified at the </w:t>
      </w:r>
      <w:r w:rsidR="00492E31">
        <w:t xml:space="preserve">beginning </w:t>
      </w:r>
      <w:r>
        <w:t>of each shift in the emergency department.</w:t>
      </w:r>
    </w:p>
    <w:p w14:paraId="1D21E01B" w14:textId="3A6A8919" w:rsidR="00424BE6" w:rsidRDefault="00424BE6" w:rsidP="00424BE6">
      <w:pPr>
        <w:pStyle w:val="DHHSbullet1"/>
      </w:pPr>
      <w:r>
        <w:t xml:space="preserve">Health services </w:t>
      </w:r>
      <w:r w:rsidR="00EF7896">
        <w:t xml:space="preserve">should </w:t>
      </w:r>
      <w:r>
        <w:t xml:space="preserve">have </w:t>
      </w:r>
      <w:r w:rsidR="008267B3">
        <w:t>policies</w:t>
      </w:r>
      <w:r>
        <w:t xml:space="preserve"> and procedures in place that support ‘specialling’ or </w:t>
      </w:r>
      <w:r w:rsidR="00B30E0F">
        <w:t xml:space="preserve">one-to-one </w:t>
      </w:r>
      <w:r w:rsidR="003F727B">
        <w:t xml:space="preserve">nursing </w:t>
      </w:r>
      <w:r>
        <w:t>care, staffing arrange</w:t>
      </w:r>
      <w:r w:rsidR="00EF7896">
        <w:t>ments that can provide for this,</w:t>
      </w:r>
      <w:r>
        <w:t xml:space="preserve"> and backfilling for circumstances when a patient is restrained in the behavioural assessment</w:t>
      </w:r>
      <w:r w:rsidR="00EF7896">
        <w:t xml:space="preserve"> room</w:t>
      </w:r>
      <w:r>
        <w:t>.</w:t>
      </w:r>
    </w:p>
    <w:p w14:paraId="6A1985A2" w14:textId="242FE5C9" w:rsidR="00FB27BE" w:rsidRDefault="00FB27BE" w:rsidP="00FB27BE">
      <w:pPr>
        <w:pStyle w:val="DHHSbullet1"/>
      </w:pPr>
      <w:r>
        <w:t xml:space="preserve">A Code Grey or Code Black response may be required to </w:t>
      </w:r>
      <w:r w:rsidR="00B30E0F">
        <w:t xml:space="preserve">protect </w:t>
      </w:r>
      <w:r>
        <w:t>staff.</w:t>
      </w:r>
    </w:p>
    <w:p w14:paraId="70287EBA" w14:textId="6F59B68A" w:rsidR="00FB27BE" w:rsidRDefault="00FB27BE" w:rsidP="00FB27BE">
      <w:pPr>
        <w:pStyle w:val="DHHSbullet1"/>
      </w:pPr>
      <w:r>
        <w:t xml:space="preserve">Health services </w:t>
      </w:r>
      <w:r w:rsidR="00EF7896">
        <w:t xml:space="preserve">should </w:t>
      </w:r>
      <w:r>
        <w:t>have a policy in place that allows any staff member who requires support to call a Code Grey.</w:t>
      </w:r>
    </w:p>
    <w:p w14:paraId="32E7FFEE" w14:textId="78828E68" w:rsidR="00AC5694" w:rsidRDefault="00AC5694" w:rsidP="00FB27BE">
      <w:pPr>
        <w:pStyle w:val="DHHSbullet1"/>
      </w:pPr>
      <w:r>
        <w:t xml:space="preserve">Health services </w:t>
      </w:r>
      <w:r w:rsidR="00EF7896">
        <w:t xml:space="preserve">should </w:t>
      </w:r>
      <w:r>
        <w:t xml:space="preserve">have a risk mitigation strategy </w:t>
      </w:r>
      <w:r w:rsidR="00B30E0F">
        <w:t xml:space="preserve">in place regarding </w:t>
      </w:r>
      <w:r>
        <w:t>the level of security required to support the behavioural assessment room.</w:t>
      </w:r>
    </w:p>
    <w:p w14:paraId="61E312A0" w14:textId="059B9901" w:rsidR="00FB27BE" w:rsidRPr="009457BF" w:rsidRDefault="00FB27BE" w:rsidP="00FB27BE">
      <w:pPr>
        <w:pStyle w:val="DHHSbullet1"/>
      </w:pPr>
      <w:r>
        <w:t>If an incident occurs in the behavioural assessment room an incident report should be completed in accordance with local policy.</w:t>
      </w:r>
    </w:p>
    <w:p w14:paraId="2CB47161" w14:textId="076449B6" w:rsidR="009457BF" w:rsidRDefault="00EF7896" w:rsidP="00A71B6E">
      <w:pPr>
        <w:pStyle w:val="DHHSbullet1"/>
      </w:pPr>
      <w:r>
        <w:t>If an incident occurs</w:t>
      </w:r>
      <w:r w:rsidR="00B30E0F">
        <w:t>,</w:t>
      </w:r>
      <w:r w:rsidR="00FB27BE">
        <w:t xml:space="preserve"> p</w:t>
      </w:r>
      <w:r w:rsidR="009457BF" w:rsidRPr="0004722C">
        <w:t xml:space="preserve">ost-incident support processes </w:t>
      </w:r>
      <w:r w:rsidR="009B6F56">
        <w:t>should</w:t>
      </w:r>
      <w:r w:rsidR="009457BF">
        <w:t xml:space="preserve"> be</w:t>
      </w:r>
      <w:r w:rsidR="009457BF" w:rsidRPr="0004722C">
        <w:t xml:space="preserve"> in place for staff and patients and</w:t>
      </w:r>
      <w:r>
        <w:t xml:space="preserve"> should</w:t>
      </w:r>
      <w:r w:rsidR="009457BF" w:rsidRPr="0004722C">
        <w:t xml:space="preserve"> include immediate and follow-up support.</w:t>
      </w:r>
    </w:p>
    <w:p w14:paraId="216E55B4" w14:textId="2D6C79BA" w:rsidR="009457BF" w:rsidRDefault="009457BF" w:rsidP="00A71B6E">
      <w:pPr>
        <w:pStyle w:val="DHHSbullet1"/>
      </w:pPr>
      <w:r>
        <w:t xml:space="preserve">All staff exposed to occupational violence and aggression </w:t>
      </w:r>
      <w:r w:rsidR="009B6F56">
        <w:t>should</w:t>
      </w:r>
      <w:r>
        <w:t xml:space="preserve"> be able to receive post-incident support</w:t>
      </w:r>
      <w:r w:rsidR="00AC5694">
        <w:t xml:space="preserve"> as per local procedure</w:t>
      </w:r>
      <w:r w:rsidR="00B30E0F">
        <w:t>s</w:t>
      </w:r>
      <w:r>
        <w:t>.</w:t>
      </w:r>
      <w:r w:rsidR="004203D4">
        <w:t xml:space="preserve"> </w:t>
      </w:r>
    </w:p>
    <w:p w14:paraId="3CE3924F" w14:textId="5C360C4A" w:rsidR="00A2362C" w:rsidRDefault="00D96DD2" w:rsidP="004203D4">
      <w:pPr>
        <w:pStyle w:val="Heading3"/>
      </w:pPr>
      <w:r w:rsidRPr="002F6F01">
        <w:t>Documentation, r</w:t>
      </w:r>
      <w:r w:rsidR="00355785" w:rsidRPr="002F6F01">
        <w:t>eporting</w:t>
      </w:r>
      <w:r w:rsidR="000F61CD" w:rsidRPr="002F6F01">
        <w:t xml:space="preserve"> and evaluation</w:t>
      </w:r>
    </w:p>
    <w:p w14:paraId="0170BD04" w14:textId="439E1581" w:rsidR="00C31425" w:rsidRPr="00D96DD2" w:rsidRDefault="00C31425" w:rsidP="00C31425">
      <w:pPr>
        <w:pStyle w:val="DHHSbullet1"/>
      </w:pPr>
      <w:r>
        <w:t>The r</w:t>
      </w:r>
      <w:r w:rsidRPr="00D96DD2">
        <w:t>ationale for us</w:t>
      </w:r>
      <w:r w:rsidR="00B30E0F">
        <w:t>ing</w:t>
      </w:r>
      <w:r w:rsidRPr="00D96DD2">
        <w:t xml:space="preserve"> the </w:t>
      </w:r>
      <w:r w:rsidR="006431DC">
        <w:t>behavioural assessment room</w:t>
      </w:r>
      <w:r w:rsidRPr="00D96DD2">
        <w:t xml:space="preserve"> </w:t>
      </w:r>
      <w:r>
        <w:t xml:space="preserve">for each patient </w:t>
      </w:r>
      <w:r w:rsidR="009B6F56">
        <w:t>should</w:t>
      </w:r>
      <w:r w:rsidR="00D0765A">
        <w:t xml:space="preserve"> </w:t>
      </w:r>
      <w:r>
        <w:t>be documented.</w:t>
      </w:r>
    </w:p>
    <w:p w14:paraId="6A1F5DEA" w14:textId="77777777" w:rsidR="00D726A3" w:rsidRDefault="00D726A3" w:rsidP="00D96DD2">
      <w:pPr>
        <w:pStyle w:val="DHHSbullet1"/>
      </w:pPr>
      <w:r>
        <w:t>The frequency of observations of vital signs or the need for continuous monitoring of vital signs should be documented.</w:t>
      </w:r>
    </w:p>
    <w:p w14:paraId="5D0FED89" w14:textId="5062BA5D" w:rsidR="0013270F" w:rsidRPr="00D96DD2" w:rsidRDefault="00D96DD2" w:rsidP="00D96DD2">
      <w:pPr>
        <w:pStyle w:val="DHHSbullet1"/>
      </w:pPr>
      <w:r w:rsidRPr="00D96DD2">
        <w:t>Documentation</w:t>
      </w:r>
      <w:r>
        <w:t xml:space="preserve"> while a patient is in the </w:t>
      </w:r>
      <w:r w:rsidR="006431DC">
        <w:t>behavioural assessment room</w:t>
      </w:r>
      <w:r>
        <w:t xml:space="preserve"> </w:t>
      </w:r>
      <w:r w:rsidR="009B6F56">
        <w:t>should</w:t>
      </w:r>
      <w:r w:rsidR="00D0765A">
        <w:t xml:space="preserve"> </w:t>
      </w:r>
      <w:r w:rsidR="0013270F" w:rsidRPr="00D96DD2">
        <w:t>be ongoing, timely and accurate</w:t>
      </w:r>
      <w:r>
        <w:t>.</w:t>
      </w:r>
      <w:r w:rsidR="00D726A3">
        <w:t xml:space="preserve">  </w:t>
      </w:r>
    </w:p>
    <w:p w14:paraId="47188B9E" w14:textId="3600EA68" w:rsidR="00BA4A2D" w:rsidRDefault="003023FE" w:rsidP="00BA4A2D">
      <w:pPr>
        <w:pStyle w:val="DHHSbullet1"/>
        <w:rPr>
          <w:lang w:eastAsia="en-AU"/>
        </w:rPr>
      </w:pPr>
      <w:r>
        <w:t xml:space="preserve">When </w:t>
      </w:r>
      <w:r w:rsidR="005F5D8D">
        <w:t xml:space="preserve">bodily </w:t>
      </w:r>
      <w:r>
        <w:t>restraint</w:t>
      </w:r>
      <w:r w:rsidR="005F5D8D">
        <w:t xml:space="preserve"> is used</w:t>
      </w:r>
      <w:r w:rsidR="00B30E0F">
        <w:t>,</w:t>
      </w:r>
      <w:r>
        <w:t xml:space="preserve"> documentation</w:t>
      </w:r>
      <w:r w:rsidR="008B4A1A">
        <w:t xml:space="preserve"> and reporting</w:t>
      </w:r>
      <w:r>
        <w:t xml:space="preserve"> </w:t>
      </w:r>
      <w:r w:rsidR="00281D9C">
        <w:t xml:space="preserve">as required by the </w:t>
      </w:r>
      <w:r w:rsidR="00281D9C" w:rsidRPr="009A35BD">
        <w:t>Mental Health Act</w:t>
      </w:r>
      <w:r w:rsidR="00281D9C" w:rsidRPr="005F5D8D">
        <w:rPr>
          <w:i/>
        </w:rPr>
        <w:t xml:space="preserve"> </w:t>
      </w:r>
      <w:r w:rsidR="009B6F56">
        <w:t>should</w:t>
      </w:r>
      <w:r>
        <w:t xml:space="preserve"> be complied with</w:t>
      </w:r>
      <w:r w:rsidRPr="00355785">
        <w:t xml:space="preserve"> </w:t>
      </w:r>
      <w:r>
        <w:t>when applicab</w:t>
      </w:r>
      <w:r w:rsidR="00281D9C">
        <w:t>le</w:t>
      </w:r>
      <w:r w:rsidR="00D96DD2">
        <w:t>.</w:t>
      </w:r>
      <w:r w:rsidR="004203D4">
        <w:t xml:space="preserve"> </w:t>
      </w:r>
      <w:r w:rsidR="005F5D8D">
        <w:t>D</w:t>
      </w:r>
      <w:r w:rsidR="005F5D8D">
        <w:rPr>
          <w:lang w:eastAsia="en-AU"/>
        </w:rPr>
        <w:t>ocumentation</w:t>
      </w:r>
      <w:r w:rsidR="00BA4A2D">
        <w:rPr>
          <w:lang w:eastAsia="en-AU"/>
        </w:rPr>
        <w:t xml:space="preserve"> </w:t>
      </w:r>
      <w:r w:rsidR="005F5D8D">
        <w:rPr>
          <w:lang w:eastAsia="en-AU"/>
        </w:rPr>
        <w:t xml:space="preserve">requirements </w:t>
      </w:r>
      <w:r w:rsidR="00BA4A2D">
        <w:rPr>
          <w:lang w:eastAsia="en-AU"/>
        </w:rPr>
        <w:t xml:space="preserve">as per the </w:t>
      </w:r>
      <w:r w:rsidR="005F5D8D">
        <w:rPr>
          <w:lang w:eastAsia="en-AU"/>
        </w:rPr>
        <w:t xml:space="preserve">health </w:t>
      </w:r>
      <w:r w:rsidR="00BA4A2D">
        <w:rPr>
          <w:lang w:eastAsia="en-AU"/>
        </w:rPr>
        <w:t>service's restraint</w:t>
      </w:r>
      <w:r w:rsidR="005F5D8D">
        <w:rPr>
          <w:lang w:eastAsia="en-AU"/>
        </w:rPr>
        <w:t xml:space="preserve"> and sedation</w:t>
      </w:r>
      <w:r w:rsidR="00BA4A2D">
        <w:rPr>
          <w:lang w:eastAsia="en-AU"/>
        </w:rPr>
        <w:t xml:space="preserve"> procedures </w:t>
      </w:r>
      <w:r w:rsidR="00EF7896">
        <w:rPr>
          <w:lang w:eastAsia="en-AU"/>
        </w:rPr>
        <w:t>should be adhered to</w:t>
      </w:r>
      <w:r w:rsidR="00BA4A2D">
        <w:rPr>
          <w:lang w:eastAsia="en-AU"/>
        </w:rPr>
        <w:t>.</w:t>
      </w:r>
    </w:p>
    <w:p w14:paraId="13B11274" w14:textId="547888EF" w:rsidR="00A71B6E" w:rsidRPr="009E3958" w:rsidRDefault="00A71B6E" w:rsidP="00A71B6E">
      <w:pPr>
        <w:pStyle w:val="DHHSbullet1"/>
      </w:pPr>
      <w:r w:rsidRPr="009E3958">
        <w:lastRenderedPageBreak/>
        <w:t xml:space="preserve">The use and processes of a </w:t>
      </w:r>
      <w:r w:rsidR="006431DC">
        <w:t>behavioural assessment room</w:t>
      </w:r>
      <w:r w:rsidRPr="009E3958">
        <w:t xml:space="preserve"> should be subject to</w:t>
      </w:r>
      <w:r>
        <w:t xml:space="preserve"> data collection,</w:t>
      </w:r>
      <w:r w:rsidRPr="009E3958">
        <w:t xml:space="preserve"> monitoring, reporting</w:t>
      </w:r>
      <w:r w:rsidR="00B30E0F">
        <w:t>,</w:t>
      </w:r>
      <w:r w:rsidRPr="009E3958">
        <w:t xml:space="preserve"> evaluation</w:t>
      </w:r>
      <w:r>
        <w:t xml:space="preserve"> and regular environmental audits</w:t>
      </w:r>
      <w:r w:rsidR="005F152C">
        <w:t xml:space="preserve"> and clinical audits</w:t>
      </w:r>
      <w:r w:rsidRPr="009E3958">
        <w:t>.</w:t>
      </w:r>
      <w:r w:rsidR="004203D4">
        <w:t xml:space="preserve"> </w:t>
      </w:r>
      <w:r w:rsidRPr="009E3958">
        <w:t xml:space="preserve"> </w:t>
      </w:r>
    </w:p>
    <w:p w14:paraId="0B1DAEC1" w14:textId="77777777" w:rsidR="00D96DD2" w:rsidRDefault="001658A2" w:rsidP="00D96DD2">
      <w:pPr>
        <w:pStyle w:val="DHHSbullet1"/>
      </w:pPr>
      <w:r>
        <w:t>R</w:t>
      </w:r>
      <w:r w:rsidR="00D96DD2">
        <w:t>eport</w:t>
      </w:r>
      <w:r>
        <w:t>ing</w:t>
      </w:r>
      <w:r w:rsidR="00D96DD2">
        <w:t xml:space="preserve"> </w:t>
      </w:r>
      <w:r>
        <w:t xml:space="preserve">should </w:t>
      </w:r>
      <w:r w:rsidR="00C31425">
        <w:t xml:space="preserve">link with </w:t>
      </w:r>
      <w:r w:rsidR="00C31425">
        <w:rPr>
          <w:lang w:eastAsia="en-AU"/>
        </w:rPr>
        <w:t>local incident reporting and Code Grey reporting where applicable.</w:t>
      </w:r>
    </w:p>
    <w:p w14:paraId="0CC5E7F3" w14:textId="77777777" w:rsidR="00355785" w:rsidRDefault="0009169F" w:rsidP="00D96DD2">
      <w:pPr>
        <w:pStyle w:val="DHHSbullet1"/>
      </w:pPr>
      <w:r>
        <w:t>Data collection, r</w:t>
      </w:r>
      <w:r w:rsidR="00D96DD2">
        <w:t xml:space="preserve">eporting and evaluation </w:t>
      </w:r>
      <w:r w:rsidR="00355785">
        <w:t>should include but not necessarily be limited to:</w:t>
      </w:r>
    </w:p>
    <w:p w14:paraId="1F6013D8" w14:textId="37EFF3BE" w:rsidR="00C31425" w:rsidRDefault="00B30E0F" w:rsidP="00C31425">
      <w:pPr>
        <w:pStyle w:val="DHHSbullet2"/>
      </w:pPr>
      <w:r>
        <w:t xml:space="preserve">the </w:t>
      </w:r>
      <w:r w:rsidR="00142126">
        <w:t>n</w:t>
      </w:r>
      <w:r w:rsidR="00355785">
        <w:t>umber of occasions of use</w:t>
      </w:r>
      <w:r w:rsidR="001E575E">
        <w:t>,</w:t>
      </w:r>
      <w:r>
        <w:t xml:space="preserve"> the</w:t>
      </w:r>
      <w:r w:rsidR="001E575E">
        <w:t xml:space="preserve"> </w:t>
      </w:r>
      <w:r w:rsidR="004C4A12">
        <w:t>number of patients</w:t>
      </w:r>
      <w:r>
        <w:t xml:space="preserve"> who have used the room</w:t>
      </w:r>
      <w:r w:rsidR="004C4A12">
        <w:t xml:space="preserve">, </w:t>
      </w:r>
      <w:r w:rsidR="00142126">
        <w:t>c</w:t>
      </w:r>
      <w:r w:rsidR="00355785">
        <w:t>ompliance with criteria for use</w:t>
      </w:r>
      <w:r w:rsidR="001E575E">
        <w:t xml:space="preserve">, </w:t>
      </w:r>
      <w:r>
        <w:t xml:space="preserve">the </w:t>
      </w:r>
      <w:r w:rsidR="00142126">
        <w:t>r</w:t>
      </w:r>
      <w:r w:rsidR="001E575E">
        <w:t>easons for use,</w:t>
      </w:r>
      <w:r w:rsidR="00234F2F">
        <w:t xml:space="preserve"> </w:t>
      </w:r>
      <w:r w:rsidR="00D726A3">
        <w:t xml:space="preserve">diagnoses, </w:t>
      </w:r>
      <w:r w:rsidR="00142126">
        <w:t>t</w:t>
      </w:r>
      <w:r w:rsidR="00355785">
        <w:t xml:space="preserve">ime </w:t>
      </w:r>
      <w:r w:rsidR="001E575E">
        <w:t xml:space="preserve">spent in the room, </w:t>
      </w:r>
      <w:r w:rsidR="00142126">
        <w:t>c</w:t>
      </w:r>
      <w:r w:rsidR="00355785">
        <w:t>linical adverse events involving patients or staff</w:t>
      </w:r>
      <w:r w:rsidR="001E575E">
        <w:t xml:space="preserve">, </w:t>
      </w:r>
      <w:r w:rsidR="00142126">
        <w:t>c</w:t>
      </w:r>
      <w:r w:rsidR="00355785">
        <w:t>omplaints</w:t>
      </w:r>
      <w:r w:rsidR="001E575E">
        <w:t xml:space="preserve">, </w:t>
      </w:r>
      <w:r w:rsidR="00142126">
        <w:t>r</w:t>
      </w:r>
      <w:r w:rsidR="00355785">
        <w:t>estraint use</w:t>
      </w:r>
      <w:r w:rsidR="00D726A3">
        <w:t xml:space="preserve"> and total minutes of restraint</w:t>
      </w:r>
      <w:r w:rsidR="00355785">
        <w:t xml:space="preserve">, </w:t>
      </w:r>
      <w:r w:rsidR="00142126">
        <w:t>s</w:t>
      </w:r>
      <w:r w:rsidR="00355785">
        <w:t>edation use,</w:t>
      </w:r>
      <w:r w:rsidR="001658A2">
        <w:t xml:space="preserve"> injuries to staff or patients,</w:t>
      </w:r>
      <w:r w:rsidR="00355785">
        <w:t xml:space="preserve"> </w:t>
      </w:r>
      <w:r>
        <w:t xml:space="preserve">the </w:t>
      </w:r>
      <w:r w:rsidR="001658A2">
        <w:t xml:space="preserve">number of Code Grey and Code Black responses, </w:t>
      </w:r>
      <w:r w:rsidR="00142126">
        <w:t>p</w:t>
      </w:r>
      <w:r w:rsidR="002F6F01">
        <w:t>atient/f</w:t>
      </w:r>
      <w:bookmarkStart w:id="3" w:name="_GoBack"/>
      <w:bookmarkEnd w:id="3"/>
      <w:r w:rsidR="002F6F01">
        <w:t xml:space="preserve">amily/carer satisfaction and </w:t>
      </w:r>
      <w:r w:rsidR="00355785">
        <w:t>feedback</w:t>
      </w:r>
      <w:r w:rsidR="002F6F01">
        <w:t xml:space="preserve">, </w:t>
      </w:r>
      <w:r w:rsidR="00142126">
        <w:t>s</w:t>
      </w:r>
      <w:r w:rsidR="002F6F01">
        <w:t xml:space="preserve">taff satisfaction and feedback, </w:t>
      </w:r>
      <w:r>
        <w:t xml:space="preserve">and </w:t>
      </w:r>
      <w:r w:rsidR="00142126">
        <w:t>s</w:t>
      </w:r>
      <w:r w:rsidR="002F6F01">
        <w:t>takeholder satisfaction and feedback</w:t>
      </w:r>
      <w:r w:rsidR="00234F2F">
        <w:t>.</w:t>
      </w:r>
    </w:p>
    <w:p w14:paraId="43E612A5" w14:textId="77777777" w:rsidR="0013270F" w:rsidRDefault="00077BC2" w:rsidP="004203D4">
      <w:pPr>
        <w:pStyle w:val="Heading3"/>
      </w:pPr>
      <w:r w:rsidRPr="00691006">
        <w:t>Room d</w:t>
      </w:r>
      <w:r w:rsidR="0013270F" w:rsidRPr="00691006">
        <w:t xml:space="preserve">esign </w:t>
      </w:r>
      <w:r w:rsidRPr="00691006">
        <w:t>and equipment</w:t>
      </w:r>
    </w:p>
    <w:p w14:paraId="6C66213A" w14:textId="33A617E1" w:rsidR="00A0491D" w:rsidRDefault="00A0491D" w:rsidP="00A0491D">
      <w:pPr>
        <w:pStyle w:val="DHHSbullet1"/>
      </w:pPr>
      <w:r w:rsidRPr="00A0491D">
        <w:t xml:space="preserve">A </w:t>
      </w:r>
      <w:r w:rsidR="006431DC">
        <w:t>behavioural assessment room</w:t>
      </w:r>
      <w:r w:rsidRPr="00A0491D">
        <w:t xml:space="preserve"> is purpose</w:t>
      </w:r>
      <w:r w:rsidR="00B30E0F">
        <w:t>-</w:t>
      </w:r>
      <w:r w:rsidRPr="00A0491D">
        <w:t xml:space="preserve">designed to provide a safe space </w:t>
      </w:r>
      <w:r w:rsidR="00B30E0F">
        <w:t xml:space="preserve">to </w:t>
      </w:r>
      <w:r>
        <w:t xml:space="preserve">assess and manage emergency department patients </w:t>
      </w:r>
      <w:r w:rsidR="007A6216">
        <w:t xml:space="preserve">who </w:t>
      </w:r>
      <w:r>
        <w:t>exhibit aggression or violence that places themselves or others at risk</w:t>
      </w:r>
      <w:r w:rsidR="00A93F2D">
        <w:t xml:space="preserve"> of harm</w:t>
      </w:r>
      <w:r w:rsidRPr="00A0491D">
        <w:t xml:space="preserve">. </w:t>
      </w:r>
    </w:p>
    <w:p w14:paraId="25158D62" w14:textId="31CBB719" w:rsidR="00691006" w:rsidRDefault="00691006" w:rsidP="00691006">
      <w:pPr>
        <w:pStyle w:val="DHHSbullet1"/>
      </w:pPr>
      <w:r w:rsidRPr="006164B1">
        <w:t xml:space="preserve">The room </w:t>
      </w:r>
      <w:r w:rsidR="006537AB">
        <w:t>should</w:t>
      </w:r>
      <w:r w:rsidRPr="006164B1">
        <w:t xml:space="preserve"> meet all relevant specifications of the </w:t>
      </w:r>
      <w:r w:rsidRPr="00AC5694">
        <w:rPr>
          <w:i/>
        </w:rPr>
        <w:t>Australasian Health Facility Guidelines</w:t>
      </w:r>
      <w:r w:rsidR="002A3482">
        <w:t xml:space="preserve"> (</w:t>
      </w:r>
      <w:r w:rsidR="002A3482" w:rsidRPr="00AC5694">
        <w:t>Part B: Health Facility Briefing and Planning,</w:t>
      </w:r>
      <w:r w:rsidR="002A3482">
        <w:t xml:space="preserve"> Health Planning Units, </w:t>
      </w:r>
      <w:r w:rsidR="002A3482" w:rsidRPr="00AC5694">
        <w:t>B.0300 Emergency Unit)</w:t>
      </w:r>
      <w:r w:rsidRPr="006164B1">
        <w:t>.</w:t>
      </w:r>
    </w:p>
    <w:p w14:paraId="0E12927A" w14:textId="3B134EA3" w:rsidR="002A3482" w:rsidRPr="006164B1" w:rsidRDefault="002A3482" w:rsidP="00014CE1">
      <w:pPr>
        <w:pStyle w:val="DHHSbullet2"/>
      </w:pPr>
      <w:r w:rsidRPr="00014CE1">
        <w:t xml:space="preserve">These rooms </w:t>
      </w:r>
      <w:r w:rsidR="00EF7896">
        <w:t>should</w:t>
      </w:r>
      <w:r w:rsidRPr="00014CE1">
        <w:t xml:space="preserve"> be located so they can be easily supervised and provide a direct line of sight </w:t>
      </w:r>
      <w:r w:rsidR="007A6216">
        <w:t>from</w:t>
      </w:r>
      <w:r w:rsidRPr="00014CE1">
        <w:t xml:space="preserve"> a staff station, minimise disturbance to other patients, protect the privacy and dignity of the patient and consider paths of access to and from the room including access to ensuite facilities. </w:t>
      </w:r>
    </w:p>
    <w:p w14:paraId="370C9A6E" w14:textId="5D6BEB56" w:rsidR="005B51A1" w:rsidRPr="00A0491D" w:rsidRDefault="00EF7896" w:rsidP="005B51A1">
      <w:pPr>
        <w:pStyle w:val="DHHSbullet1"/>
      </w:pPr>
      <w:r>
        <w:t>The r</w:t>
      </w:r>
      <w:r w:rsidR="00154D5D">
        <w:t>oom should be no smaller than 16</w:t>
      </w:r>
      <w:r w:rsidR="005B51A1" w:rsidRPr="00A0491D">
        <w:t>m</w:t>
      </w:r>
      <w:r w:rsidR="005B51A1" w:rsidRPr="0009169F">
        <w:rPr>
          <w:vertAlign w:val="superscript"/>
        </w:rPr>
        <w:t>2</w:t>
      </w:r>
      <w:r w:rsidR="005B51A1" w:rsidRPr="00A0491D">
        <w:t>.</w:t>
      </w:r>
    </w:p>
    <w:p w14:paraId="3EFE79D6" w14:textId="317069A1" w:rsidR="00A0491D" w:rsidRDefault="00A0491D" w:rsidP="00A0491D">
      <w:pPr>
        <w:pStyle w:val="DHHSbullet1"/>
      </w:pPr>
      <w:r w:rsidRPr="00A0491D">
        <w:t xml:space="preserve">The room </w:t>
      </w:r>
      <w:r w:rsidR="009B6F56">
        <w:t>should</w:t>
      </w:r>
      <w:r w:rsidR="00250F7D" w:rsidRPr="00A0491D">
        <w:t xml:space="preserve"> </w:t>
      </w:r>
      <w:r w:rsidRPr="00A0491D">
        <w:t xml:space="preserve">have two </w:t>
      </w:r>
      <w:r w:rsidR="007A6216">
        <w:t>entry/exit doors</w:t>
      </w:r>
      <w:r w:rsidRPr="00A0491D">
        <w:t xml:space="preserve"> to </w:t>
      </w:r>
      <w:r w:rsidR="007A6216">
        <w:t xml:space="preserve">ensure </w:t>
      </w:r>
      <w:r w:rsidRPr="00A0491D">
        <w:t xml:space="preserve">safe access </w:t>
      </w:r>
      <w:r w:rsidR="007A6216">
        <w:t xml:space="preserve">to and </w:t>
      </w:r>
      <w:r w:rsidRPr="00A0491D">
        <w:t xml:space="preserve">from the room. </w:t>
      </w:r>
    </w:p>
    <w:p w14:paraId="49094C73" w14:textId="19E77124" w:rsidR="005B51A1" w:rsidRDefault="00EF7896" w:rsidP="005B51A1">
      <w:pPr>
        <w:pStyle w:val="DHHSbullet1"/>
        <w:rPr>
          <w:lang w:eastAsia="en-AU"/>
        </w:rPr>
      </w:pPr>
      <w:r>
        <w:rPr>
          <w:lang w:eastAsia="en-AU"/>
        </w:rPr>
        <w:t>The room</w:t>
      </w:r>
      <w:r w:rsidR="005B51A1">
        <w:rPr>
          <w:lang w:eastAsia="en-AU"/>
        </w:rPr>
        <w:t xml:space="preserve"> should be square-shaped</w:t>
      </w:r>
      <w:r w:rsidR="005B51A1">
        <w:rPr>
          <w:rFonts w:ascii="Times New Roman" w:hAnsi="Times New Roman"/>
          <w:lang w:eastAsia="en-AU"/>
        </w:rPr>
        <w:t xml:space="preserve">, </w:t>
      </w:r>
      <w:r w:rsidR="005B51A1">
        <w:rPr>
          <w:lang w:eastAsia="en-AU"/>
        </w:rPr>
        <w:t xml:space="preserve">have controlled access and </w:t>
      </w:r>
      <w:r w:rsidR="007A6216">
        <w:rPr>
          <w:lang w:eastAsia="en-AU"/>
        </w:rPr>
        <w:t xml:space="preserve">be fitted with a </w:t>
      </w:r>
      <w:r w:rsidR="005B51A1">
        <w:rPr>
          <w:lang w:eastAsia="en-AU"/>
        </w:rPr>
        <w:t xml:space="preserve">duress </w:t>
      </w:r>
      <w:r w:rsidR="00530358">
        <w:rPr>
          <w:lang w:eastAsia="en-AU"/>
        </w:rPr>
        <w:t>alarm.</w:t>
      </w:r>
    </w:p>
    <w:p w14:paraId="40B45F49" w14:textId="59EF22B0" w:rsidR="005B51A1" w:rsidRPr="005B51A1" w:rsidRDefault="005B51A1" w:rsidP="005B51A1">
      <w:pPr>
        <w:pStyle w:val="DHHSbullet1"/>
        <w:rPr>
          <w:lang w:eastAsia="en-AU"/>
        </w:rPr>
      </w:pPr>
      <w:r w:rsidRPr="00234E2B">
        <w:t>Provisions to allow for observation outside of the room</w:t>
      </w:r>
      <w:r w:rsidR="00EF7896">
        <w:t xml:space="preserve"> should be available</w:t>
      </w:r>
      <w:r w:rsidR="008D0B77">
        <w:t>.</w:t>
      </w:r>
      <w:r w:rsidR="004203D4">
        <w:t xml:space="preserve"> </w:t>
      </w:r>
      <w:r>
        <w:rPr>
          <w:lang w:eastAsia="en-AU"/>
        </w:rPr>
        <w:t>Glass windows should be made of safety/laminated glass.</w:t>
      </w:r>
      <w:r w:rsidR="004203D4">
        <w:rPr>
          <w:lang w:eastAsia="en-AU"/>
        </w:rPr>
        <w:t xml:space="preserve"> </w:t>
      </w:r>
      <w:r w:rsidR="008D0B77">
        <w:rPr>
          <w:lang w:eastAsia="en-AU"/>
        </w:rPr>
        <w:t>Doors should have a viewing panel.</w:t>
      </w:r>
    </w:p>
    <w:p w14:paraId="175153B5" w14:textId="03ECD7BD" w:rsidR="005B51A1" w:rsidRPr="00014CE1" w:rsidRDefault="00A0491D" w:rsidP="005B51A1">
      <w:pPr>
        <w:pStyle w:val="DHHSbullet1"/>
      </w:pPr>
      <w:r w:rsidRPr="00A0491D">
        <w:t xml:space="preserve">Doors should be either </w:t>
      </w:r>
      <w:r w:rsidR="007A6216">
        <w:t xml:space="preserve">extra </w:t>
      </w:r>
      <w:r w:rsidRPr="00A0491D">
        <w:t xml:space="preserve">wide or </w:t>
      </w:r>
      <w:r w:rsidR="00154D5D">
        <w:t xml:space="preserve">1½ door size </w:t>
      </w:r>
      <w:r w:rsidRPr="00A0491D">
        <w:t xml:space="preserve">with </w:t>
      </w:r>
      <w:r w:rsidR="007A6216">
        <w:t xml:space="preserve">a </w:t>
      </w:r>
      <w:r w:rsidRPr="00A0491D">
        <w:t>viewing panel.</w:t>
      </w:r>
      <w:r w:rsidR="004203D4">
        <w:t xml:space="preserve"> </w:t>
      </w:r>
      <w:r w:rsidR="005B51A1">
        <w:rPr>
          <w:lang w:eastAsia="en-AU"/>
        </w:rPr>
        <w:t>Doors should be outward opening.</w:t>
      </w:r>
      <w:r w:rsidR="004203D4">
        <w:rPr>
          <w:lang w:eastAsia="en-AU"/>
        </w:rPr>
        <w:t xml:space="preserve"> </w:t>
      </w:r>
      <w:r w:rsidR="005B51A1">
        <w:rPr>
          <w:lang w:eastAsia="en-AU"/>
        </w:rPr>
        <w:t>Door handles should move in a downward motion or can be non-ligature.</w:t>
      </w:r>
    </w:p>
    <w:p w14:paraId="2A526947" w14:textId="3DAF83C8" w:rsidR="00A0491D" w:rsidRDefault="00EF7896" w:rsidP="00A0491D">
      <w:pPr>
        <w:pStyle w:val="DHHSbullet1"/>
      </w:pPr>
      <w:r>
        <w:t>The r</w:t>
      </w:r>
      <w:r w:rsidR="00A0491D" w:rsidRPr="00A0491D">
        <w:t xml:space="preserve">oom </w:t>
      </w:r>
      <w:r w:rsidR="009B6F56">
        <w:t>should</w:t>
      </w:r>
      <w:r w:rsidR="00A0491D" w:rsidRPr="00A0491D">
        <w:t xml:space="preserve"> be fitted out with anti-ligature fittings and fixtures that are manufactured and marketed as anti-ligature</w:t>
      </w:r>
      <w:r w:rsidRPr="00EF7896">
        <w:t xml:space="preserve"> </w:t>
      </w:r>
      <w:r>
        <w:t>and installed and used in accordance with the manufacturer’s instructions</w:t>
      </w:r>
      <w:r w:rsidR="00A0491D" w:rsidRPr="00A0491D">
        <w:t>.</w:t>
      </w:r>
    </w:p>
    <w:p w14:paraId="3CC255AE" w14:textId="14CC39E6" w:rsidR="005B51A1" w:rsidRPr="00A0491D" w:rsidRDefault="005B51A1" w:rsidP="005B51A1">
      <w:pPr>
        <w:pStyle w:val="DHHSbullet1"/>
      </w:pPr>
      <w:r>
        <w:t>The room s</w:t>
      </w:r>
      <w:r w:rsidR="00EF7896">
        <w:t>hould provide</w:t>
      </w:r>
      <w:r>
        <w:t xml:space="preserve"> o</w:t>
      </w:r>
      <w:r w:rsidRPr="00A0491D">
        <w:t xml:space="preserve">xygen and suction in a locked cupboard </w:t>
      </w:r>
      <w:r>
        <w:t>that can</w:t>
      </w:r>
      <w:r w:rsidRPr="00A0491D">
        <w:t xml:space="preserve"> be accessed quickly. </w:t>
      </w:r>
    </w:p>
    <w:p w14:paraId="332A5C33" w14:textId="631EC157" w:rsidR="005B51A1" w:rsidRPr="00A0491D" w:rsidRDefault="005B51A1" w:rsidP="005B51A1">
      <w:pPr>
        <w:pStyle w:val="DHHSbullet1"/>
      </w:pPr>
      <w:r>
        <w:t>Restraints should be stored out of view.</w:t>
      </w:r>
      <w:r w:rsidR="004203D4">
        <w:t xml:space="preserve"> </w:t>
      </w:r>
    </w:p>
    <w:p w14:paraId="7B1FF0CF" w14:textId="77777777" w:rsidR="005B51A1" w:rsidRPr="00A0491D" w:rsidRDefault="005B51A1" w:rsidP="005B51A1">
      <w:pPr>
        <w:pStyle w:val="DHHSbullet1"/>
      </w:pPr>
      <w:r w:rsidRPr="00A0491D">
        <w:t>Electrical switche</w:t>
      </w:r>
      <w:r>
        <w:t>s</w:t>
      </w:r>
      <w:r w:rsidRPr="00A0491D">
        <w:t xml:space="preserve"> </w:t>
      </w:r>
      <w:r>
        <w:t xml:space="preserve">should be </w:t>
      </w:r>
      <w:r w:rsidRPr="00A0491D">
        <w:t>located outside of the room</w:t>
      </w:r>
      <w:r>
        <w:t>.</w:t>
      </w:r>
    </w:p>
    <w:p w14:paraId="0813D74B" w14:textId="24020EEA" w:rsidR="005B51A1" w:rsidRDefault="005B51A1" w:rsidP="005B51A1">
      <w:pPr>
        <w:pStyle w:val="DHHSbullet1"/>
      </w:pPr>
      <w:r>
        <w:t>A</w:t>
      </w:r>
      <w:r w:rsidRPr="00A0491D">
        <w:t>ir</w:t>
      </w:r>
      <w:r w:rsidR="007A6216">
        <w:t>-</w:t>
      </w:r>
      <w:r w:rsidRPr="00A0491D">
        <w:t xml:space="preserve">conditioning </w:t>
      </w:r>
      <w:r>
        <w:t xml:space="preserve">should be </w:t>
      </w:r>
      <w:r w:rsidRPr="00A0491D">
        <w:t xml:space="preserve">sufficient to support up to </w:t>
      </w:r>
      <w:r w:rsidR="007A6216">
        <w:t>10</w:t>
      </w:r>
      <w:r w:rsidRPr="00A0491D">
        <w:t xml:space="preserve"> people in the room</w:t>
      </w:r>
      <w:r>
        <w:t>.</w:t>
      </w:r>
      <w:r w:rsidRPr="00A0491D">
        <w:t xml:space="preserve"> </w:t>
      </w:r>
    </w:p>
    <w:p w14:paraId="1AA63BF8" w14:textId="6C24039C" w:rsidR="003211D5" w:rsidRPr="00A0491D" w:rsidRDefault="003910C0" w:rsidP="003211D5">
      <w:pPr>
        <w:pStyle w:val="DHHSbullet1"/>
      </w:pPr>
      <w:r>
        <w:t xml:space="preserve">The </w:t>
      </w:r>
      <w:r w:rsidRPr="00A0491D">
        <w:t xml:space="preserve">room </w:t>
      </w:r>
      <w:r>
        <w:t xml:space="preserve">should be </w:t>
      </w:r>
      <w:r w:rsidRPr="00A0491D">
        <w:t xml:space="preserve">sufficiently acoustically treated to minimise disturbance to other areas in the </w:t>
      </w:r>
      <w:r>
        <w:t>e</w:t>
      </w:r>
      <w:r w:rsidRPr="00A0491D">
        <w:t xml:space="preserve">mergency </w:t>
      </w:r>
      <w:r>
        <w:t>d</w:t>
      </w:r>
      <w:r w:rsidRPr="00A0491D">
        <w:t>epartment.</w:t>
      </w:r>
    </w:p>
    <w:p w14:paraId="4DA0DD79" w14:textId="3573567C" w:rsidR="005B51A1" w:rsidRPr="00A0491D" w:rsidRDefault="005B51A1" w:rsidP="00AC5694">
      <w:pPr>
        <w:pStyle w:val="DHHSbullet1"/>
        <w:numPr>
          <w:ilvl w:val="0"/>
          <w:numId w:val="0"/>
        </w:numPr>
        <w:spacing w:before="240"/>
      </w:pPr>
      <w:r>
        <w:t xml:space="preserve">For new </w:t>
      </w:r>
      <w:r w:rsidR="003910C0">
        <w:t xml:space="preserve">capital </w:t>
      </w:r>
      <w:r>
        <w:t>builds</w:t>
      </w:r>
      <w:r w:rsidR="003910C0">
        <w:t xml:space="preserve"> the design of the behavioural assessment room should consider</w:t>
      </w:r>
      <w:r w:rsidR="007A6216">
        <w:t xml:space="preserve"> the following</w:t>
      </w:r>
      <w:r w:rsidR="003910C0">
        <w:t>:</w:t>
      </w:r>
    </w:p>
    <w:p w14:paraId="025DCC11" w14:textId="24C99489" w:rsidR="00154D5D" w:rsidRDefault="00154D5D" w:rsidP="00154D5D">
      <w:pPr>
        <w:pStyle w:val="DHHSbullet1"/>
      </w:pPr>
      <w:r>
        <w:t>The room should be located n</w:t>
      </w:r>
      <w:r w:rsidRPr="00234E2B">
        <w:t xml:space="preserve">ext to triage in the ambulance reception area </w:t>
      </w:r>
      <w:r>
        <w:t>and i</w:t>
      </w:r>
      <w:r w:rsidRPr="00234E2B">
        <w:t xml:space="preserve">mmediately adjacent to the resuscitation cubicles, but </w:t>
      </w:r>
      <w:r w:rsidR="007A6216">
        <w:t xml:space="preserve">be </w:t>
      </w:r>
      <w:r w:rsidRPr="00234E2B">
        <w:t>separated from them by a l</w:t>
      </w:r>
      <w:r>
        <w:t>arge glass security access door.</w:t>
      </w:r>
    </w:p>
    <w:p w14:paraId="0C7745A3" w14:textId="7E02FB4C" w:rsidR="005B51A1" w:rsidRDefault="005B51A1" w:rsidP="005B51A1">
      <w:pPr>
        <w:pStyle w:val="DHHSbullet1"/>
      </w:pPr>
      <w:r w:rsidRPr="00A0491D">
        <w:t xml:space="preserve">The room </w:t>
      </w:r>
      <w:r>
        <w:t>should</w:t>
      </w:r>
      <w:r w:rsidRPr="00A0491D">
        <w:t xml:space="preserve"> </w:t>
      </w:r>
      <w:r>
        <w:t>be l</w:t>
      </w:r>
      <w:r w:rsidRPr="00A0491D">
        <w:t>ocated adjacent to cubicles for flows to and from the room</w:t>
      </w:r>
      <w:r w:rsidR="007A6216">
        <w:t>,</w:t>
      </w:r>
      <w:r>
        <w:t xml:space="preserve"> with s</w:t>
      </w:r>
      <w:r w:rsidRPr="00A0491D">
        <w:t>pace outside the room</w:t>
      </w:r>
      <w:r w:rsidR="007A6216">
        <w:t xml:space="preserve"> that</w:t>
      </w:r>
      <w:r w:rsidRPr="00A0491D">
        <w:t xml:space="preserve"> is not exposed to the public</w:t>
      </w:r>
      <w:r>
        <w:t>.</w:t>
      </w:r>
      <w:r w:rsidRPr="00A0491D">
        <w:t xml:space="preserve"> </w:t>
      </w:r>
    </w:p>
    <w:p w14:paraId="69A1FD6E" w14:textId="7C5CD057" w:rsidR="00014CE1" w:rsidRDefault="00014CE1" w:rsidP="00014CE1">
      <w:pPr>
        <w:pStyle w:val="DHHSbullet1"/>
      </w:pPr>
      <w:r>
        <w:t>A</w:t>
      </w:r>
      <w:r w:rsidRPr="00A0491D">
        <w:t>n ensuite or adjacent bathroom</w:t>
      </w:r>
      <w:r>
        <w:t xml:space="preserve"> is ideal</w:t>
      </w:r>
      <w:r w:rsidR="007A6216">
        <w:t>. R</w:t>
      </w:r>
      <w:r w:rsidRPr="00A0491D">
        <w:t xml:space="preserve">efer </w:t>
      </w:r>
      <w:r>
        <w:t xml:space="preserve">to the </w:t>
      </w:r>
      <w:r w:rsidRPr="005B51A1">
        <w:rPr>
          <w:i/>
        </w:rPr>
        <w:t xml:space="preserve">Australasian </w:t>
      </w:r>
      <w:r w:rsidR="007A6216" w:rsidRPr="005B51A1">
        <w:rPr>
          <w:i/>
        </w:rPr>
        <w:t>health facility guidelines</w:t>
      </w:r>
      <w:r w:rsidR="007A6216">
        <w:t xml:space="preserve"> </w:t>
      </w:r>
      <w:r>
        <w:t xml:space="preserve">for a </w:t>
      </w:r>
      <w:r w:rsidRPr="00A0491D">
        <w:t>mental health ensuite</w:t>
      </w:r>
      <w:r>
        <w:t xml:space="preserve"> for design specifications</w:t>
      </w:r>
      <w:r w:rsidRPr="00A0491D">
        <w:t>.</w:t>
      </w:r>
    </w:p>
    <w:p w14:paraId="4FE6F06A" w14:textId="1B5E2593" w:rsidR="00014CE1" w:rsidRPr="00A0491D" w:rsidRDefault="005B51A1" w:rsidP="003910C0">
      <w:pPr>
        <w:pStyle w:val="DHHSbullet1"/>
      </w:pPr>
      <w:r w:rsidRPr="00A0491D">
        <w:t>Natural light</w:t>
      </w:r>
      <w:r>
        <w:t xml:space="preserve"> is ideal.</w:t>
      </w:r>
    </w:p>
    <w:p w14:paraId="3014D0C1" w14:textId="77777777" w:rsidR="004118FB" w:rsidRDefault="004118FB">
      <w:pPr>
        <w:spacing w:after="0" w:line="240" w:lineRule="auto"/>
        <w:rPr>
          <w:rFonts w:ascii="Arial" w:eastAsia="MS Gothic" w:hAnsi="Arial" w:cs="Times New Roman"/>
          <w:b/>
          <w:bCs/>
          <w:sz w:val="24"/>
          <w:szCs w:val="26"/>
        </w:rPr>
      </w:pPr>
      <w:r>
        <w:br w:type="page"/>
      </w:r>
    </w:p>
    <w:p w14:paraId="7C3F1648" w14:textId="16B16FA5" w:rsidR="009D3FD4" w:rsidRDefault="009D3FD4" w:rsidP="004203D4">
      <w:pPr>
        <w:pStyle w:val="Heading3"/>
      </w:pPr>
      <w:r>
        <w:lastRenderedPageBreak/>
        <w:t xml:space="preserve">Compliance with Victorian </w:t>
      </w:r>
      <w:r w:rsidR="004203D4">
        <w:t>l</w:t>
      </w:r>
      <w:r>
        <w:t>aw</w:t>
      </w:r>
    </w:p>
    <w:p w14:paraId="1B46BC26" w14:textId="79B1C2D2" w:rsidR="009D3FD4" w:rsidRDefault="009D3FD4" w:rsidP="009D3FD4">
      <w:pPr>
        <w:pStyle w:val="DHHSbody"/>
      </w:pPr>
      <w:r>
        <w:t xml:space="preserve">Health </w:t>
      </w:r>
      <w:r w:rsidR="00D3068A">
        <w:t>s</w:t>
      </w:r>
      <w:r>
        <w:t>ervices should ensure the establishment, management and use of the behavioural assessment room is compliant with Victorian legislation including</w:t>
      </w:r>
      <w:r w:rsidR="007A6216">
        <w:t xml:space="preserve"> the</w:t>
      </w:r>
      <w:r>
        <w:t>:</w:t>
      </w:r>
    </w:p>
    <w:p w14:paraId="03ACB82E" w14:textId="338BE202" w:rsidR="009D3FD4" w:rsidRPr="009A35BD" w:rsidRDefault="009D3FD4" w:rsidP="009D3FD4">
      <w:pPr>
        <w:pStyle w:val="DHHSbullet1"/>
        <w:rPr>
          <w:i/>
        </w:rPr>
      </w:pPr>
      <w:r w:rsidRPr="009A35BD">
        <w:rPr>
          <w:i/>
        </w:rPr>
        <w:t>Charter of Human Rights and Responsibilities Act 2006</w:t>
      </w:r>
    </w:p>
    <w:p w14:paraId="14225CEF" w14:textId="186A39FA" w:rsidR="009D3FD4" w:rsidRPr="009A35BD" w:rsidRDefault="009D3FD4" w:rsidP="009D3FD4">
      <w:pPr>
        <w:pStyle w:val="DHHSbullet1"/>
        <w:rPr>
          <w:i/>
        </w:rPr>
      </w:pPr>
      <w:r w:rsidRPr="009A35BD">
        <w:rPr>
          <w:i/>
        </w:rPr>
        <w:t>Health Records Act 2001</w:t>
      </w:r>
    </w:p>
    <w:p w14:paraId="00D1C4AA" w14:textId="3E3ED7BB" w:rsidR="009D3FD4" w:rsidRPr="009A35BD" w:rsidRDefault="009D3FD4" w:rsidP="009D3FD4">
      <w:pPr>
        <w:pStyle w:val="DHHSbullet1"/>
        <w:rPr>
          <w:i/>
        </w:rPr>
      </w:pPr>
      <w:r w:rsidRPr="009A35BD">
        <w:rPr>
          <w:i/>
        </w:rPr>
        <w:t>Mental Health Act 2014</w:t>
      </w:r>
    </w:p>
    <w:p w14:paraId="0F189921" w14:textId="0BE6E559" w:rsidR="009D3FD4" w:rsidRPr="009A35BD" w:rsidRDefault="009D3FD4" w:rsidP="009D3FD4">
      <w:pPr>
        <w:pStyle w:val="DHHSbullet1"/>
        <w:rPr>
          <w:i/>
        </w:rPr>
      </w:pPr>
      <w:r w:rsidRPr="009A35BD">
        <w:rPr>
          <w:i/>
        </w:rPr>
        <w:t xml:space="preserve">Privacy and Data Protection Act 2014 </w:t>
      </w:r>
    </w:p>
    <w:p w14:paraId="0A72686E" w14:textId="33F93497" w:rsidR="009D3FD4" w:rsidRPr="009A35BD" w:rsidRDefault="009D3FD4" w:rsidP="009D3FD4">
      <w:pPr>
        <w:pStyle w:val="DHHSbullet1"/>
        <w:rPr>
          <w:i/>
        </w:rPr>
      </w:pPr>
      <w:r w:rsidRPr="009A35BD">
        <w:rPr>
          <w:i/>
        </w:rPr>
        <w:t>Occupational Health and Safety Act 2004</w:t>
      </w:r>
    </w:p>
    <w:p w14:paraId="621D000E" w14:textId="7A63539A" w:rsidR="009D3FD4" w:rsidRDefault="009D3FD4" w:rsidP="009D3FD4">
      <w:pPr>
        <w:pStyle w:val="DHHSbullet1"/>
      </w:pPr>
      <w:r w:rsidRPr="009A35BD">
        <w:rPr>
          <w:i/>
        </w:rPr>
        <w:t>Surveillance Devices Act 1999</w:t>
      </w:r>
      <w:r>
        <w:t>.</w:t>
      </w:r>
    </w:p>
    <w:p w14:paraId="5F558AD2" w14:textId="77777777" w:rsidR="00BC7ED7" w:rsidRDefault="002F6F01" w:rsidP="00547069">
      <w:pPr>
        <w:pStyle w:val="Heading2"/>
      </w:pPr>
      <w:r>
        <w:t>Supporting policies</w:t>
      </w:r>
    </w:p>
    <w:p w14:paraId="6FBB843C" w14:textId="2ADC18D1" w:rsidR="00F65EFC" w:rsidRDefault="00F65EFC" w:rsidP="00547069">
      <w:pPr>
        <w:pStyle w:val="DHHSbody"/>
      </w:pPr>
      <w:r>
        <w:t xml:space="preserve">Existing health service policies and procedures that </w:t>
      </w:r>
      <w:r w:rsidR="002B2F00">
        <w:t>could relate to</w:t>
      </w:r>
      <w:r>
        <w:t xml:space="preserve"> </w:t>
      </w:r>
      <w:r w:rsidR="002B2F00">
        <w:t xml:space="preserve">a </w:t>
      </w:r>
      <w:r w:rsidR="006431DC">
        <w:t>behavioural assessment room</w:t>
      </w:r>
      <w:r>
        <w:t xml:space="preserve"> include</w:t>
      </w:r>
      <w:r w:rsidR="002B2F00">
        <w:t xml:space="preserve"> those for</w:t>
      </w:r>
      <w:r>
        <w:t>:</w:t>
      </w:r>
    </w:p>
    <w:p w14:paraId="07CCEBDC" w14:textId="735D846A" w:rsidR="0009169F" w:rsidRDefault="002B2F00" w:rsidP="00547069">
      <w:pPr>
        <w:pStyle w:val="DHHSbullet1"/>
      </w:pPr>
      <w:r>
        <w:t>absconding patients</w:t>
      </w:r>
    </w:p>
    <w:p w14:paraId="675BEB87" w14:textId="1B82A797" w:rsidR="00F27EFA" w:rsidRDefault="002B2F00" w:rsidP="00547069">
      <w:pPr>
        <w:pStyle w:val="DHHSbullet1"/>
      </w:pPr>
      <w:r>
        <w:t xml:space="preserve">clinical </w:t>
      </w:r>
      <w:r w:rsidR="00F27EFA">
        <w:t>handover</w:t>
      </w:r>
    </w:p>
    <w:p w14:paraId="5B81065A" w14:textId="77777777" w:rsidR="0009169F" w:rsidRDefault="0009169F" w:rsidP="00547069">
      <w:pPr>
        <w:pStyle w:val="DHHSbullet1"/>
      </w:pPr>
      <w:r>
        <w:t>Code Grey response</w:t>
      </w:r>
    </w:p>
    <w:p w14:paraId="7A53E51D" w14:textId="61748171" w:rsidR="00447E14" w:rsidRDefault="002B2F00" w:rsidP="00547069">
      <w:pPr>
        <w:pStyle w:val="DHHSbullet1"/>
      </w:pPr>
      <w:r>
        <w:t>escalation of staffing requirements</w:t>
      </w:r>
    </w:p>
    <w:p w14:paraId="37633236" w14:textId="77777777" w:rsidR="009A35BD" w:rsidRDefault="009A35BD" w:rsidP="009A35BD">
      <w:pPr>
        <w:pStyle w:val="DHHSbullet1"/>
      </w:pPr>
      <w:r>
        <w:t>incident investigation</w:t>
      </w:r>
    </w:p>
    <w:p w14:paraId="7FDD83B5" w14:textId="2794EB6F" w:rsidR="00F65EFC" w:rsidRDefault="002B2F00" w:rsidP="00547069">
      <w:pPr>
        <w:pStyle w:val="DHHSbullet1"/>
      </w:pPr>
      <w:r>
        <w:t>incident reporting</w:t>
      </w:r>
    </w:p>
    <w:p w14:paraId="7012AEDD" w14:textId="7F032795" w:rsidR="0009169F" w:rsidRDefault="002B2F00" w:rsidP="00547069">
      <w:pPr>
        <w:pStyle w:val="DHHSbullet1"/>
      </w:pPr>
      <w:r>
        <w:t>patients arriving with police</w:t>
      </w:r>
    </w:p>
    <w:p w14:paraId="17CB34B8" w14:textId="5B77F3F4" w:rsidR="0009169F" w:rsidRPr="00234F2F" w:rsidRDefault="002B2F00" w:rsidP="00547069">
      <w:pPr>
        <w:pStyle w:val="DHHSbullet1"/>
      </w:pPr>
      <w:r>
        <w:t>post-incident procedures</w:t>
      </w:r>
    </w:p>
    <w:p w14:paraId="69B247FD" w14:textId="7EFBE67F" w:rsidR="0009169F" w:rsidRDefault="002B2F00" w:rsidP="00547069">
      <w:pPr>
        <w:pStyle w:val="DHHSbullet1"/>
      </w:pPr>
      <w:r>
        <w:t>restraint use</w:t>
      </w:r>
    </w:p>
    <w:p w14:paraId="7780AA3F" w14:textId="7F3465E5" w:rsidR="00F65EFC" w:rsidRDefault="002B2F00" w:rsidP="00547069">
      <w:pPr>
        <w:pStyle w:val="DHHSbullet1"/>
      </w:pPr>
      <w:r>
        <w:t xml:space="preserve">safe transfer and discharge </w:t>
      </w:r>
    </w:p>
    <w:p w14:paraId="1E101DF6" w14:textId="6BC745D9" w:rsidR="008B4A1A" w:rsidRDefault="002B2F00" w:rsidP="00547069">
      <w:pPr>
        <w:pStyle w:val="DHHSbullet1"/>
      </w:pPr>
      <w:r>
        <w:t>sedation use</w:t>
      </w:r>
    </w:p>
    <w:p w14:paraId="2E1234DD" w14:textId="6FDF0116" w:rsidR="00447E14" w:rsidRDefault="002B2F00" w:rsidP="00547069">
      <w:pPr>
        <w:pStyle w:val="DHHSbullet1"/>
      </w:pPr>
      <w:r>
        <w:t>specialling 1:1</w:t>
      </w:r>
    </w:p>
    <w:p w14:paraId="6B5A2F92" w14:textId="13565DEA" w:rsidR="0009169F" w:rsidRDefault="002B2F00" w:rsidP="00547069">
      <w:pPr>
        <w:pStyle w:val="DHHSbullet1"/>
      </w:pPr>
      <w:r>
        <w:t xml:space="preserve">weapons </w:t>
      </w:r>
      <w:r w:rsidR="008B4A1A">
        <w:t>search</w:t>
      </w:r>
      <w:r w:rsidR="0009169F">
        <w:t>.</w:t>
      </w:r>
    </w:p>
    <w:p w14:paraId="3CFCFA64" w14:textId="77777777" w:rsidR="004203D4" w:rsidRDefault="004203D4" w:rsidP="004203D4">
      <w:pPr>
        <w:pStyle w:val="DHHSbullet2"/>
        <w:numPr>
          <w:ilvl w:val="0"/>
          <w:numId w:val="0"/>
        </w:numPr>
        <w:ind w:left="284"/>
      </w:pPr>
    </w:p>
    <w:p w14:paraId="501EA65E" w14:textId="77777777" w:rsidR="004203D4" w:rsidRDefault="004203D4" w:rsidP="004203D4">
      <w:pPr>
        <w:pStyle w:val="DHHSbullet2"/>
        <w:numPr>
          <w:ilvl w:val="0"/>
          <w:numId w:val="0"/>
        </w:numPr>
        <w:ind w:left="284"/>
      </w:pPr>
    </w:p>
    <w:p w14:paraId="42E14E66" w14:textId="77777777" w:rsidR="004203D4" w:rsidRDefault="004203D4" w:rsidP="004203D4">
      <w:pPr>
        <w:pStyle w:val="DHHSbullet2"/>
        <w:numPr>
          <w:ilvl w:val="0"/>
          <w:numId w:val="0"/>
        </w:numPr>
        <w:ind w:left="284"/>
      </w:pPr>
    </w:p>
    <w:p w14:paraId="58896842" w14:textId="77777777" w:rsidR="004203D4" w:rsidRDefault="004203D4" w:rsidP="004203D4">
      <w:pPr>
        <w:pStyle w:val="DHHSbullet2"/>
        <w:numPr>
          <w:ilvl w:val="0"/>
          <w:numId w:val="0"/>
        </w:numPr>
        <w:ind w:left="284"/>
      </w:pPr>
    </w:p>
    <w:p w14:paraId="2A719793" w14:textId="77777777" w:rsidR="004203D4" w:rsidRDefault="004203D4" w:rsidP="004203D4">
      <w:pPr>
        <w:pStyle w:val="DHHSbullet2"/>
        <w:numPr>
          <w:ilvl w:val="0"/>
          <w:numId w:val="0"/>
        </w:numPr>
        <w:ind w:left="284"/>
      </w:pPr>
    </w:p>
    <w:p w14:paraId="62D0B5F2" w14:textId="77777777" w:rsidR="004203D4" w:rsidRDefault="004203D4" w:rsidP="004203D4">
      <w:pPr>
        <w:pStyle w:val="DHHSbullet2"/>
        <w:numPr>
          <w:ilvl w:val="0"/>
          <w:numId w:val="0"/>
        </w:numPr>
        <w:ind w:left="284"/>
      </w:pPr>
    </w:p>
    <w:p w14:paraId="7BE0F30E" w14:textId="77777777" w:rsidR="004203D4" w:rsidRDefault="004203D4" w:rsidP="004203D4">
      <w:pPr>
        <w:pStyle w:val="DHHSbullet2"/>
        <w:numPr>
          <w:ilvl w:val="0"/>
          <w:numId w:val="0"/>
        </w:numPr>
        <w:ind w:left="284"/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03"/>
      </w:tblGrid>
      <w:tr w:rsidR="004203D4" w:rsidRPr="002802E3" w14:paraId="54EF2A99" w14:textId="77777777" w:rsidTr="00EC451E">
        <w:trPr>
          <w:cantSplit/>
        </w:trPr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107DA" w14:textId="2238B9BD" w:rsidR="004203D4" w:rsidRPr="003A6ECF" w:rsidRDefault="004203D4" w:rsidP="00EC451E">
            <w:pPr>
              <w:pStyle w:val="DHHSbody"/>
              <w:rPr>
                <w:sz w:val="16"/>
                <w:szCs w:val="16"/>
              </w:rPr>
            </w:pPr>
            <w:r w:rsidRPr="003A6ECF">
              <w:rPr>
                <w:sz w:val="16"/>
                <w:szCs w:val="16"/>
              </w:rPr>
              <w:t>To receive this publication in an a</w:t>
            </w:r>
            <w:r>
              <w:rPr>
                <w:sz w:val="16"/>
                <w:szCs w:val="16"/>
              </w:rPr>
              <w:t xml:space="preserve">ccessible format phone 9096 </w:t>
            </w:r>
            <w:r w:rsidR="008A2896">
              <w:rPr>
                <w:sz w:val="16"/>
                <w:szCs w:val="16"/>
              </w:rPr>
              <w:t>0000</w:t>
            </w:r>
            <w:r w:rsidRPr="003A6ECF">
              <w:rPr>
                <w:sz w:val="16"/>
                <w:szCs w:val="16"/>
              </w:rPr>
              <w:t xml:space="preserve">, using the National Relay Service 13 36 77 if required, or email </w:t>
            </w:r>
            <w:r w:rsidR="008A2896">
              <w:rPr>
                <w:sz w:val="16"/>
                <w:szCs w:val="16"/>
              </w:rPr>
              <w:t>emergencyandtrauma</w:t>
            </w:r>
            <w:r w:rsidRPr="003A6ECF">
              <w:rPr>
                <w:sz w:val="16"/>
                <w:szCs w:val="16"/>
              </w:rPr>
              <w:t>@dhhs.vic.gov.au.</w:t>
            </w:r>
          </w:p>
          <w:p w14:paraId="12772445" w14:textId="2ADBDAFB" w:rsidR="004203D4" w:rsidRDefault="004203D4" w:rsidP="00EC451E">
            <w:pPr>
              <w:pStyle w:val="DHHSbody"/>
              <w:rPr>
                <w:sz w:val="16"/>
                <w:szCs w:val="16"/>
              </w:rPr>
            </w:pPr>
            <w:r w:rsidRPr="003A6ECF">
              <w:rPr>
                <w:sz w:val="16"/>
                <w:szCs w:val="16"/>
              </w:rPr>
              <w:t xml:space="preserve">Authorised and published by the Victorian Government, 1 Treasury Place, Melbourne. </w:t>
            </w:r>
            <w:r w:rsidRPr="003A6ECF">
              <w:rPr>
                <w:sz w:val="16"/>
                <w:szCs w:val="16"/>
              </w:rPr>
              <w:br/>
              <w:t xml:space="preserve">© State of Victoria, Department of Health and Human Services, </w:t>
            </w:r>
            <w:r>
              <w:rPr>
                <w:sz w:val="16"/>
                <w:szCs w:val="16"/>
              </w:rPr>
              <w:t>May</w:t>
            </w:r>
            <w:r w:rsidRPr="003A6ECF">
              <w:rPr>
                <w:sz w:val="16"/>
                <w:szCs w:val="16"/>
              </w:rPr>
              <w:t xml:space="preserve"> 2017</w:t>
            </w:r>
            <w:r>
              <w:rPr>
                <w:sz w:val="16"/>
                <w:szCs w:val="16"/>
              </w:rPr>
              <w:t>.</w:t>
            </w:r>
          </w:p>
          <w:p w14:paraId="41DA03FD" w14:textId="546639EA" w:rsidR="0054675B" w:rsidRPr="0054675B" w:rsidRDefault="00EA146A" w:rsidP="0054675B">
            <w:pPr>
              <w:pStyle w:val="DHHSbody"/>
              <w:rPr>
                <w:sz w:val="16"/>
                <w:szCs w:val="16"/>
              </w:rPr>
            </w:pPr>
            <w:r w:rsidRPr="00EA146A">
              <w:rPr>
                <w:sz w:val="16"/>
                <w:szCs w:val="16"/>
              </w:rPr>
              <w:t>ISBN 978-0-7311-7211-5 (pdf/online)</w:t>
            </w:r>
          </w:p>
          <w:p w14:paraId="2E21776C" w14:textId="2939F0EE" w:rsidR="004203D4" w:rsidRPr="004203D4" w:rsidRDefault="004203D4" w:rsidP="006450A5">
            <w:pPr>
              <w:pStyle w:val="DHHSbody"/>
              <w:rPr>
                <w:sz w:val="16"/>
                <w:szCs w:val="16"/>
              </w:rPr>
            </w:pPr>
            <w:r w:rsidRPr="003A6ECF">
              <w:rPr>
                <w:sz w:val="16"/>
                <w:szCs w:val="16"/>
              </w:rPr>
              <w:t xml:space="preserve">Available at </w:t>
            </w:r>
            <w:r w:rsidR="006450A5">
              <w:rPr>
                <w:sz w:val="16"/>
                <w:szCs w:val="16"/>
              </w:rPr>
              <w:t>www.health.vic.gov.au/emergency-care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7FD960BC" w14:textId="77777777" w:rsidR="004203D4" w:rsidRDefault="004203D4" w:rsidP="004203D4">
      <w:pPr>
        <w:pStyle w:val="DHHSbullet2"/>
        <w:numPr>
          <w:ilvl w:val="0"/>
          <w:numId w:val="0"/>
        </w:numPr>
        <w:ind w:left="284"/>
      </w:pPr>
    </w:p>
    <w:sectPr w:rsidR="004203D4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E60C76" w15:done="0"/>
  <w15:commentEx w15:paraId="23D2F7D6" w15:done="0"/>
  <w15:commentEx w15:paraId="4790CC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E9809" w14:textId="77777777" w:rsidR="00D27FD6" w:rsidRDefault="00D27FD6">
      <w:r>
        <w:separator/>
      </w:r>
    </w:p>
  </w:endnote>
  <w:endnote w:type="continuationSeparator" w:id="0">
    <w:p w14:paraId="03AF6FD6" w14:textId="77777777" w:rsidR="00D27FD6" w:rsidRDefault="00D2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261A0" w14:textId="77777777" w:rsidR="006431DC" w:rsidRPr="00F65AA9" w:rsidRDefault="006431DC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36D02124" wp14:editId="69942B48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91970" w14:textId="3F08A878" w:rsidR="006431DC" w:rsidRPr="00A11421" w:rsidRDefault="00786487" w:rsidP="0051568D">
    <w:pPr>
      <w:pStyle w:val="DHHSfooter"/>
    </w:pPr>
    <w:r>
      <w:t>Guidelines for b</w:t>
    </w:r>
    <w:r w:rsidR="006431DC">
      <w:t xml:space="preserve">ehavioural assessment </w:t>
    </w:r>
    <w:r w:rsidR="00A25DA2">
      <w:t>rooms</w:t>
    </w:r>
    <w:r w:rsidR="00547069">
      <w:t xml:space="preserve"> in emergency departments</w:t>
    </w:r>
    <w:r w:rsidR="006431DC" w:rsidRPr="00A11421">
      <w:tab/>
    </w:r>
    <w:r w:rsidR="006431DC" w:rsidRPr="00A11421">
      <w:fldChar w:fldCharType="begin"/>
    </w:r>
    <w:r w:rsidR="006431DC" w:rsidRPr="00A11421">
      <w:instrText xml:space="preserve"> PAGE </w:instrText>
    </w:r>
    <w:r w:rsidR="006431DC" w:rsidRPr="00A11421">
      <w:fldChar w:fldCharType="separate"/>
    </w:r>
    <w:r w:rsidR="00D726A3">
      <w:rPr>
        <w:noProof/>
      </w:rPr>
      <w:t>6</w:t>
    </w:r>
    <w:r w:rsidR="006431DC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12A4D" w14:textId="77777777" w:rsidR="00D27FD6" w:rsidRDefault="00D27FD6" w:rsidP="002862F1">
      <w:pPr>
        <w:spacing w:before="120"/>
      </w:pPr>
      <w:r>
        <w:separator/>
      </w:r>
    </w:p>
  </w:footnote>
  <w:footnote w:type="continuationSeparator" w:id="0">
    <w:p w14:paraId="73BA02EC" w14:textId="77777777" w:rsidR="00D27FD6" w:rsidRDefault="00D27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E04C2" w14:textId="77777777" w:rsidR="006431DC" w:rsidRPr="0051568D" w:rsidRDefault="006431DC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F6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765E21"/>
    <w:multiLevelType w:val="multilevel"/>
    <w:tmpl w:val="97BC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D022323"/>
    <w:multiLevelType w:val="multilevel"/>
    <w:tmpl w:val="0540E31E"/>
    <w:styleLink w:val="MELegal"/>
    <w:lvl w:ilvl="0">
      <w:start w:val="1"/>
      <w:numFmt w:val="decimal"/>
      <w:pStyle w:val="ME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ind w:left="680" w:hanging="680"/>
      </w:pPr>
      <w:rPr>
        <w:rFonts w:hint="default"/>
        <w:b w:val="0"/>
      </w:rPr>
    </w:lvl>
    <w:lvl w:ilvl="2">
      <w:start w:val="1"/>
      <w:numFmt w:val="lowerLetter"/>
      <w:pStyle w:val="MELegal3"/>
      <w:lvlText w:val="(%3)"/>
      <w:lvlJc w:val="left"/>
      <w:pPr>
        <w:ind w:left="68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decimal"/>
      <w:pStyle w:val="MELegal7"/>
      <w:lvlText w:val="(%7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upperLetter"/>
      <w:pStyle w:val="MELegal8"/>
      <w:lvlText w:val="%8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8">
      <w:start w:val="1"/>
      <w:numFmt w:val="upperRoman"/>
      <w:pStyle w:val="MELegal9"/>
      <w:lvlText w:val="%9."/>
      <w:lvlJc w:val="left"/>
      <w:pPr>
        <w:tabs>
          <w:tab w:val="num" w:pos="5443"/>
        </w:tabs>
        <w:ind w:left="5443" w:hanging="6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 Davies">
    <w15:presenceInfo w15:providerId="Windows Live" w15:userId="e2dac1da986955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73"/>
    <w:rsid w:val="000072B6"/>
    <w:rsid w:val="0001021B"/>
    <w:rsid w:val="00011D89"/>
    <w:rsid w:val="00012A50"/>
    <w:rsid w:val="00014CE1"/>
    <w:rsid w:val="0001693F"/>
    <w:rsid w:val="00021A69"/>
    <w:rsid w:val="00024D89"/>
    <w:rsid w:val="000250B6"/>
    <w:rsid w:val="00033D81"/>
    <w:rsid w:val="00037D3C"/>
    <w:rsid w:val="00041BF0"/>
    <w:rsid w:val="00043800"/>
    <w:rsid w:val="0004536B"/>
    <w:rsid w:val="00046B68"/>
    <w:rsid w:val="0004722C"/>
    <w:rsid w:val="000527DD"/>
    <w:rsid w:val="000578B2"/>
    <w:rsid w:val="00060959"/>
    <w:rsid w:val="000663CD"/>
    <w:rsid w:val="0007102B"/>
    <w:rsid w:val="000733FE"/>
    <w:rsid w:val="00074219"/>
    <w:rsid w:val="00074ED5"/>
    <w:rsid w:val="00077BC2"/>
    <w:rsid w:val="00087285"/>
    <w:rsid w:val="0009113B"/>
    <w:rsid w:val="0009169F"/>
    <w:rsid w:val="00094DA3"/>
    <w:rsid w:val="00096CD1"/>
    <w:rsid w:val="000A012C"/>
    <w:rsid w:val="000A09AF"/>
    <w:rsid w:val="000A0EB9"/>
    <w:rsid w:val="000A186C"/>
    <w:rsid w:val="000A6666"/>
    <w:rsid w:val="000B543D"/>
    <w:rsid w:val="000B5BF7"/>
    <w:rsid w:val="000B6BC8"/>
    <w:rsid w:val="000B750C"/>
    <w:rsid w:val="000C42EA"/>
    <w:rsid w:val="000C4546"/>
    <w:rsid w:val="000D0B6D"/>
    <w:rsid w:val="000D1242"/>
    <w:rsid w:val="000D465E"/>
    <w:rsid w:val="000E2148"/>
    <w:rsid w:val="000E3CC7"/>
    <w:rsid w:val="000E6BD4"/>
    <w:rsid w:val="000F1F1E"/>
    <w:rsid w:val="000F2259"/>
    <w:rsid w:val="000F61CD"/>
    <w:rsid w:val="000F7354"/>
    <w:rsid w:val="00100ABC"/>
    <w:rsid w:val="0010392D"/>
    <w:rsid w:val="0010447F"/>
    <w:rsid w:val="00104FE3"/>
    <w:rsid w:val="00117CBF"/>
    <w:rsid w:val="00120BD3"/>
    <w:rsid w:val="00122FEA"/>
    <w:rsid w:val="001232BD"/>
    <w:rsid w:val="00124ED5"/>
    <w:rsid w:val="0013270F"/>
    <w:rsid w:val="0013539C"/>
    <w:rsid w:val="001359FA"/>
    <w:rsid w:val="00142126"/>
    <w:rsid w:val="001447B3"/>
    <w:rsid w:val="00152073"/>
    <w:rsid w:val="00154D5D"/>
    <w:rsid w:val="00161939"/>
    <w:rsid w:val="00161AA0"/>
    <w:rsid w:val="00162093"/>
    <w:rsid w:val="00163F65"/>
    <w:rsid w:val="001645EA"/>
    <w:rsid w:val="001658A2"/>
    <w:rsid w:val="001771DD"/>
    <w:rsid w:val="00177862"/>
    <w:rsid w:val="00177995"/>
    <w:rsid w:val="00177A8C"/>
    <w:rsid w:val="00177B11"/>
    <w:rsid w:val="00186B33"/>
    <w:rsid w:val="001901C0"/>
    <w:rsid w:val="00192F9D"/>
    <w:rsid w:val="00194706"/>
    <w:rsid w:val="00196EB8"/>
    <w:rsid w:val="00196EFB"/>
    <w:rsid w:val="001979FF"/>
    <w:rsid w:val="00197B17"/>
    <w:rsid w:val="00197D5A"/>
    <w:rsid w:val="001A27C8"/>
    <w:rsid w:val="001A3ACE"/>
    <w:rsid w:val="001C2230"/>
    <w:rsid w:val="001C277E"/>
    <w:rsid w:val="001C2A72"/>
    <w:rsid w:val="001C57B4"/>
    <w:rsid w:val="001D0B75"/>
    <w:rsid w:val="001D3C09"/>
    <w:rsid w:val="001D44E8"/>
    <w:rsid w:val="001D60EC"/>
    <w:rsid w:val="001E3084"/>
    <w:rsid w:val="001E44DF"/>
    <w:rsid w:val="001E575E"/>
    <w:rsid w:val="001E5903"/>
    <w:rsid w:val="001E68A5"/>
    <w:rsid w:val="001E6BB0"/>
    <w:rsid w:val="001F086D"/>
    <w:rsid w:val="001F3826"/>
    <w:rsid w:val="001F6E46"/>
    <w:rsid w:val="001F7C91"/>
    <w:rsid w:val="00206463"/>
    <w:rsid w:val="00206F2F"/>
    <w:rsid w:val="0021053D"/>
    <w:rsid w:val="00210A92"/>
    <w:rsid w:val="002142FC"/>
    <w:rsid w:val="00216C03"/>
    <w:rsid w:val="00220C04"/>
    <w:rsid w:val="0022278D"/>
    <w:rsid w:val="0022701F"/>
    <w:rsid w:val="002333F5"/>
    <w:rsid w:val="00233724"/>
    <w:rsid w:val="00234F2F"/>
    <w:rsid w:val="002432E1"/>
    <w:rsid w:val="00246207"/>
    <w:rsid w:val="00246C5E"/>
    <w:rsid w:val="00250F7D"/>
    <w:rsid w:val="00251343"/>
    <w:rsid w:val="00254F58"/>
    <w:rsid w:val="00260DDD"/>
    <w:rsid w:val="002620BC"/>
    <w:rsid w:val="00262802"/>
    <w:rsid w:val="00263A90"/>
    <w:rsid w:val="0026408B"/>
    <w:rsid w:val="00267C3E"/>
    <w:rsid w:val="002709BB"/>
    <w:rsid w:val="002763B3"/>
    <w:rsid w:val="00277497"/>
    <w:rsid w:val="002802E3"/>
    <w:rsid w:val="00281D9C"/>
    <w:rsid w:val="0028213D"/>
    <w:rsid w:val="002862F1"/>
    <w:rsid w:val="00291373"/>
    <w:rsid w:val="0029597D"/>
    <w:rsid w:val="002962C3"/>
    <w:rsid w:val="0029752B"/>
    <w:rsid w:val="002A1B7F"/>
    <w:rsid w:val="002A3097"/>
    <w:rsid w:val="002A3482"/>
    <w:rsid w:val="002A483C"/>
    <w:rsid w:val="002B00FD"/>
    <w:rsid w:val="002B1729"/>
    <w:rsid w:val="002B2F00"/>
    <w:rsid w:val="002B36C7"/>
    <w:rsid w:val="002B4DD4"/>
    <w:rsid w:val="002B5277"/>
    <w:rsid w:val="002B5375"/>
    <w:rsid w:val="002B77C1"/>
    <w:rsid w:val="002C2728"/>
    <w:rsid w:val="002D26FC"/>
    <w:rsid w:val="002D2F02"/>
    <w:rsid w:val="002D5006"/>
    <w:rsid w:val="002D7BFC"/>
    <w:rsid w:val="002E01D0"/>
    <w:rsid w:val="002E161D"/>
    <w:rsid w:val="002E2C26"/>
    <w:rsid w:val="002E3100"/>
    <w:rsid w:val="002E31A0"/>
    <w:rsid w:val="002E4855"/>
    <w:rsid w:val="002E6C95"/>
    <w:rsid w:val="002E7C36"/>
    <w:rsid w:val="002F4967"/>
    <w:rsid w:val="002F5F31"/>
    <w:rsid w:val="002F5F46"/>
    <w:rsid w:val="002F6F01"/>
    <w:rsid w:val="00301ED3"/>
    <w:rsid w:val="00302216"/>
    <w:rsid w:val="003023FE"/>
    <w:rsid w:val="00303E53"/>
    <w:rsid w:val="00306E5F"/>
    <w:rsid w:val="00307E14"/>
    <w:rsid w:val="003128F4"/>
    <w:rsid w:val="00314054"/>
    <w:rsid w:val="00316F27"/>
    <w:rsid w:val="003211D5"/>
    <w:rsid w:val="00323EDB"/>
    <w:rsid w:val="0032599F"/>
    <w:rsid w:val="00327870"/>
    <w:rsid w:val="0033259D"/>
    <w:rsid w:val="00336BF1"/>
    <w:rsid w:val="003406C6"/>
    <w:rsid w:val="00340DC0"/>
    <w:rsid w:val="003418CC"/>
    <w:rsid w:val="00344D42"/>
    <w:rsid w:val="003459BD"/>
    <w:rsid w:val="00350D38"/>
    <w:rsid w:val="00351B36"/>
    <w:rsid w:val="00355785"/>
    <w:rsid w:val="00357B4E"/>
    <w:rsid w:val="003744CF"/>
    <w:rsid w:val="00374717"/>
    <w:rsid w:val="0037676C"/>
    <w:rsid w:val="003829E5"/>
    <w:rsid w:val="003910C0"/>
    <w:rsid w:val="003956CC"/>
    <w:rsid w:val="00395C9A"/>
    <w:rsid w:val="0039622F"/>
    <w:rsid w:val="003974DC"/>
    <w:rsid w:val="003A638E"/>
    <w:rsid w:val="003A6B67"/>
    <w:rsid w:val="003B15E6"/>
    <w:rsid w:val="003B46DD"/>
    <w:rsid w:val="003C2045"/>
    <w:rsid w:val="003C43A1"/>
    <w:rsid w:val="003C4FC0"/>
    <w:rsid w:val="003C55F4"/>
    <w:rsid w:val="003C7A3F"/>
    <w:rsid w:val="003D1C48"/>
    <w:rsid w:val="003D2766"/>
    <w:rsid w:val="003D3E8F"/>
    <w:rsid w:val="003D6475"/>
    <w:rsid w:val="003E512A"/>
    <w:rsid w:val="003E5681"/>
    <w:rsid w:val="003F0445"/>
    <w:rsid w:val="003F0CF0"/>
    <w:rsid w:val="003F14B1"/>
    <w:rsid w:val="003F28F0"/>
    <w:rsid w:val="003F3289"/>
    <w:rsid w:val="003F727B"/>
    <w:rsid w:val="00400CD5"/>
    <w:rsid w:val="00401FCF"/>
    <w:rsid w:val="00406285"/>
    <w:rsid w:val="004118FB"/>
    <w:rsid w:val="004148F9"/>
    <w:rsid w:val="00416F2F"/>
    <w:rsid w:val="004203D4"/>
    <w:rsid w:val="0042084E"/>
    <w:rsid w:val="00421EEF"/>
    <w:rsid w:val="00424BE6"/>
    <w:rsid w:val="00424D65"/>
    <w:rsid w:val="00433723"/>
    <w:rsid w:val="00442C6C"/>
    <w:rsid w:val="00443CBE"/>
    <w:rsid w:val="00443E8A"/>
    <w:rsid w:val="004441BC"/>
    <w:rsid w:val="004468B4"/>
    <w:rsid w:val="00446C18"/>
    <w:rsid w:val="00447E14"/>
    <w:rsid w:val="00452212"/>
    <w:rsid w:val="0045230A"/>
    <w:rsid w:val="00457337"/>
    <w:rsid w:val="00462BC4"/>
    <w:rsid w:val="00463905"/>
    <w:rsid w:val="0047372D"/>
    <w:rsid w:val="004743DD"/>
    <w:rsid w:val="00474CEA"/>
    <w:rsid w:val="00482E5D"/>
    <w:rsid w:val="00483968"/>
    <w:rsid w:val="004839EA"/>
    <w:rsid w:val="00484F86"/>
    <w:rsid w:val="00490746"/>
    <w:rsid w:val="00490852"/>
    <w:rsid w:val="00492BA2"/>
    <w:rsid w:val="00492E31"/>
    <w:rsid w:val="00492F30"/>
    <w:rsid w:val="004946F4"/>
    <w:rsid w:val="0049487E"/>
    <w:rsid w:val="00496EB5"/>
    <w:rsid w:val="004A160D"/>
    <w:rsid w:val="004A3E81"/>
    <w:rsid w:val="004A5C62"/>
    <w:rsid w:val="004A707D"/>
    <w:rsid w:val="004B708D"/>
    <w:rsid w:val="004C4A12"/>
    <w:rsid w:val="004C6EEE"/>
    <w:rsid w:val="004C702B"/>
    <w:rsid w:val="004D016B"/>
    <w:rsid w:val="004D1B22"/>
    <w:rsid w:val="004D2108"/>
    <w:rsid w:val="004D36F2"/>
    <w:rsid w:val="004D40F2"/>
    <w:rsid w:val="004D41D9"/>
    <w:rsid w:val="004E0D2A"/>
    <w:rsid w:val="004E138F"/>
    <w:rsid w:val="004E4649"/>
    <w:rsid w:val="004E5C2B"/>
    <w:rsid w:val="004F00DD"/>
    <w:rsid w:val="004F1E7A"/>
    <w:rsid w:val="004F2133"/>
    <w:rsid w:val="004F55F1"/>
    <w:rsid w:val="004F6936"/>
    <w:rsid w:val="00503C87"/>
    <w:rsid w:val="00503DC6"/>
    <w:rsid w:val="00506F5D"/>
    <w:rsid w:val="005126D0"/>
    <w:rsid w:val="0051568D"/>
    <w:rsid w:val="005157C6"/>
    <w:rsid w:val="005165B2"/>
    <w:rsid w:val="0052575B"/>
    <w:rsid w:val="00526C15"/>
    <w:rsid w:val="00530358"/>
    <w:rsid w:val="00533F4B"/>
    <w:rsid w:val="00536499"/>
    <w:rsid w:val="00543903"/>
    <w:rsid w:val="00543F11"/>
    <w:rsid w:val="00544E4B"/>
    <w:rsid w:val="0054675B"/>
    <w:rsid w:val="00547069"/>
    <w:rsid w:val="00547A95"/>
    <w:rsid w:val="005643E8"/>
    <w:rsid w:val="00572031"/>
    <w:rsid w:val="00576E84"/>
    <w:rsid w:val="00582B8C"/>
    <w:rsid w:val="0058707C"/>
    <w:rsid w:val="0058757E"/>
    <w:rsid w:val="00596A4B"/>
    <w:rsid w:val="00597507"/>
    <w:rsid w:val="005A13F7"/>
    <w:rsid w:val="005A2513"/>
    <w:rsid w:val="005A7709"/>
    <w:rsid w:val="005B21B6"/>
    <w:rsid w:val="005B3A08"/>
    <w:rsid w:val="005B3AAD"/>
    <w:rsid w:val="005B51A1"/>
    <w:rsid w:val="005B7A63"/>
    <w:rsid w:val="005C0955"/>
    <w:rsid w:val="005C0D1B"/>
    <w:rsid w:val="005C31C0"/>
    <w:rsid w:val="005C49DA"/>
    <w:rsid w:val="005C50F3"/>
    <w:rsid w:val="005C5D91"/>
    <w:rsid w:val="005C76FD"/>
    <w:rsid w:val="005D07B8"/>
    <w:rsid w:val="005D0A88"/>
    <w:rsid w:val="005D0EBF"/>
    <w:rsid w:val="005D6597"/>
    <w:rsid w:val="005E14E7"/>
    <w:rsid w:val="005E22B4"/>
    <w:rsid w:val="005E26A3"/>
    <w:rsid w:val="005E447E"/>
    <w:rsid w:val="005E4BFA"/>
    <w:rsid w:val="005F064E"/>
    <w:rsid w:val="005F0775"/>
    <w:rsid w:val="005F0CF5"/>
    <w:rsid w:val="005F152C"/>
    <w:rsid w:val="005F21EB"/>
    <w:rsid w:val="005F3DDA"/>
    <w:rsid w:val="005F5D8D"/>
    <w:rsid w:val="00605908"/>
    <w:rsid w:val="00605A94"/>
    <w:rsid w:val="00606764"/>
    <w:rsid w:val="00610D7C"/>
    <w:rsid w:val="00613414"/>
    <w:rsid w:val="006164B1"/>
    <w:rsid w:val="00622969"/>
    <w:rsid w:val="0062408D"/>
    <w:rsid w:val="006240CC"/>
    <w:rsid w:val="00627DA7"/>
    <w:rsid w:val="006358B4"/>
    <w:rsid w:val="006419AA"/>
    <w:rsid w:val="006431DC"/>
    <w:rsid w:val="006441EB"/>
    <w:rsid w:val="00644B7E"/>
    <w:rsid w:val="006450A5"/>
    <w:rsid w:val="006454E6"/>
    <w:rsid w:val="00646A68"/>
    <w:rsid w:val="0065092E"/>
    <w:rsid w:val="006537AB"/>
    <w:rsid w:val="006557A7"/>
    <w:rsid w:val="00656290"/>
    <w:rsid w:val="006620BD"/>
    <w:rsid w:val="006621D7"/>
    <w:rsid w:val="0066302A"/>
    <w:rsid w:val="00663875"/>
    <w:rsid w:val="00665919"/>
    <w:rsid w:val="00670597"/>
    <w:rsid w:val="006706D0"/>
    <w:rsid w:val="00677574"/>
    <w:rsid w:val="0068454C"/>
    <w:rsid w:val="00686D93"/>
    <w:rsid w:val="00691006"/>
    <w:rsid w:val="00691B62"/>
    <w:rsid w:val="006933B5"/>
    <w:rsid w:val="00693D14"/>
    <w:rsid w:val="006A18C2"/>
    <w:rsid w:val="006A772C"/>
    <w:rsid w:val="006B077C"/>
    <w:rsid w:val="006B51C7"/>
    <w:rsid w:val="006B6803"/>
    <w:rsid w:val="006C1B56"/>
    <w:rsid w:val="006C3B6A"/>
    <w:rsid w:val="006C511A"/>
    <w:rsid w:val="006D2A3F"/>
    <w:rsid w:val="006D2FBC"/>
    <w:rsid w:val="006D3271"/>
    <w:rsid w:val="006E138B"/>
    <w:rsid w:val="006F1FDC"/>
    <w:rsid w:val="007013EF"/>
    <w:rsid w:val="00715F3C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46CB5"/>
    <w:rsid w:val="00750135"/>
    <w:rsid w:val="00750EC2"/>
    <w:rsid w:val="00752B28"/>
    <w:rsid w:val="00754E36"/>
    <w:rsid w:val="00760739"/>
    <w:rsid w:val="00763139"/>
    <w:rsid w:val="007674EE"/>
    <w:rsid w:val="00770237"/>
    <w:rsid w:val="007706D1"/>
    <w:rsid w:val="00770F37"/>
    <w:rsid w:val="007711A0"/>
    <w:rsid w:val="00772D5E"/>
    <w:rsid w:val="00776928"/>
    <w:rsid w:val="00785677"/>
    <w:rsid w:val="00786487"/>
    <w:rsid w:val="00786F16"/>
    <w:rsid w:val="00791710"/>
    <w:rsid w:val="00796E20"/>
    <w:rsid w:val="0079799A"/>
    <w:rsid w:val="00797C32"/>
    <w:rsid w:val="007A25B9"/>
    <w:rsid w:val="007A6216"/>
    <w:rsid w:val="007B0914"/>
    <w:rsid w:val="007B1374"/>
    <w:rsid w:val="007B1B01"/>
    <w:rsid w:val="007B589F"/>
    <w:rsid w:val="007B6186"/>
    <w:rsid w:val="007B73BC"/>
    <w:rsid w:val="007C20B9"/>
    <w:rsid w:val="007C7301"/>
    <w:rsid w:val="007C7859"/>
    <w:rsid w:val="007D2BDE"/>
    <w:rsid w:val="007D2FB6"/>
    <w:rsid w:val="007D5E0F"/>
    <w:rsid w:val="007D6E2D"/>
    <w:rsid w:val="007E0DE2"/>
    <w:rsid w:val="007E35F9"/>
    <w:rsid w:val="007E3B8F"/>
    <w:rsid w:val="007E3B98"/>
    <w:rsid w:val="007F31B6"/>
    <w:rsid w:val="007F546C"/>
    <w:rsid w:val="007F625F"/>
    <w:rsid w:val="007F665E"/>
    <w:rsid w:val="008003CF"/>
    <w:rsid w:val="00800412"/>
    <w:rsid w:val="0080587B"/>
    <w:rsid w:val="00806468"/>
    <w:rsid w:val="00807AA7"/>
    <w:rsid w:val="008155F0"/>
    <w:rsid w:val="00816735"/>
    <w:rsid w:val="0082008E"/>
    <w:rsid w:val="00820141"/>
    <w:rsid w:val="00820E0C"/>
    <w:rsid w:val="008267B3"/>
    <w:rsid w:val="008338A2"/>
    <w:rsid w:val="00841AA9"/>
    <w:rsid w:val="008442DF"/>
    <w:rsid w:val="00853EE4"/>
    <w:rsid w:val="00855535"/>
    <w:rsid w:val="00860AFB"/>
    <w:rsid w:val="0086255E"/>
    <w:rsid w:val="008633F0"/>
    <w:rsid w:val="00867D9D"/>
    <w:rsid w:val="00872E0A"/>
    <w:rsid w:val="00875285"/>
    <w:rsid w:val="00883ADE"/>
    <w:rsid w:val="00884B62"/>
    <w:rsid w:val="0088529C"/>
    <w:rsid w:val="00887903"/>
    <w:rsid w:val="0089270A"/>
    <w:rsid w:val="00893AF6"/>
    <w:rsid w:val="00894BC4"/>
    <w:rsid w:val="008A2896"/>
    <w:rsid w:val="008A396B"/>
    <w:rsid w:val="008A5B32"/>
    <w:rsid w:val="008B2EE4"/>
    <w:rsid w:val="008B4A1A"/>
    <w:rsid w:val="008B4D3D"/>
    <w:rsid w:val="008B57C7"/>
    <w:rsid w:val="008C2F92"/>
    <w:rsid w:val="008D0B77"/>
    <w:rsid w:val="008D1EB0"/>
    <w:rsid w:val="008D26E1"/>
    <w:rsid w:val="008D2846"/>
    <w:rsid w:val="008D4236"/>
    <w:rsid w:val="008D462F"/>
    <w:rsid w:val="008D6DCF"/>
    <w:rsid w:val="008E14EB"/>
    <w:rsid w:val="008E4376"/>
    <w:rsid w:val="008E7A0A"/>
    <w:rsid w:val="008F3C73"/>
    <w:rsid w:val="00900719"/>
    <w:rsid w:val="009017AC"/>
    <w:rsid w:val="0090488B"/>
    <w:rsid w:val="00904A1C"/>
    <w:rsid w:val="00905030"/>
    <w:rsid w:val="00906490"/>
    <w:rsid w:val="009111B2"/>
    <w:rsid w:val="00914342"/>
    <w:rsid w:val="00923F91"/>
    <w:rsid w:val="00924AE1"/>
    <w:rsid w:val="009269B1"/>
    <w:rsid w:val="0092724D"/>
    <w:rsid w:val="00935379"/>
    <w:rsid w:val="00937BD9"/>
    <w:rsid w:val="009457BF"/>
    <w:rsid w:val="00950E2C"/>
    <w:rsid w:val="00951D50"/>
    <w:rsid w:val="009525EB"/>
    <w:rsid w:val="00954874"/>
    <w:rsid w:val="00961400"/>
    <w:rsid w:val="00963646"/>
    <w:rsid w:val="009768B6"/>
    <w:rsid w:val="009853E1"/>
    <w:rsid w:val="009869EA"/>
    <w:rsid w:val="00986E6B"/>
    <w:rsid w:val="00991769"/>
    <w:rsid w:val="009925A8"/>
    <w:rsid w:val="00994386"/>
    <w:rsid w:val="00995A04"/>
    <w:rsid w:val="009A13D8"/>
    <w:rsid w:val="009A279E"/>
    <w:rsid w:val="009A35BD"/>
    <w:rsid w:val="009A45F5"/>
    <w:rsid w:val="009B0A6F"/>
    <w:rsid w:val="009B0A94"/>
    <w:rsid w:val="009B1ED9"/>
    <w:rsid w:val="009B59E9"/>
    <w:rsid w:val="009B6F56"/>
    <w:rsid w:val="009B70AA"/>
    <w:rsid w:val="009C2C4E"/>
    <w:rsid w:val="009C7A7E"/>
    <w:rsid w:val="009D02E8"/>
    <w:rsid w:val="009D3FD4"/>
    <w:rsid w:val="009D51D0"/>
    <w:rsid w:val="009D70A4"/>
    <w:rsid w:val="009E08D1"/>
    <w:rsid w:val="009E1B95"/>
    <w:rsid w:val="009E3958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491D"/>
    <w:rsid w:val="00A11421"/>
    <w:rsid w:val="00A157B1"/>
    <w:rsid w:val="00A1737E"/>
    <w:rsid w:val="00A22229"/>
    <w:rsid w:val="00A2362C"/>
    <w:rsid w:val="00A2387B"/>
    <w:rsid w:val="00A25DA2"/>
    <w:rsid w:val="00A44882"/>
    <w:rsid w:val="00A54715"/>
    <w:rsid w:val="00A6061C"/>
    <w:rsid w:val="00A62D44"/>
    <w:rsid w:val="00A67263"/>
    <w:rsid w:val="00A7161C"/>
    <w:rsid w:val="00A71B6E"/>
    <w:rsid w:val="00A77AA3"/>
    <w:rsid w:val="00A8278E"/>
    <w:rsid w:val="00A854EB"/>
    <w:rsid w:val="00A85774"/>
    <w:rsid w:val="00A872E5"/>
    <w:rsid w:val="00A87C62"/>
    <w:rsid w:val="00A91406"/>
    <w:rsid w:val="00A93F2D"/>
    <w:rsid w:val="00A95583"/>
    <w:rsid w:val="00A96E65"/>
    <w:rsid w:val="00A97C72"/>
    <w:rsid w:val="00AA0D4C"/>
    <w:rsid w:val="00AA224C"/>
    <w:rsid w:val="00AA63D4"/>
    <w:rsid w:val="00AA775B"/>
    <w:rsid w:val="00AB06E8"/>
    <w:rsid w:val="00AB1CD3"/>
    <w:rsid w:val="00AB352F"/>
    <w:rsid w:val="00AC036B"/>
    <w:rsid w:val="00AC274B"/>
    <w:rsid w:val="00AC4764"/>
    <w:rsid w:val="00AC5694"/>
    <w:rsid w:val="00AC5EBE"/>
    <w:rsid w:val="00AC6D36"/>
    <w:rsid w:val="00AD0CBA"/>
    <w:rsid w:val="00AD26E2"/>
    <w:rsid w:val="00AD2D15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44F8"/>
    <w:rsid w:val="00B06571"/>
    <w:rsid w:val="00B068BA"/>
    <w:rsid w:val="00B11DE9"/>
    <w:rsid w:val="00B13851"/>
    <w:rsid w:val="00B13B1C"/>
    <w:rsid w:val="00B1561F"/>
    <w:rsid w:val="00B22291"/>
    <w:rsid w:val="00B23F9A"/>
    <w:rsid w:val="00B2417B"/>
    <w:rsid w:val="00B24E6F"/>
    <w:rsid w:val="00B26CB5"/>
    <w:rsid w:val="00B2752E"/>
    <w:rsid w:val="00B277F3"/>
    <w:rsid w:val="00B307CC"/>
    <w:rsid w:val="00B30E0F"/>
    <w:rsid w:val="00B326B7"/>
    <w:rsid w:val="00B431E8"/>
    <w:rsid w:val="00B45141"/>
    <w:rsid w:val="00B46B69"/>
    <w:rsid w:val="00B47F21"/>
    <w:rsid w:val="00B5273A"/>
    <w:rsid w:val="00B56046"/>
    <w:rsid w:val="00B566A2"/>
    <w:rsid w:val="00B57329"/>
    <w:rsid w:val="00B57BCF"/>
    <w:rsid w:val="00B62B50"/>
    <w:rsid w:val="00B635B7"/>
    <w:rsid w:val="00B63AE8"/>
    <w:rsid w:val="00B65950"/>
    <w:rsid w:val="00B66D83"/>
    <w:rsid w:val="00B672C0"/>
    <w:rsid w:val="00B7181A"/>
    <w:rsid w:val="00B75646"/>
    <w:rsid w:val="00B90729"/>
    <w:rsid w:val="00B907DA"/>
    <w:rsid w:val="00B950BC"/>
    <w:rsid w:val="00B9714C"/>
    <w:rsid w:val="00BA3F8D"/>
    <w:rsid w:val="00BA4A2D"/>
    <w:rsid w:val="00BA7DBD"/>
    <w:rsid w:val="00BB7A10"/>
    <w:rsid w:val="00BC7468"/>
    <w:rsid w:val="00BC7D4F"/>
    <w:rsid w:val="00BC7ED7"/>
    <w:rsid w:val="00BD2850"/>
    <w:rsid w:val="00BE28D2"/>
    <w:rsid w:val="00BE4A64"/>
    <w:rsid w:val="00BF544F"/>
    <w:rsid w:val="00BF7EE4"/>
    <w:rsid w:val="00BF7F58"/>
    <w:rsid w:val="00C012B4"/>
    <w:rsid w:val="00C01381"/>
    <w:rsid w:val="00C03558"/>
    <w:rsid w:val="00C07374"/>
    <w:rsid w:val="00C079B8"/>
    <w:rsid w:val="00C10547"/>
    <w:rsid w:val="00C123EA"/>
    <w:rsid w:val="00C12627"/>
    <w:rsid w:val="00C12A49"/>
    <w:rsid w:val="00C133EE"/>
    <w:rsid w:val="00C16B1C"/>
    <w:rsid w:val="00C20675"/>
    <w:rsid w:val="00C27DE9"/>
    <w:rsid w:val="00C31425"/>
    <w:rsid w:val="00C33388"/>
    <w:rsid w:val="00C35484"/>
    <w:rsid w:val="00C402C1"/>
    <w:rsid w:val="00C4173A"/>
    <w:rsid w:val="00C602FF"/>
    <w:rsid w:val="00C61174"/>
    <w:rsid w:val="00C6148F"/>
    <w:rsid w:val="00C62F7A"/>
    <w:rsid w:val="00C63B9C"/>
    <w:rsid w:val="00C64873"/>
    <w:rsid w:val="00C6682F"/>
    <w:rsid w:val="00C7275E"/>
    <w:rsid w:val="00C73465"/>
    <w:rsid w:val="00C74C5D"/>
    <w:rsid w:val="00C771A9"/>
    <w:rsid w:val="00C82EE4"/>
    <w:rsid w:val="00C863C4"/>
    <w:rsid w:val="00C93C3E"/>
    <w:rsid w:val="00CA12E3"/>
    <w:rsid w:val="00CA5999"/>
    <w:rsid w:val="00CA6611"/>
    <w:rsid w:val="00CA6AE6"/>
    <w:rsid w:val="00CA782F"/>
    <w:rsid w:val="00CB3285"/>
    <w:rsid w:val="00CC0C72"/>
    <w:rsid w:val="00CC2BFD"/>
    <w:rsid w:val="00CD3476"/>
    <w:rsid w:val="00CD64DF"/>
    <w:rsid w:val="00CD6D5F"/>
    <w:rsid w:val="00CF10F7"/>
    <w:rsid w:val="00CF2F50"/>
    <w:rsid w:val="00D014D2"/>
    <w:rsid w:val="00D016DF"/>
    <w:rsid w:val="00D02919"/>
    <w:rsid w:val="00D04C61"/>
    <w:rsid w:val="00D05B8D"/>
    <w:rsid w:val="00D065A2"/>
    <w:rsid w:val="00D0765A"/>
    <w:rsid w:val="00D07F00"/>
    <w:rsid w:val="00D16036"/>
    <w:rsid w:val="00D166DC"/>
    <w:rsid w:val="00D17B72"/>
    <w:rsid w:val="00D21317"/>
    <w:rsid w:val="00D27FD6"/>
    <w:rsid w:val="00D3068A"/>
    <w:rsid w:val="00D3185C"/>
    <w:rsid w:val="00D33E72"/>
    <w:rsid w:val="00D35BD6"/>
    <w:rsid w:val="00D361B5"/>
    <w:rsid w:val="00D372E9"/>
    <w:rsid w:val="00D411A2"/>
    <w:rsid w:val="00D4606D"/>
    <w:rsid w:val="00D50B9C"/>
    <w:rsid w:val="00D51FE7"/>
    <w:rsid w:val="00D52D73"/>
    <w:rsid w:val="00D52E58"/>
    <w:rsid w:val="00D565E3"/>
    <w:rsid w:val="00D63920"/>
    <w:rsid w:val="00D63DD7"/>
    <w:rsid w:val="00D714CC"/>
    <w:rsid w:val="00D726A3"/>
    <w:rsid w:val="00D75EA7"/>
    <w:rsid w:val="00D81F21"/>
    <w:rsid w:val="00D95470"/>
    <w:rsid w:val="00D96DD2"/>
    <w:rsid w:val="00DA0AEC"/>
    <w:rsid w:val="00DA2619"/>
    <w:rsid w:val="00DA4239"/>
    <w:rsid w:val="00DB0B61"/>
    <w:rsid w:val="00DB0C29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3CD3"/>
    <w:rsid w:val="00DE6028"/>
    <w:rsid w:val="00DE78A3"/>
    <w:rsid w:val="00DF1A71"/>
    <w:rsid w:val="00DF68C7"/>
    <w:rsid w:val="00DF731A"/>
    <w:rsid w:val="00E05A0F"/>
    <w:rsid w:val="00E1478F"/>
    <w:rsid w:val="00E170DC"/>
    <w:rsid w:val="00E2055F"/>
    <w:rsid w:val="00E26818"/>
    <w:rsid w:val="00E27FFC"/>
    <w:rsid w:val="00E30B15"/>
    <w:rsid w:val="00E30E58"/>
    <w:rsid w:val="00E40181"/>
    <w:rsid w:val="00E520B3"/>
    <w:rsid w:val="00E52712"/>
    <w:rsid w:val="00E56A01"/>
    <w:rsid w:val="00E629A1"/>
    <w:rsid w:val="00E67690"/>
    <w:rsid w:val="00E6794C"/>
    <w:rsid w:val="00E71591"/>
    <w:rsid w:val="00E82C55"/>
    <w:rsid w:val="00E92AC3"/>
    <w:rsid w:val="00E94091"/>
    <w:rsid w:val="00E95BD7"/>
    <w:rsid w:val="00EA0074"/>
    <w:rsid w:val="00EA146A"/>
    <w:rsid w:val="00EA40FB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EF7896"/>
    <w:rsid w:val="00F00F9C"/>
    <w:rsid w:val="00F01E5F"/>
    <w:rsid w:val="00F02ABA"/>
    <w:rsid w:val="00F0437A"/>
    <w:rsid w:val="00F11037"/>
    <w:rsid w:val="00F1107A"/>
    <w:rsid w:val="00F159F2"/>
    <w:rsid w:val="00F16F1B"/>
    <w:rsid w:val="00F250A9"/>
    <w:rsid w:val="00F27EFA"/>
    <w:rsid w:val="00F30FF4"/>
    <w:rsid w:val="00F3122E"/>
    <w:rsid w:val="00F331AD"/>
    <w:rsid w:val="00F34A8D"/>
    <w:rsid w:val="00F35287"/>
    <w:rsid w:val="00F35ED2"/>
    <w:rsid w:val="00F43A37"/>
    <w:rsid w:val="00F4641B"/>
    <w:rsid w:val="00F46EB8"/>
    <w:rsid w:val="00F511E4"/>
    <w:rsid w:val="00F5204C"/>
    <w:rsid w:val="00F52D09"/>
    <w:rsid w:val="00F52E08"/>
    <w:rsid w:val="00F55B21"/>
    <w:rsid w:val="00F56EF6"/>
    <w:rsid w:val="00F61A9F"/>
    <w:rsid w:val="00F64696"/>
    <w:rsid w:val="00F65AA9"/>
    <w:rsid w:val="00F65EFC"/>
    <w:rsid w:val="00F6768F"/>
    <w:rsid w:val="00F72C2C"/>
    <w:rsid w:val="00F768ED"/>
    <w:rsid w:val="00F76CAB"/>
    <w:rsid w:val="00F772C6"/>
    <w:rsid w:val="00F776B0"/>
    <w:rsid w:val="00F815B5"/>
    <w:rsid w:val="00F81764"/>
    <w:rsid w:val="00F85195"/>
    <w:rsid w:val="00F938BA"/>
    <w:rsid w:val="00FA191A"/>
    <w:rsid w:val="00FA2C46"/>
    <w:rsid w:val="00FA3525"/>
    <w:rsid w:val="00FB27BE"/>
    <w:rsid w:val="00FB4769"/>
    <w:rsid w:val="00FB4CDA"/>
    <w:rsid w:val="00FC0F81"/>
    <w:rsid w:val="00FC395C"/>
    <w:rsid w:val="00FD21A2"/>
    <w:rsid w:val="00FD3766"/>
    <w:rsid w:val="00FD47C4"/>
    <w:rsid w:val="00FE18DA"/>
    <w:rsid w:val="00FE2DCF"/>
    <w:rsid w:val="00FF0AF4"/>
    <w:rsid w:val="00FF24A2"/>
    <w:rsid w:val="00FF2FCE"/>
    <w:rsid w:val="00FF4EBE"/>
    <w:rsid w:val="00FF4F7D"/>
    <w:rsid w:val="00FF6D9D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5B94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annotation text" w:uiPriority="0"/>
    <w:lsdException w:name="caption" w:uiPriority="35" w:qFormat="1"/>
    <w:lsdException w:name="footnote reference" w:uiPriority="8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0D46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1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after="0" w:line="240" w:lineRule="auto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 w:line="240" w:lineRule="auto"/>
      <w:jc w:val="center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1"/>
      </w:numPr>
      <w:spacing w:after="40"/>
    </w:pPr>
  </w:style>
  <w:style w:type="character" w:styleId="CommentReference">
    <w:name w:val="annotation reference"/>
    <w:basedOn w:val="DefaultParagraphFont"/>
    <w:unhideWhenUsed/>
    <w:rsid w:val="008F3C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F3C73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1"/>
      </w:numPr>
    </w:pPr>
  </w:style>
  <w:style w:type="character" w:customStyle="1" w:styleId="CommentTextChar">
    <w:name w:val="Comment Text Char"/>
    <w:basedOn w:val="DefaultParagraphFont"/>
    <w:link w:val="CommentText"/>
    <w:rsid w:val="008F3C73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C73"/>
    <w:rPr>
      <w:b/>
      <w:bCs/>
    </w:r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1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C73"/>
    <w:rPr>
      <w:rFonts w:ascii="Cambria" w:hAnsi="Cambria"/>
      <w:b/>
      <w:bCs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1"/>
      </w:numPr>
    </w:pPr>
  </w:style>
  <w:style w:type="numbering" w:customStyle="1" w:styleId="ZZNumbers">
    <w:name w:val="ZZ Numbers"/>
    <w:rsid w:val="00152073"/>
    <w:pPr>
      <w:numPr>
        <w:numId w:val="2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1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2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2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2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8F3C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7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07374"/>
    <w:pPr>
      <w:ind w:left="720"/>
      <w:contextualSpacing/>
    </w:pPr>
  </w:style>
  <w:style w:type="paragraph" w:customStyle="1" w:styleId="MELegal1">
    <w:name w:val="ME Legal 1"/>
    <w:basedOn w:val="Normal"/>
    <w:qFormat/>
    <w:rsid w:val="00FD21A2"/>
    <w:pPr>
      <w:numPr>
        <w:numId w:val="3"/>
      </w:numPr>
      <w:spacing w:line="240" w:lineRule="auto"/>
      <w:outlineLvl w:val="0"/>
    </w:pPr>
    <w:rPr>
      <w:rFonts w:ascii="Arial" w:eastAsiaTheme="minorEastAsia" w:hAnsi="Arial" w:cs="Times New Roman"/>
      <w:sz w:val="20"/>
      <w:szCs w:val="24"/>
      <w:lang w:eastAsia="zh-CN"/>
    </w:rPr>
  </w:style>
  <w:style w:type="paragraph" w:customStyle="1" w:styleId="MELegal2">
    <w:name w:val="ME Legal 2"/>
    <w:basedOn w:val="Normal"/>
    <w:qFormat/>
    <w:rsid w:val="00FD21A2"/>
    <w:pPr>
      <w:numPr>
        <w:ilvl w:val="1"/>
        <w:numId w:val="3"/>
      </w:numPr>
      <w:spacing w:line="240" w:lineRule="auto"/>
      <w:outlineLvl w:val="1"/>
    </w:pPr>
    <w:rPr>
      <w:rFonts w:ascii="Arial" w:eastAsiaTheme="minorEastAsia" w:hAnsi="Arial" w:cs="Times New Roman"/>
      <w:sz w:val="20"/>
      <w:szCs w:val="24"/>
      <w:lang w:eastAsia="zh-CN"/>
    </w:rPr>
  </w:style>
  <w:style w:type="paragraph" w:customStyle="1" w:styleId="MELegal3">
    <w:name w:val="ME Legal 3"/>
    <w:basedOn w:val="Normal"/>
    <w:qFormat/>
    <w:rsid w:val="00FD21A2"/>
    <w:pPr>
      <w:numPr>
        <w:ilvl w:val="2"/>
        <w:numId w:val="3"/>
      </w:numPr>
      <w:spacing w:line="240" w:lineRule="auto"/>
      <w:outlineLvl w:val="2"/>
    </w:pPr>
    <w:rPr>
      <w:rFonts w:ascii="Arial" w:eastAsiaTheme="minorEastAsia" w:hAnsi="Arial" w:cs="Times New Roman"/>
      <w:sz w:val="20"/>
      <w:szCs w:val="24"/>
      <w:lang w:eastAsia="zh-CN"/>
    </w:rPr>
  </w:style>
  <w:style w:type="paragraph" w:customStyle="1" w:styleId="MELegal4">
    <w:name w:val="ME Legal 4"/>
    <w:basedOn w:val="Normal"/>
    <w:qFormat/>
    <w:rsid w:val="00FD21A2"/>
    <w:pPr>
      <w:numPr>
        <w:ilvl w:val="3"/>
        <w:numId w:val="3"/>
      </w:numPr>
      <w:spacing w:line="240" w:lineRule="auto"/>
      <w:outlineLvl w:val="3"/>
    </w:pPr>
    <w:rPr>
      <w:rFonts w:ascii="Arial" w:eastAsiaTheme="minorEastAsia" w:hAnsi="Arial" w:cs="Times New Roman"/>
      <w:sz w:val="20"/>
      <w:szCs w:val="24"/>
      <w:lang w:eastAsia="zh-CN"/>
    </w:rPr>
  </w:style>
  <w:style w:type="paragraph" w:customStyle="1" w:styleId="MELegal5">
    <w:name w:val="ME Legal 5"/>
    <w:basedOn w:val="Normal"/>
    <w:qFormat/>
    <w:rsid w:val="00FD21A2"/>
    <w:pPr>
      <w:numPr>
        <w:ilvl w:val="4"/>
        <w:numId w:val="3"/>
      </w:numPr>
      <w:spacing w:line="240" w:lineRule="auto"/>
      <w:outlineLvl w:val="4"/>
    </w:pPr>
    <w:rPr>
      <w:rFonts w:ascii="Arial" w:eastAsiaTheme="minorEastAsia" w:hAnsi="Arial" w:cs="Times New Roman"/>
      <w:sz w:val="20"/>
      <w:szCs w:val="24"/>
      <w:lang w:eastAsia="zh-CN"/>
    </w:rPr>
  </w:style>
  <w:style w:type="paragraph" w:customStyle="1" w:styleId="MELegal6">
    <w:name w:val="ME Legal 6"/>
    <w:basedOn w:val="Normal"/>
    <w:qFormat/>
    <w:rsid w:val="00FD21A2"/>
    <w:pPr>
      <w:numPr>
        <w:ilvl w:val="5"/>
        <w:numId w:val="3"/>
      </w:numPr>
      <w:spacing w:line="240" w:lineRule="auto"/>
      <w:outlineLvl w:val="5"/>
    </w:pPr>
    <w:rPr>
      <w:rFonts w:ascii="Arial" w:eastAsiaTheme="minorEastAsia" w:hAnsi="Arial" w:cs="Times New Roman"/>
      <w:sz w:val="20"/>
      <w:szCs w:val="24"/>
      <w:lang w:eastAsia="zh-CN"/>
    </w:rPr>
  </w:style>
  <w:style w:type="numbering" w:customStyle="1" w:styleId="MELegal">
    <w:name w:val="ME Legal"/>
    <w:uiPriority w:val="99"/>
    <w:rsid w:val="00FD21A2"/>
    <w:pPr>
      <w:numPr>
        <w:numId w:val="3"/>
      </w:numPr>
    </w:pPr>
  </w:style>
  <w:style w:type="paragraph" w:customStyle="1" w:styleId="MELegal7">
    <w:name w:val="ME Legal 7"/>
    <w:basedOn w:val="Normal"/>
    <w:semiHidden/>
    <w:unhideWhenUsed/>
    <w:qFormat/>
    <w:rsid w:val="00FD21A2"/>
    <w:pPr>
      <w:numPr>
        <w:ilvl w:val="6"/>
        <w:numId w:val="3"/>
      </w:numPr>
      <w:spacing w:line="240" w:lineRule="auto"/>
    </w:pPr>
    <w:rPr>
      <w:rFonts w:ascii="Arial" w:eastAsiaTheme="minorEastAsia" w:hAnsi="Arial" w:cs="Times New Roman"/>
      <w:sz w:val="20"/>
      <w:szCs w:val="24"/>
      <w:lang w:eastAsia="zh-CN"/>
    </w:rPr>
  </w:style>
  <w:style w:type="paragraph" w:customStyle="1" w:styleId="MELegal8">
    <w:name w:val="ME Legal 8"/>
    <w:basedOn w:val="Normal"/>
    <w:semiHidden/>
    <w:unhideWhenUsed/>
    <w:qFormat/>
    <w:rsid w:val="00FD21A2"/>
    <w:pPr>
      <w:numPr>
        <w:ilvl w:val="7"/>
        <w:numId w:val="3"/>
      </w:numPr>
      <w:spacing w:line="240" w:lineRule="auto"/>
    </w:pPr>
    <w:rPr>
      <w:rFonts w:ascii="Arial" w:eastAsiaTheme="minorEastAsia" w:hAnsi="Arial" w:cs="Times New Roman"/>
      <w:sz w:val="20"/>
      <w:szCs w:val="24"/>
      <w:lang w:eastAsia="zh-CN"/>
    </w:rPr>
  </w:style>
  <w:style w:type="paragraph" w:customStyle="1" w:styleId="MELegal9">
    <w:name w:val="ME Legal 9"/>
    <w:basedOn w:val="Normal"/>
    <w:semiHidden/>
    <w:unhideWhenUsed/>
    <w:qFormat/>
    <w:rsid w:val="00FD21A2"/>
    <w:pPr>
      <w:numPr>
        <w:ilvl w:val="8"/>
        <w:numId w:val="3"/>
      </w:numPr>
      <w:spacing w:line="240" w:lineRule="auto"/>
    </w:pPr>
    <w:rPr>
      <w:rFonts w:ascii="Arial" w:eastAsiaTheme="minorEastAsia" w:hAnsi="Arial" w:cs="Times New Roman"/>
      <w:sz w:val="20"/>
      <w:szCs w:val="24"/>
      <w:lang w:eastAsia="zh-CN"/>
    </w:rPr>
  </w:style>
  <w:style w:type="paragraph" w:customStyle="1" w:styleId="Section">
    <w:name w:val="Section"/>
    <w:basedOn w:val="Normal"/>
    <w:rsid w:val="00400C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rsid w:val="009353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annotation text" w:uiPriority="0"/>
    <w:lsdException w:name="caption" w:uiPriority="35" w:qFormat="1"/>
    <w:lsdException w:name="footnote reference" w:uiPriority="8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0D46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1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after="0" w:line="240" w:lineRule="auto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 w:line="240" w:lineRule="auto"/>
      <w:jc w:val="center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1"/>
      </w:numPr>
      <w:spacing w:after="40"/>
    </w:pPr>
  </w:style>
  <w:style w:type="character" w:styleId="CommentReference">
    <w:name w:val="annotation reference"/>
    <w:basedOn w:val="DefaultParagraphFont"/>
    <w:unhideWhenUsed/>
    <w:rsid w:val="008F3C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F3C73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1"/>
      </w:numPr>
    </w:pPr>
  </w:style>
  <w:style w:type="character" w:customStyle="1" w:styleId="CommentTextChar">
    <w:name w:val="Comment Text Char"/>
    <w:basedOn w:val="DefaultParagraphFont"/>
    <w:link w:val="CommentText"/>
    <w:rsid w:val="008F3C73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C73"/>
    <w:rPr>
      <w:b/>
      <w:bCs/>
    </w:r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1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C73"/>
    <w:rPr>
      <w:rFonts w:ascii="Cambria" w:hAnsi="Cambria"/>
      <w:b/>
      <w:bCs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1"/>
      </w:numPr>
    </w:pPr>
  </w:style>
  <w:style w:type="numbering" w:customStyle="1" w:styleId="ZZNumbers">
    <w:name w:val="ZZ Numbers"/>
    <w:rsid w:val="00152073"/>
    <w:pPr>
      <w:numPr>
        <w:numId w:val="2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1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2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2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2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8F3C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7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07374"/>
    <w:pPr>
      <w:ind w:left="720"/>
      <w:contextualSpacing/>
    </w:pPr>
  </w:style>
  <w:style w:type="paragraph" w:customStyle="1" w:styleId="MELegal1">
    <w:name w:val="ME Legal 1"/>
    <w:basedOn w:val="Normal"/>
    <w:qFormat/>
    <w:rsid w:val="00FD21A2"/>
    <w:pPr>
      <w:numPr>
        <w:numId w:val="3"/>
      </w:numPr>
      <w:spacing w:line="240" w:lineRule="auto"/>
      <w:outlineLvl w:val="0"/>
    </w:pPr>
    <w:rPr>
      <w:rFonts w:ascii="Arial" w:eastAsiaTheme="minorEastAsia" w:hAnsi="Arial" w:cs="Times New Roman"/>
      <w:sz w:val="20"/>
      <w:szCs w:val="24"/>
      <w:lang w:eastAsia="zh-CN"/>
    </w:rPr>
  </w:style>
  <w:style w:type="paragraph" w:customStyle="1" w:styleId="MELegal2">
    <w:name w:val="ME Legal 2"/>
    <w:basedOn w:val="Normal"/>
    <w:qFormat/>
    <w:rsid w:val="00FD21A2"/>
    <w:pPr>
      <w:numPr>
        <w:ilvl w:val="1"/>
        <w:numId w:val="3"/>
      </w:numPr>
      <w:spacing w:line="240" w:lineRule="auto"/>
      <w:outlineLvl w:val="1"/>
    </w:pPr>
    <w:rPr>
      <w:rFonts w:ascii="Arial" w:eastAsiaTheme="minorEastAsia" w:hAnsi="Arial" w:cs="Times New Roman"/>
      <w:sz w:val="20"/>
      <w:szCs w:val="24"/>
      <w:lang w:eastAsia="zh-CN"/>
    </w:rPr>
  </w:style>
  <w:style w:type="paragraph" w:customStyle="1" w:styleId="MELegal3">
    <w:name w:val="ME Legal 3"/>
    <w:basedOn w:val="Normal"/>
    <w:qFormat/>
    <w:rsid w:val="00FD21A2"/>
    <w:pPr>
      <w:numPr>
        <w:ilvl w:val="2"/>
        <w:numId w:val="3"/>
      </w:numPr>
      <w:spacing w:line="240" w:lineRule="auto"/>
      <w:outlineLvl w:val="2"/>
    </w:pPr>
    <w:rPr>
      <w:rFonts w:ascii="Arial" w:eastAsiaTheme="minorEastAsia" w:hAnsi="Arial" w:cs="Times New Roman"/>
      <w:sz w:val="20"/>
      <w:szCs w:val="24"/>
      <w:lang w:eastAsia="zh-CN"/>
    </w:rPr>
  </w:style>
  <w:style w:type="paragraph" w:customStyle="1" w:styleId="MELegal4">
    <w:name w:val="ME Legal 4"/>
    <w:basedOn w:val="Normal"/>
    <w:qFormat/>
    <w:rsid w:val="00FD21A2"/>
    <w:pPr>
      <w:numPr>
        <w:ilvl w:val="3"/>
        <w:numId w:val="3"/>
      </w:numPr>
      <w:spacing w:line="240" w:lineRule="auto"/>
      <w:outlineLvl w:val="3"/>
    </w:pPr>
    <w:rPr>
      <w:rFonts w:ascii="Arial" w:eastAsiaTheme="minorEastAsia" w:hAnsi="Arial" w:cs="Times New Roman"/>
      <w:sz w:val="20"/>
      <w:szCs w:val="24"/>
      <w:lang w:eastAsia="zh-CN"/>
    </w:rPr>
  </w:style>
  <w:style w:type="paragraph" w:customStyle="1" w:styleId="MELegal5">
    <w:name w:val="ME Legal 5"/>
    <w:basedOn w:val="Normal"/>
    <w:qFormat/>
    <w:rsid w:val="00FD21A2"/>
    <w:pPr>
      <w:numPr>
        <w:ilvl w:val="4"/>
        <w:numId w:val="3"/>
      </w:numPr>
      <w:spacing w:line="240" w:lineRule="auto"/>
      <w:outlineLvl w:val="4"/>
    </w:pPr>
    <w:rPr>
      <w:rFonts w:ascii="Arial" w:eastAsiaTheme="minorEastAsia" w:hAnsi="Arial" w:cs="Times New Roman"/>
      <w:sz w:val="20"/>
      <w:szCs w:val="24"/>
      <w:lang w:eastAsia="zh-CN"/>
    </w:rPr>
  </w:style>
  <w:style w:type="paragraph" w:customStyle="1" w:styleId="MELegal6">
    <w:name w:val="ME Legal 6"/>
    <w:basedOn w:val="Normal"/>
    <w:qFormat/>
    <w:rsid w:val="00FD21A2"/>
    <w:pPr>
      <w:numPr>
        <w:ilvl w:val="5"/>
        <w:numId w:val="3"/>
      </w:numPr>
      <w:spacing w:line="240" w:lineRule="auto"/>
      <w:outlineLvl w:val="5"/>
    </w:pPr>
    <w:rPr>
      <w:rFonts w:ascii="Arial" w:eastAsiaTheme="minorEastAsia" w:hAnsi="Arial" w:cs="Times New Roman"/>
      <w:sz w:val="20"/>
      <w:szCs w:val="24"/>
      <w:lang w:eastAsia="zh-CN"/>
    </w:rPr>
  </w:style>
  <w:style w:type="numbering" w:customStyle="1" w:styleId="MELegal">
    <w:name w:val="ME Legal"/>
    <w:uiPriority w:val="99"/>
    <w:rsid w:val="00FD21A2"/>
    <w:pPr>
      <w:numPr>
        <w:numId w:val="3"/>
      </w:numPr>
    </w:pPr>
  </w:style>
  <w:style w:type="paragraph" w:customStyle="1" w:styleId="MELegal7">
    <w:name w:val="ME Legal 7"/>
    <w:basedOn w:val="Normal"/>
    <w:semiHidden/>
    <w:unhideWhenUsed/>
    <w:qFormat/>
    <w:rsid w:val="00FD21A2"/>
    <w:pPr>
      <w:numPr>
        <w:ilvl w:val="6"/>
        <w:numId w:val="3"/>
      </w:numPr>
      <w:spacing w:line="240" w:lineRule="auto"/>
    </w:pPr>
    <w:rPr>
      <w:rFonts w:ascii="Arial" w:eastAsiaTheme="minorEastAsia" w:hAnsi="Arial" w:cs="Times New Roman"/>
      <w:sz w:val="20"/>
      <w:szCs w:val="24"/>
      <w:lang w:eastAsia="zh-CN"/>
    </w:rPr>
  </w:style>
  <w:style w:type="paragraph" w:customStyle="1" w:styleId="MELegal8">
    <w:name w:val="ME Legal 8"/>
    <w:basedOn w:val="Normal"/>
    <w:semiHidden/>
    <w:unhideWhenUsed/>
    <w:qFormat/>
    <w:rsid w:val="00FD21A2"/>
    <w:pPr>
      <w:numPr>
        <w:ilvl w:val="7"/>
        <w:numId w:val="3"/>
      </w:numPr>
      <w:spacing w:line="240" w:lineRule="auto"/>
    </w:pPr>
    <w:rPr>
      <w:rFonts w:ascii="Arial" w:eastAsiaTheme="minorEastAsia" w:hAnsi="Arial" w:cs="Times New Roman"/>
      <w:sz w:val="20"/>
      <w:szCs w:val="24"/>
      <w:lang w:eastAsia="zh-CN"/>
    </w:rPr>
  </w:style>
  <w:style w:type="paragraph" w:customStyle="1" w:styleId="MELegal9">
    <w:name w:val="ME Legal 9"/>
    <w:basedOn w:val="Normal"/>
    <w:semiHidden/>
    <w:unhideWhenUsed/>
    <w:qFormat/>
    <w:rsid w:val="00FD21A2"/>
    <w:pPr>
      <w:numPr>
        <w:ilvl w:val="8"/>
        <w:numId w:val="3"/>
      </w:numPr>
      <w:spacing w:line="240" w:lineRule="auto"/>
    </w:pPr>
    <w:rPr>
      <w:rFonts w:ascii="Arial" w:eastAsiaTheme="minorEastAsia" w:hAnsi="Arial" w:cs="Times New Roman"/>
      <w:sz w:val="20"/>
      <w:szCs w:val="24"/>
      <w:lang w:eastAsia="zh-CN"/>
    </w:rPr>
  </w:style>
  <w:style w:type="paragraph" w:customStyle="1" w:styleId="Section">
    <w:name w:val="Section"/>
    <w:basedOn w:val="Normal"/>
    <w:rsid w:val="00400C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rsid w:val="009353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448E-DDC8-4B46-9565-D8EE38FF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2728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behavioural assessment rooms in emergency departments</vt:lpstr>
    </vt:vector>
  </TitlesOfParts>
  <Company>Department of Health and Human Services</Company>
  <LinksUpToDate>false</LinksUpToDate>
  <CharactersWithSpaces>18414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behavioural assessment rooms in emergency departments</dc:title>
  <dc:subject>Behavioural assessment rooms in emergency departments guidelines</dc:subject>
  <dc:creator>Policy and Planning</dc:creator>
  <cp:keywords>guidelines, behavioural assessment room, emergency department, BAR</cp:keywords>
  <cp:lastModifiedBy>Sian M Reilly (DHHS)</cp:lastModifiedBy>
  <cp:revision>8</cp:revision>
  <cp:lastPrinted>2017-05-29T23:23:00Z</cp:lastPrinted>
  <dcterms:created xsi:type="dcterms:W3CDTF">2017-05-29T04:31:00Z</dcterms:created>
  <dcterms:modified xsi:type="dcterms:W3CDTF">2017-05-30T01:45:00Z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