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77777777" w:rsidR="00306E5F" w:rsidRPr="00BE2218" w:rsidRDefault="00E30F56" w:rsidP="00DE6028">
      <w:pPr>
        <w:pStyle w:val="Spacerparatopoffirstpage"/>
      </w:pPr>
      <w:r>
        <w:drawing>
          <wp:anchor distT="0" distB="0" distL="114300" distR="114300" simplePos="0" relativeHeight="251658240" behindDoc="1" locked="0" layoutInCell="1" allowOverlap="1" wp14:anchorId="7D7DFA02" wp14:editId="64ED08C0">
            <wp:simplePos x="0" y="0"/>
            <wp:positionH relativeFrom="column">
              <wp:posOffset>-540386</wp:posOffset>
            </wp:positionH>
            <wp:positionV relativeFrom="paragraph">
              <wp:posOffset>-269875</wp:posOffset>
            </wp:positionV>
            <wp:extent cx="10691495" cy="1509496"/>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7777777" w:rsidR="00CF11E1" w:rsidRPr="00BE2218" w:rsidRDefault="00E30F56" w:rsidP="007B44BE">
            <w:pPr>
              <w:pStyle w:val="VAHImainheading"/>
            </w:pPr>
            <w:r>
              <w:rPr>
                <w:noProof/>
              </w:rPr>
              <mc:AlternateContent>
                <mc:Choice Requires="wps">
                  <w:drawing>
                    <wp:anchor distT="0" distB="0" distL="114300" distR="114300" simplePos="0" relativeHeight="251659264" behindDoc="0" locked="0" layoutInCell="1" allowOverlap="1" wp14:anchorId="7475887C" wp14:editId="5C01FBF9">
                      <wp:simplePos x="0" y="0"/>
                      <wp:positionH relativeFrom="column">
                        <wp:posOffset>2308225</wp:posOffset>
                      </wp:positionH>
                      <wp:positionV relativeFrom="paragraph">
                        <wp:posOffset>76835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03993808" w:rsidR="000559B2" w:rsidRPr="002411E3" w:rsidRDefault="000559B2" w:rsidP="007B44BE">
                                  <w:pPr>
                                    <w:pStyle w:val="VAHImainheading"/>
                                    <w:rPr>
                                      <w:b w:val="0"/>
                                    </w:rPr>
                                  </w:pPr>
                                  <w:r w:rsidRPr="002411E3">
                                    <w:rPr>
                                      <w:b w:val="0"/>
                                    </w:rPr>
                                    <w:t>A</w:t>
                                  </w:r>
                                  <w:r>
                                    <w:rPr>
                                      <w:b w:val="0"/>
                                    </w:rPr>
                                    <w:t>ged</w:t>
                                  </w:r>
                                  <w:r w:rsidRPr="002411E3">
                                    <w:rPr>
                                      <w:b w:val="0"/>
                                    </w:rPr>
                                    <w:t xml:space="preserve"> mental health quarterly KPI report</w:t>
                                  </w:r>
                                </w:p>
                                <w:p w14:paraId="16F4D0CE" w14:textId="29727F11" w:rsidR="000559B2" w:rsidRPr="007B44BE" w:rsidRDefault="004A1C0F" w:rsidP="007B44BE">
                                  <w:pPr>
                                    <w:pStyle w:val="VAHImainsubheading"/>
                                  </w:pPr>
                                  <w:r>
                                    <w:t>January</w:t>
                                  </w:r>
                                  <w:r w:rsidR="00F91472">
                                    <w:t xml:space="preserve"> – </w:t>
                                  </w:r>
                                  <w:r>
                                    <w:t>March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1.75pt;margin-top:6.0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" filled="f" stroked="f" strokeweight=".5pt">
                      <v:textbox>
                        <w:txbxContent>
                          <w:p w14:paraId="590459C5" w14:textId="03993808" w:rsidR="000559B2" w:rsidRPr="002411E3" w:rsidRDefault="000559B2" w:rsidP="007B44BE">
                            <w:pPr>
                              <w:pStyle w:val="VAHImainheading"/>
                              <w:rPr>
                                <w:b w:val="0"/>
                              </w:rPr>
                            </w:pPr>
                            <w:r w:rsidRPr="002411E3">
                              <w:rPr>
                                <w:b w:val="0"/>
                              </w:rPr>
                              <w:t>A</w:t>
                            </w:r>
                            <w:r>
                              <w:rPr>
                                <w:b w:val="0"/>
                              </w:rPr>
                              <w:t>ged</w:t>
                            </w:r>
                            <w:r w:rsidRPr="002411E3">
                              <w:rPr>
                                <w:b w:val="0"/>
                              </w:rPr>
                              <w:t xml:space="preserve"> mental health quarterly KPI report</w:t>
                            </w:r>
                          </w:p>
                          <w:p w14:paraId="16F4D0CE" w14:textId="29727F11" w:rsidR="000559B2" w:rsidRPr="007B44BE" w:rsidRDefault="004A1C0F" w:rsidP="007B44BE">
                            <w:pPr>
                              <w:pStyle w:val="VAHImainsubheading"/>
                            </w:pPr>
                            <w:r>
                              <w:t>January</w:t>
                            </w:r>
                            <w:r w:rsidR="00F91472">
                              <w:t xml:space="preserve"> – </w:t>
                            </w:r>
                            <w:r>
                              <w:t>March 2020</w:t>
                            </w:r>
                          </w:p>
                        </w:txbxContent>
                      </v:textbox>
                    </v:shape>
                  </w:pict>
                </mc:Fallback>
              </mc:AlternateContent>
            </w: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448"/>
      <w:bookmarkEnd w:id="0"/>
      <w:r w:rsidRPr="000B0CCC">
        <w:rPr>
          <w:sz w:val="22"/>
          <w:szCs w:val="22"/>
        </w:rPr>
        <w:t>Contents</w:t>
      </w:r>
      <w:bookmarkEnd w:id="1"/>
      <w:r w:rsidR="00E30F56" w:rsidRPr="000B0CCC">
        <w:rPr>
          <w:sz w:val="22"/>
          <w:szCs w:val="22"/>
        </w:rPr>
        <w:t xml:space="preserve"> </w:t>
      </w:r>
    </w:p>
    <w:p w14:paraId="59223E65" w14:textId="282B580C" w:rsidR="004A1C0F" w:rsidRPr="004A1C0F" w:rsidRDefault="00CF11E1">
      <w:pPr>
        <w:pStyle w:val="TOC1"/>
        <w:rPr>
          <w:rFonts w:asciiTheme="minorHAnsi" w:eastAsiaTheme="minorEastAsia" w:hAnsiTheme="minorHAnsi" w:cstheme="minorBidi"/>
          <w:sz w:val="22"/>
          <w:szCs w:val="22"/>
          <w:lang w:eastAsia="en-AU"/>
        </w:rPr>
      </w:pPr>
      <w:r w:rsidRPr="004A1C0F">
        <w:rPr>
          <w:rFonts w:ascii="VIC" w:hAnsi="VIC"/>
          <w:sz w:val="22"/>
          <w:szCs w:val="22"/>
        </w:rPr>
        <w:fldChar w:fldCharType="begin"/>
      </w:r>
      <w:r w:rsidRPr="004A1C0F">
        <w:rPr>
          <w:rFonts w:ascii="VIC" w:hAnsi="VIC"/>
          <w:sz w:val="22"/>
          <w:szCs w:val="22"/>
        </w:rPr>
        <w:instrText xml:space="preserve"> TOC \h \z \t "Heading 1,1,Heading 2,2" </w:instrText>
      </w:r>
      <w:r w:rsidRPr="004A1C0F">
        <w:rPr>
          <w:rFonts w:ascii="VIC" w:hAnsi="VIC"/>
          <w:sz w:val="22"/>
          <w:szCs w:val="22"/>
        </w:rPr>
        <w:fldChar w:fldCharType="separate"/>
      </w:r>
      <w:hyperlink w:anchor="_Toc37865449" w:history="1">
        <w:r w:rsidR="004A1C0F" w:rsidRPr="004A1C0F">
          <w:rPr>
            <w:rStyle w:val="Hyperlink"/>
            <w:sz w:val="22"/>
            <w:szCs w:val="22"/>
          </w:rPr>
          <w:t>Inpatient 2019–20 Q3 Metro</w:t>
        </w:r>
        <w:r w:rsidR="004A1C0F" w:rsidRPr="004A1C0F">
          <w:rPr>
            <w:webHidden/>
            <w:sz w:val="22"/>
            <w:szCs w:val="22"/>
          </w:rPr>
          <w:tab/>
        </w:r>
        <w:r w:rsidR="004A1C0F" w:rsidRPr="004A1C0F">
          <w:rPr>
            <w:webHidden/>
            <w:sz w:val="22"/>
            <w:szCs w:val="22"/>
          </w:rPr>
          <w:fldChar w:fldCharType="begin"/>
        </w:r>
        <w:r w:rsidR="004A1C0F" w:rsidRPr="004A1C0F">
          <w:rPr>
            <w:webHidden/>
            <w:sz w:val="22"/>
            <w:szCs w:val="22"/>
          </w:rPr>
          <w:instrText xml:space="preserve"> PAGEREF _Toc37865449 \h </w:instrText>
        </w:r>
        <w:r w:rsidR="004A1C0F" w:rsidRPr="004A1C0F">
          <w:rPr>
            <w:webHidden/>
            <w:sz w:val="22"/>
            <w:szCs w:val="22"/>
          </w:rPr>
        </w:r>
        <w:r w:rsidR="004A1C0F" w:rsidRPr="004A1C0F">
          <w:rPr>
            <w:webHidden/>
            <w:sz w:val="22"/>
            <w:szCs w:val="22"/>
          </w:rPr>
          <w:fldChar w:fldCharType="separate"/>
        </w:r>
        <w:r w:rsidR="00E538EE">
          <w:rPr>
            <w:webHidden/>
            <w:sz w:val="22"/>
            <w:szCs w:val="22"/>
          </w:rPr>
          <w:t>2</w:t>
        </w:r>
        <w:r w:rsidR="004A1C0F" w:rsidRPr="004A1C0F">
          <w:rPr>
            <w:webHidden/>
            <w:sz w:val="22"/>
            <w:szCs w:val="22"/>
          </w:rPr>
          <w:fldChar w:fldCharType="end"/>
        </w:r>
      </w:hyperlink>
    </w:p>
    <w:p w14:paraId="11C08A53" w14:textId="3791795F" w:rsidR="004A1C0F" w:rsidRPr="004A1C0F" w:rsidRDefault="00E538EE">
      <w:pPr>
        <w:pStyle w:val="TOC1"/>
        <w:rPr>
          <w:rFonts w:asciiTheme="minorHAnsi" w:eastAsiaTheme="minorEastAsia" w:hAnsiTheme="minorHAnsi" w:cstheme="minorBidi"/>
          <w:sz w:val="22"/>
          <w:szCs w:val="22"/>
          <w:lang w:eastAsia="en-AU"/>
        </w:rPr>
      </w:pPr>
      <w:hyperlink w:anchor="_Toc37865450" w:history="1">
        <w:r w:rsidR="004A1C0F" w:rsidRPr="004A1C0F">
          <w:rPr>
            <w:rStyle w:val="Hyperlink"/>
            <w:sz w:val="22"/>
            <w:szCs w:val="22"/>
          </w:rPr>
          <w:t>Inpatient 2019–20 Q3 Rural</w:t>
        </w:r>
        <w:r w:rsidR="004A1C0F" w:rsidRPr="004A1C0F">
          <w:rPr>
            <w:webHidden/>
            <w:sz w:val="22"/>
            <w:szCs w:val="22"/>
          </w:rPr>
          <w:tab/>
        </w:r>
        <w:r w:rsidR="004A1C0F" w:rsidRPr="004A1C0F">
          <w:rPr>
            <w:webHidden/>
            <w:sz w:val="22"/>
            <w:szCs w:val="22"/>
          </w:rPr>
          <w:fldChar w:fldCharType="begin"/>
        </w:r>
        <w:r w:rsidR="004A1C0F" w:rsidRPr="004A1C0F">
          <w:rPr>
            <w:webHidden/>
            <w:sz w:val="22"/>
            <w:szCs w:val="22"/>
          </w:rPr>
          <w:instrText xml:space="preserve"> PAGEREF _Toc37865450 \h </w:instrText>
        </w:r>
        <w:r w:rsidR="004A1C0F" w:rsidRPr="004A1C0F">
          <w:rPr>
            <w:webHidden/>
            <w:sz w:val="22"/>
            <w:szCs w:val="22"/>
          </w:rPr>
        </w:r>
        <w:r w:rsidR="004A1C0F" w:rsidRPr="004A1C0F">
          <w:rPr>
            <w:webHidden/>
            <w:sz w:val="22"/>
            <w:szCs w:val="22"/>
          </w:rPr>
          <w:fldChar w:fldCharType="separate"/>
        </w:r>
        <w:r>
          <w:rPr>
            <w:webHidden/>
            <w:sz w:val="22"/>
            <w:szCs w:val="22"/>
          </w:rPr>
          <w:t>3</w:t>
        </w:r>
        <w:r w:rsidR="004A1C0F" w:rsidRPr="004A1C0F">
          <w:rPr>
            <w:webHidden/>
            <w:sz w:val="22"/>
            <w:szCs w:val="22"/>
          </w:rPr>
          <w:fldChar w:fldCharType="end"/>
        </w:r>
      </w:hyperlink>
    </w:p>
    <w:p w14:paraId="22875FA1" w14:textId="441657A8" w:rsidR="004A1C0F" w:rsidRPr="004A1C0F" w:rsidRDefault="00E538EE">
      <w:pPr>
        <w:pStyle w:val="TOC1"/>
        <w:rPr>
          <w:rFonts w:asciiTheme="minorHAnsi" w:eastAsiaTheme="minorEastAsia" w:hAnsiTheme="minorHAnsi" w:cstheme="minorBidi"/>
          <w:sz w:val="22"/>
          <w:szCs w:val="22"/>
          <w:lang w:eastAsia="en-AU"/>
        </w:rPr>
      </w:pPr>
      <w:hyperlink w:anchor="_Toc37865451" w:history="1">
        <w:r w:rsidR="004A1C0F" w:rsidRPr="004A1C0F">
          <w:rPr>
            <w:rStyle w:val="Hyperlink"/>
            <w:sz w:val="22"/>
            <w:szCs w:val="22"/>
          </w:rPr>
          <w:t>Community 2019–20 Q3 Metro</w:t>
        </w:r>
        <w:r w:rsidR="004A1C0F" w:rsidRPr="004A1C0F">
          <w:rPr>
            <w:webHidden/>
            <w:sz w:val="22"/>
            <w:szCs w:val="22"/>
          </w:rPr>
          <w:tab/>
        </w:r>
        <w:r w:rsidR="004A1C0F" w:rsidRPr="004A1C0F">
          <w:rPr>
            <w:webHidden/>
            <w:sz w:val="22"/>
            <w:szCs w:val="22"/>
          </w:rPr>
          <w:fldChar w:fldCharType="begin"/>
        </w:r>
        <w:r w:rsidR="004A1C0F" w:rsidRPr="004A1C0F">
          <w:rPr>
            <w:webHidden/>
            <w:sz w:val="22"/>
            <w:szCs w:val="22"/>
          </w:rPr>
          <w:instrText xml:space="preserve"> PAGEREF _Toc37865451 \h </w:instrText>
        </w:r>
        <w:r w:rsidR="004A1C0F" w:rsidRPr="004A1C0F">
          <w:rPr>
            <w:webHidden/>
            <w:sz w:val="22"/>
            <w:szCs w:val="22"/>
          </w:rPr>
        </w:r>
        <w:r w:rsidR="004A1C0F" w:rsidRPr="004A1C0F">
          <w:rPr>
            <w:webHidden/>
            <w:sz w:val="22"/>
            <w:szCs w:val="22"/>
          </w:rPr>
          <w:fldChar w:fldCharType="separate"/>
        </w:r>
        <w:r>
          <w:rPr>
            <w:webHidden/>
            <w:sz w:val="22"/>
            <w:szCs w:val="22"/>
          </w:rPr>
          <w:t>4</w:t>
        </w:r>
        <w:r w:rsidR="004A1C0F" w:rsidRPr="004A1C0F">
          <w:rPr>
            <w:webHidden/>
            <w:sz w:val="22"/>
            <w:szCs w:val="22"/>
          </w:rPr>
          <w:fldChar w:fldCharType="end"/>
        </w:r>
      </w:hyperlink>
    </w:p>
    <w:p w14:paraId="3E6C7649" w14:textId="7A51520D" w:rsidR="004A1C0F" w:rsidRPr="004A1C0F" w:rsidRDefault="00E538EE">
      <w:pPr>
        <w:pStyle w:val="TOC1"/>
        <w:rPr>
          <w:rFonts w:asciiTheme="minorHAnsi" w:eastAsiaTheme="minorEastAsia" w:hAnsiTheme="minorHAnsi" w:cstheme="minorBidi"/>
          <w:sz w:val="22"/>
          <w:szCs w:val="22"/>
          <w:lang w:eastAsia="en-AU"/>
        </w:rPr>
      </w:pPr>
      <w:hyperlink w:anchor="_Toc37865452" w:history="1">
        <w:r w:rsidR="004A1C0F" w:rsidRPr="004A1C0F">
          <w:rPr>
            <w:rStyle w:val="Hyperlink"/>
            <w:sz w:val="22"/>
            <w:szCs w:val="22"/>
          </w:rPr>
          <w:t>Community 2019–20 Q3 Rural</w:t>
        </w:r>
        <w:r w:rsidR="004A1C0F" w:rsidRPr="004A1C0F">
          <w:rPr>
            <w:webHidden/>
            <w:sz w:val="22"/>
            <w:szCs w:val="22"/>
          </w:rPr>
          <w:tab/>
        </w:r>
        <w:r w:rsidR="004A1C0F" w:rsidRPr="004A1C0F">
          <w:rPr>
            <w:webHidden/>
            <w:sz w:val="22"/>
            <w:szCs w:val="22"/>
          </w:rPr>
          <w:fldChar w:fldCharType="begin"/>
        </w:r>
        <w:r w:rsidR="004A1C0F" w:rsidRPr="004A1C0F">
          <w:rPr>
            <w:webHidden/>
            <w:sz w:val="22"/>
            <w:szCs w:val="22"/>
          </w:rPr>
          <w:instrText xml:space="preserve"> PAGEREF _Toc37865452 \h </w:instrText>
        </w:r>
        <w:r w:rsidR="004A1C0F" w:rsidRPr="004A1C0F">
          <w:rPr>
            <w:webHidden/>
            <w:sz w:val="22"/>
            <w:szCs w:val="22"/>
          </w:rPr>
        </w:r>
        <w:r w:rsidR="004A1C0F" w:rsidRPr="004A1C0F">
          <w:rPr>
            <w:webHidden/>
            <w:sz w:val="22"/>
            <w:szCs w:val="22"/>
          </w:rPr>
          <w:fldChar w:fldCharType="separate"/>
        </w:r>
        <w:r>
          <w:rPr>
            <w:webHidden/>
            <w:sz w:val="22"/>
            <w:szCs w:val="22"/>
          </w:rPr>
          <w:t>5</w:t>
        </w:r>
        <w:r w:rsidR="004A1C0F" w:rsidRPr="004A1C0F">
          <w:rPr>
            <w:webHidden/>
            <w:sz w:val="22"/>
            <w:szCs w:val="22"/>
          </w:rPr>
          <w:fldChar w:fldCharType="end"/>
        </w:r>
      </w:hyperlink>
    </w:p>
    <w:p w14:paraId="62029D58" w14:textId="66EB18EB" w:rsidR="004A1C0F" w:rsidRPr="004A1C0F" w:rsidRDefault="00E538EE">
      <w:pPr>
        <w:pStyle w:val="TOC1"/>
        <w:rPr>
          <w:rFonts w:asciiTheme="minorHAnsi" w:eastAsiaTheme="minorEastAsia" w:hAnsiTheme="minorHAnsi" w:cstheme="minorBidi"/>
          <w:sz w:val="22"/>
          <w:szCs w:val="22"/>
          <w:lang w:eastAsia="en-AU"/>
        </w:rPr>
      </w:pPr>
      <w:hyperlink w:anchor="_Toc37865453" w:history="1">
        <w:r w:rsidR="004A1C0F" w:rsidRPr="004A1C0F">
          <w:rPr>
            <w:rStyle w:val="Hyperlink"/>
            <w:sz w:val="22"/>
            <w:szCs w:val="22"/>
          </w:rPr>
          <w:t>Inpatient 2019–20 Q1–Q3 Metro</w:t>
        </w:r>
        <w:r w:rsidR="004A1C0F" w:rsidRPr="004A1C0F">
          <w:rPr>
            <w:webHidden/>
            <w:sz w:val="22"/>
            <w:szCs w:val="22"/>
          </w:rPr>
          <w:tab/>
        </w:r>
        <w:r w:rsidR="004A1C0F" w:rsidRPr="004A1C0F">
          <w:rPr>
            <w:webHidden/>
            <w:sz w:val="22"/>
            <w:szCs w:val="22"/>
          </w:rPr>
          <w:fldChar w:fldCharType="begin"/>
        </w:r>
        <w:r w:rsidR="004A1C0F" w:rsidRPr="004A1C0F">
          <w:rPr>
            <w:webHidden/>
            <w:sz w:val="22"/>
            <w:szCs w:val="22"/>
          </w:rPr>
          <w:instrText xml:space="preserve"> PAGEREF _Toc37865453 \h </w:instrText>
        </w:r>
        <w:r w:rsidR="004A1C0F" w:rsidRPr="004A1C0F">
          <w:rPr>
            <w:webHidden/>
            <w:sz w:val="22"/>
            <w:szCs w:val="22"/>
          </w:rPr>
        </w:r>
        <w:r w:rsidR="004A1C0F" w:rsidRPr="004A1C0F">
          <w:rPr>
            <w:webHidden/>
            <w:sz w:val="22"/>
            <w:szCs w:val="22"/>
          </w:rPr>
          <w:fldChar w:fldCharType="separate"/>
        </w:r>
        <w:r>
          <w:rPr>
            <w:webHidden/>
            <w:sz w:val="22"/>
            <w:szCs w:val="22"/>
          </w:rPr>
          <w:t>6</w:t>
        </w:r>
        <w:r w:rsidR="004A1C0F" w:rsidRPr="004A1C0F">
          <w:rPr>
            <w:webHidden/>
            <w:sz w:val="22"/>
            <w:szCs w:val="22"/>
          </w:rPr>
          <w:fldChar w:fldCharType="end"/>
        </w:r>
      </w:hyperlink>
      <w:bookmarkStart w:id="2" w:name="_GoBack"/>
      <w:bookmarkEnd w:id="2"/>
    </w:p>
    <w:p w14:paraId="195B161B" w14:textId="669DFFEF" w:rsidR="004A1C0F" w:rsidRPr="004A1C0F" w:rsidRDefault="00E538EE">
      <w:pPr>
        <w:pStyle w:val="TOC1"/>
        <w:rPr>
          <w:rFonts w:asciiTheme="minorHAnsi" w:eastAsiaTheme="minorEastAsia" w:hAnsiTheme="minorHAnsi" w:cstheme="minorBidi"/>
          <w:sz w:val="22"/>
          <w:szCs w:val="22"/>
          <w:lang w:eastAsia="en-AU"/>
        </w:rPr>
      </w:pPr>
      <w:hyperlink w:anchor="_Toc37865454" w:history="1">
        <w:r w:rsidR="004A1C0F" w:rsidRPr="004A1C0F">
          <w:rPr>
            <w:rStyle w:val="Hyperlink"/>
            <w:sz w:val="22"/>
            <w:szCs w:val="22"/>
          </w:rPr>
          <w:t>Inpatient 2019–20 Q1–Q3 Rural</w:t>
        </w:r>
        <w:r w:rsidR="004A1C0F" w:rsidRPr="004A1C0F">
          <w:rPr>
            <w:webHidden/>
            <w:sz w:val="22"/>
            <w:szCs w:val="22"/>
          </w:rPr>
          <w:tab/>
        </w:r>
        <w:r w:rsidR="004A1C0F" w:rsidRPr="004A1C0F">
          <w:rPr>
            <w:webHidden/>
            <w:sz w:val="22"/>
            <w:szCs w:val="22"/>
          </w:rPr>
          <w:fldChar w:fldCharType="begin"/>
        </w:r>
        <w:r w:rsidR="004A1C0F" w:rsidRPr="004A1C0F">
          <w:rPr>
            <w:webHidden/>
            <w:sz w:val="22"/>
            <w:szCs w:val="22"/>
          </w:rPr>
          <w:instrText xml:space="preserve"> PAGEREF _Toc37865454 \h </w:instrText>
        </w:r>
        <w:r w:rsidR="004A1C0F" w:rsidRPr="004A1C0F">
          <w:rPr>
            <w:webHidden/>
            <w:sz w:val="22"/>
            <w:szCs w:val="22"/>
          </w:rPr>
        </w:r>
        <w:r w:rsidR="004A1C0F" w:rsidRPr="004A1C0F">
          <w:rPr>
            <w:webHidden/>
            <w:sz w:val="22"/>
            <w:szCs w:val="22"/>
          </w:rPr>
          <w:fldChar w:fldCharType="separate"/>
        </w:r>
        <w:r>
          <w:rPr>
            <w:webHidden/>
            <w:sz w:val="22"/>
            <w:szCs w:val="22"/>
          </w:rPr>
          <w:t>7</w:t>
        </w:r>
        <w:r w:rsidR="004A1C0F" w:rsidRPr="004A1C0F">
          <w:rPr>
            <w:webHidden/>
            <w:sz w:val="22"/>
            <w:szCs w:val="22"/>
          </w:rPr>
          <w:fldChar w:fldCharType="end"/>
        </w:r>
      </w:hyperlink>
    </w:p>
    <w:p w14:paraId="566BDB2E" w14:textId="2DBF202A" w:rsidR="004A1C0F" w:rsidRPr="004A1C0F" w:rsidRDefault="00E538EE">
      <w:pPr>
        <w:pStyle w:val="TOC1"/>
        <w:rPr>
          <w:rFonts w:asciiTheme="minorHAnsi" w:eastAsiaTheme="minorEastAsia" w:hAnsiTheme="minorHAnsi" w:cstheme="minorBidi"/>
          <w:sz w:val="22"/>
          <w:szCs w:val="22"/>
          <w:lang w:eastAsia="en-AU"/>
        </w:rPr>
      </w:pPr>
      <w:hyperlink w:anchor="_Toc37865455" w:history="1">
        <w:r w:rsidR="004A1C0F" w:rsidRPr="004A1C0F">
          <w:rPr>
            <w:rStyle w:val="Hyperlink"/>
            <w:sz w:val="22"/>
            <w:szCs w:val="22"/>
          </w:rPr>
          <w:t>Community 2019–20 Q1–Q3 Metro</w:t>
        </w:r>
        <w:r w:rsidR="004A1C0F" w:rsidRPr="004A1C0F">
          <w:rPr>
            <w:webHidden/>
            <w:sz w:val="22"/>
            <w:szCs w:val="22"/>
          </w:rPr>
          <w:tab/>
        </w:r>
        <w:r w:rsidR="004A1C0F" w:rsidRPr="004A1C0F">
          <w:rPr>
            <w:webHidden/>
            <w:sz w:val="22"/>
            <w:szCs w:val="22"/>
          </w:rPr>
          <w:fldChar w:fldCharType="begin"/>
        </w:r>
        <w:r w:rsidR="004A1C0F" w:rsidRPr="004A1C0F">
          <w:rPr>
            <w:webHidden/>
            <w:sz w:val="22"/>
            <w:szCs w:val="22"/>
          </w:rPr>
          <w:instrText xml:space="preserve"> PAGEREF _Toc37865455 \h </w:instrText>
        </w:r>
        <w:r w:rsidR="004A1C0F" w:rsidRPr="004A1C0F">
          <w:rPr>
            <w:webHidden/>
            <w:sz w:val="22"/>
            <w:szCs w:val="22"/>
          </w:rPr>
        </w:r>
        <w:r w:rsidR="004A1C0F" w:rsidRPr="004A1C0F">
          <w:rPr>
            <w:webHidden/>
            <w:sz w:val="22"/>
            <w:szCs w:val="22"/>
          </w:rPr>
          <w:fldChar w:fldCharType="separate"/>
        </w:r>
        <w:r>
          <w:rPr>
            <w:webHidden/>
            <w:sz w:val="22"/>
            <w:szCs w:val="22"/>
          </w:rPr>
          <w:t>8</w:t>
        </w:r>
        <w:r w:rsidR="004A1C0F" w:rsidRPr="004A1C0F">
          <w:rPr>
            <w:webHidden/>
            <w:sz w:val="22"/>
            <w:szCs w:val="22"/>
          </w:rPr>
          <w:fldChar w:fldCharType="end"/>
        </w:r>
      </w:hyperlink>
    </w:p>
    <w:p w14:paraId="02C45798" w14:textId="2AFFE69D" w:rsidR="004A1C0F" w:rsidRPr="004A1C0F" w:rsidRDefault="00E538EE">
      <w:pPr>
        <w:pStyle w:val="TOC1"/>
        <w:rPr>
          <w:rFonts w:asciiTheme="minorHAnsi" w:eastAsiaTheme="minorEastAsia" w:hAnsiTheme="minorHAnsi" w:cstheme="minorBidi"/>
          <w:sz w:val="22"/>
          <w:szCs w:val="22"/>
          <w:lang w:eastAsia="en-AU"/>
        </w:rPr>
      </w:pPr>
      <w:hyperlink w:anchor="_Toc37865456" w:history="1">
        <w:r w:rsidR="004A1C0F" w:rsidRPr="004A1C0F">
          <w:rPr>
            <w:rStyle w:val="Hyperlink"/>
            <w:sz w:val="22"/>
            <w:szCs w:val="22"/>
          </w:rPr>
          <w:t>Community 2019–20 Q1–Q3 Rural</w:t>
        </w:r>
        <w:r w:rsidR="004A1C0F" w:rsidRPr="004A1C0F">
          <w:rPr>
            <w:webHidden/>
            <w:sz w:val="22"/>
            <w:szCs w:val="22"/>
          </w:rPr>
          <w:tab/>
        </w:r>
        <w:r w:rsidR="004A1C0F" w:rsidRPr="004A1C0F">
          <w:rPr>
            <w:webHidden/>
            <w:sz w:val="22"/>
            <w:szCs w:val="22"/>
          </w:rPr>
          <w:fldChar w:fldCharType="begin"/>
        </w:r>
        <w:r w:rsidR="004A1C0F" w:rsidRPr="004A1C0F">
          <w:rPr>
            <w:webHidden/>
            <w:sz w:val="22"/>
            <w:szCs w:val="22"/>
          </w:rPr>
          <w:instrText xml:space="preserve"> PAGEREF _Toc37865456 \h </w:instrText>
        </w:r>
        <w:r w:rsidR="004A1C0F" w:rsidRPr="004A1C0F">
          <w:rPr>
            <w:webHidden/>
            <w:sz w:val="22"/>
            <w:szCs w:val="22"/>
          </w:rPr>
        </w:r>
        <w:r w:rsidR="004A1C0F" w:rsidRPr="004A1C0F">
          <w:rPr>
            <w:webHidden/>
            <w:sz w:val="22"/>
            <w:szCs w:val="22"/>
          </w:rPr>
          <w:fldChar w:fldCharType="separate"/>
        </w:r>
        <w:r>
          <w:rPr>
            <w:webHidden/>
            <w:sz w:val="22"/>
            <w:szCs w:val="22"/>
          </w:rPr>
          <w:t>9</w:t>
        </w:r>
        <w:r w:rsidR="004A1C0F" w:rsidRPr="004A1C0F">
          <w:rPr>
            <w:webHidden/>
            <w:sz w:val="22"/>
            <w:szCs w:val="22"/>
          </w:rPr>
          <w:fldChar w:fldCharType="end"/>
        </w:r>
      </w:hyperlink>
    </w:p>
    <w:p w14:paraId="41611A91" w14:textId="2517534D" w:rsidR="004A1C0F" w:rsidRPr="004A1C0F" w:rsidRDefault="00E538EE">
      <w:pPr>
        <w:pStyle w:val="TOC1"/>
        <w:rPr>
          <w:rFonts w:asciiTheme="minorHAnsi" w:eastAsiaTheme="minorEastAsia" w:hAnsiTheme="minorHAnsi" w:cstheme="minorBidi"/>
          <w:sz w:val="22"/>
          <w:szCs w:val="22"/>
          <w:lang w:eastAsia="en-AU"/>
        </w:rPr>
      </w:pPr>
      <w:hyperlink w:anchor="_Toc37865457" w:history="1">
        <w:r w:rsidR="004A1C0F" w:rsidRPr="004A1C0F">
          <w:rPr>
            <w:rStyle w:val="Hyperlink"/>
            <w:sz w:val="22"/>
            <w:szCs w:val="22"/>
          </w:rPr>
          <w:t>Indicator descriptions and notes</w:t>
        </w:r>
        <w:r w:rsidR="004A1C0F" w:rsidRPr="004A1C0F">
          <w:rPr>
            <w:webHidden/>
            <w:sz w:val="22"/>
            <w:szCs w:val="22"/>
          </w:rPr>
          <w:tab/>
        </w:r>
        <w:r w:rsidR="004A1C0F" w:rsidRPr="004A1C0F">
          <w:rPr>
            <w:webHidden/>
            <w:sz w:val="22"/>
            <w:szCs w:val="22"/>
          </w:rPr>
          <w:fldChar w:fldCharType="begin"/>
        </w:r>
        <w:r w:rsidR="004A1C0F" w:rsidRPr="004A1C0F">
          <w:rPr>
            <w:webHidden/>
            <w:sz w:val="22"/>
            <w:szCs w:val="22"/>
          </w:rPr>
          <w:instrText xml:space="preserve"> PAGEREF _Toc37865457 \h </w:instrText>
        </w:r>
        <w:r w:rsidR="004A1C0F" w:rsidRPr="004A1C0F">
          <w:rPr>
            <w:webHidden/>
            <w:sz w:val="22"/>
            <w:szCs w:val="22"/>
          </w:rPr>
        </w:r>
        <w:r w:rsidR="004A1C0F" w:rsidRPr="004A1C0F">
          <w:rPr>
            <w:webHidden/>
            <w:sz w:val="22"/>
            <w:szCs w:val="22"/>
          </w:rPr>
          <w:fldChar w:fldCharType="separate"/>
        </w:r>
        <w:r>
          <w:rPr>
            <w:webHidden/>
            <w:sz w:val="22"/>
            <w:szCs w:val="22"/>
          </w:rPr>
          <w:t>10</w:t>
        </w:r>
        <w:r w:rsidR="004A1C0F" w:rsidRPr="004A1C0F">
          <w:rPr>
            <w:webHidden/>
            <w:sz w:val="22"/>
            <w:szCs w:val="22"/>
          </w:rPr>
          <w:fldChar w:fldCharType="end"/>
        </w:r>
      </w:hyperlink>
    </w:p>
    <w:p w14:paraId="0A7F47BD" w14:textId="2E361506" w:rsidR="00CF11E1" w:rsidRPr="000B0CCC" w:rsidRDefault="00CF11E1" w:rsidP="00CF11E1">
      <w:pPr>
        <w:pStyle w:val="VAHIbody"/>
        <w:spacing w:before="240"/>
        <w:sectPr w:rsidR="00CF11E1" w:rsidRPr="000B0CCC" w:rsidSect="004367B3">
          <w:type w:val="continuous"/>
          <w:pgSz w:w="16838" w:h="11906" w:orient="landscape"/>
          <w:pgMar w:top="851" w:right="851" w:bottom="851" w:left="851" w:header="567" w:footer="510" w:gutter="0"/>
          <w:cols w:space="720"/>
          <w:docGrid w:linePitch="272"/>
        </w:sectPr>
      </w:pPr>
      <w:r w:rsidRPr="004A1C0F">
        <w:rPr>
          <w:rFonts w:eastAsia="Times New Roman"/>
          <w:sz w:val="22"/>
          <w:szCs w:val="22"/>
        </w:rPr>
        <w:fldChar w:fldCharType="end"/>
      </w:r>
    </w:p>
    <w:p w14:paraId="4FEFCA9E" w14:textId="6A0FDCA0" w:rsidR="00BE2218" w:rsidRDefault="00BE2218" w:rsidP="00E715A7">
      <w:pPr>
        <w:pStyle w:val="VAHInumberlowerromanindent"/>
        <w:numPr>
          <w:ilvl w:val="0"/>
          <w:numId w:val="0"/>
        </w:numPr>
        <w:ind w:left="397"/>
        <w:rPr>
          <w:rFonts w:eastAsia="MS Gothic" w:cs="Arial"/>
          <w:color w:val="004EA8"/>
          <w:kern w:val="32"/>
          <w:sz w:val="36"/>
          <w:szCs w:val="40"/>
        </w:rPr>
      </w:pPr>
      <w:r>
        <w:br w:type="page"/>
      </w:r>
      <w:r w:rsidR="009D4839">
        <w:rPr>
          <w:noProof/>
        </w:rPr>
        <w:drawing>
          <wp:anchor distT="0" distB="0" distL="114300" distR="114300" simplePos="0" relativeHeight="251661312" behindDoc="0" locked="0" layoutInCell="1" allowOverlap="1" wp14:anchorId="7D8FE0A1" wp14:editId="320EA44A">
            <wp:simplePos x="0" y="0"/>
            <wp:positionH relativeFrom="margin">
              <wp:align>right</wp:align>
            </wp:positionH>
            <wp:positionV relativeFrom="margin">
              <wp:posOffset>5760720</wp:posOffset>
            </wp:positionV>
            <wp:extent cx="1173600" cy="6876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Sgov_lockup_Black.png"/>
                    <pic:cNvPicPr/>
                  </pic:nvPicPr>
                  <pic:blipFill rotWithShape="1">
                    <a:blip r:embed="rId15"/>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C41C2E" w:rsidRPr="00A6366B" w14:paraId="2327D6AC" w14:textId="77777777" w:rsidTr="00C41C2E">
        <w:trPr>
          <w:trHeight w:val="1062"/>
          <w:tblHeader/>
        </w:trPr>
        <w:tc>
          <w:tcPr>
            <w:tcW w:w="2846" w:type="dxa"/>
            <w:gridSpan w:val="2"/>
            <w:shd w:val="clear" w:color="auto" w:fill="FFFFFF"/>
            <w:vAlign w:val="bottom"/>
          </w:tcPr>
          <w:p w14:paraId="3D3CE8A3" w14:textId="08B21B53" w:rsidR="00C41C2E" w:rsidRPr="00592F37" w:rsidRDefault="00C41C2E" w:rsidP="00C41C2E">
            <w:pPr>
              <w:pStyle w:val="Heading1"/>
              <w:spacing w:before="0" w:line="240" w:lineRule="auto"/>
              <w:rPr>
                <w:color w:val="244C5A"/>
                <w:sz w:val="28"/>
                <w:szCs w:val="28"/>
              </w:rPr>
            </w:pPr>
            <w:bookmarkStart w:id="3" w:name="_Toc17978050"/>
            <w:bookmarkStart w:id="4" w:name="_Toc37865449"/>
            <w:r w:rsidRPr="00052DAD">
              <w:rPr>
                <w:color w:val="244C5A"/>
                <w:sz w:val="22"/>
                <w:szCs w:val="28"/>
              </w:rPr>
              <w:lastRenderedPageBreak/>
              <w:t>Inpatient</w:t>
            </w:r>
            <w:r w:rsidRPr="00052DAD">
              <w:rPr>
                <w:color w:val="244C5A"/>
                <w:sz w:val="22"/>
                <w:szCs w:val="28"/>
              </w:rPr>
              <w:br w:type="textWrapping" w:clear="all"/>
            </w:r>
            <w:r>
              <w:rPr>
                <w:color w:val="244C5A"/>
                <w:sz w:val="22"/>
                <w:szCs w:val="28"/>
              </w:rPr>
              <w:t>2019</w:t>
            </w:r>
            <w:r w:rsidR="00F91472">
              <w:rPr>
                <w:color w:val="244C5A"/>
                <w:sz w:val="22"/>
                <w:szCs w:val="28"/>
              </w:rPr>
              <w:t>–</w:t>
            </w:r>
            <w:r>
              <w:rPr>
                <w:color w:val="244C5A"/>
                <w:sz w:val="22"/>
                <w:szCs w:val="28"/>
              </w:rPr>
              <w:t>20 Q</w:t>
            </w:r>
            <w:r w:rsidR="004A1C0F">
              <w:rPr>
                <w:color w:val="244C5A"/>
                <w:sz w:val="22"/>
                <w:szCs w:val="28"/>
              </w:rPr>
              <w:t>3</w:t>
            </w:r>
            <w:r w:rsidRPr="00052DAD">
              <w:rPr>
                <w:color w:val="244C5A"/>
                <w:sz w:val="22"/>
                <w:szCs w:val="28"/>
              </w:rPr>
              <w:t xml:space="preserve"> Metro</w:t>
            </w:r>
            <w:bookmarkEnd w:id="3"/>
            <w:bookmarkEnd w:id="4"/>
          </w:p>
        </w:tc>
        <w:tc>
          <w:tcPr>
            <w:tcW w:w="1074" w:type="dxa"/>
            <w:shd w:val="clear" w:color="auto" w:fill="FFFFFF"/>
            <w:vAlign w:val="bottom"/>
          </w:tcPr>
          <w:p w14:paraId="64B59BDD" w14:textId="4171B834" w:rsidR="00C41C2E" w:rsidRPr="00C41C2E" w:rsidRDefault="00C41C2E" w:rsidP="00C41C2E">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262967A5" w14:textId="2277F438" w:rsidR="00C41C2E" w:rsidRPr="00C41C2E" w:rsidRDefault="00C41C2E" w:rsidP="00C41C2E">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1D79F02C" w14:textId="3FC00B62" w:rsidR="00C41C2E" w:rsidRPr="00C41C2E" w:rsidRDefault="00C41C2E" w:rsidP="00C41C2E">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69FF898B" w14:textId="13B2BBDE" w:rsidR="00C41C2E" w:rsidRPr="00C41C2E" w:rsidRDefault="00C41C2E" w:rsidP="00C41C2E">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0B4C973B" w14:textId="3D51CFCC" w:rsidR="00C41C2E" w:rsidRPr="00C41C2E" w:rsidRDefault="00C41C2E" w:rsidP="00C41C2E">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14525DF8" w14:textId="69299376" w:rsidR="00C41C2E" w:rsidRPr="00C41C2E" w:rsidRDefault="00C41C2E" w:rsidP="00C41C2E">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36EBBB07" w14:textId="731B450E" w:rsidR="00C41C2E" w:rsidRPr="00C41C2E" w:rsidRDefault="00C41C2E" w:rsidP="00C41C2E">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0C72BD69" w14:textId="26E9D591" w:rsidR="00C41C2E" w:rsidRPr="00C41C2E" w:rsidRDefault="00C41C2E" w:rsidP="00C41C2E">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28D90BA9" w14:textId="3290257D" w:rsidR="00C41C2E" w:rsidRPr="00C41C2E" w:rsidRDefault="00C41C2E" w:rsidP="00C41C2E">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9A113CF" w14:textId="4FED91C5" w:rsidR="00C41C2E" w:rsidRPr="00C41C2E" w:rsidRDefault="00C41C2E" w:rsidP="00C41C2E">
            <w:pPr>
              <w:pStyle w:val="VAHItablecolhead"/>
              <w:rPr>
                <w:rFonts w:eastAsia="Verdana"/>
                <w:color w:val="244C5A"/>
                <w:sz w:val="16"/>
              </w:rPr>
            </w:pPr>
            <w:r w:rsidRPr="00C41C2E">
              <w:rPr>
                <w:sz w:val="16"/>
              </w:rPr>
              <w:t xml:space="preserve">Pre admission contact </w:t>
            </w:r>
            <w:r w:rsidR="00BF031D">
              <w:rPr>
                <w:sz w:val="16"/>
              </w:rPr>
              <w:br w:type="textWrapping" w:clear="all"/>
            </w:r>
            <w:r w:rsidRPr="00C41C2E">
              <w:rPr>
                <w:sz w:val="16"/>
              </w:rPr>
              <w:t>(in area)</w:t>
            </w:r>
          </w:p>
        </w:tc>
        <w:tc>
          <w:tcPr>
            <w:tcW w:w="1075" w:type="dxa"/>
            <w:shd w:val="clear" w:color="auto" w:fill="FFFFFF"/>
            <w:vAlign w:val="bottom"/>
          </w:tcPr>
          <w:p w14:paraId="2381B5A2" w14:textId="0F18DC7A" w:rsidR="00C41C2E" w:rsidRPr="00C41C2E" w:rsidRDefault="00C41C2E" w:rsidP="00C41C2E">
            <w:pPr>
              <w:pStyle w:val="VAHItablecolhead"/>
              <w:rPr>
                <w:rFonts w:eastAsia="Verdana"/>
                <w:color w:val="244C5A"/>
                <w:sz w:val="16"/>
              </w:rPr>
            </w:pPr>
            <w:r w:rsidRPr="00C41C2E">
              <w:rPr>
                <w:sz w:val="16"/>
              </w:rPr>
              <w:t>7 day post discharge follow up</w:t>
            </w:r>
          </w:p>
        </w:tc>
        <w:tc>
          <w:tcPr>
            <w:tcW w:w="1075" w:type="dxa"/>
            <w:shd w:val="clear" w:color="auto" w:fill="FFFFFF"/>
            <w:vAlign w:val="bottom"/>
          </w:tcPr>
          <w:p w14:paraId="4221BBA1" w14:textId="6709D581" w:rsidR="00C41C2E" w:rsidRPr="00C41C2E" w:rsidRDefault="00C41C2E" w:rsidP="00C41C2E">
            <w:pPr>
              <w:pStyle w:val="VAHItablecolhead"/>
              <w:rPr>
                <w:rFonts w:eastAsia="Verdana"/>
                <w:color w:val="244C5A"/>
                <w:sz w:val="16"/>
              </w:rPr>
            </w:pPr>
            <w:r w:rsidRPr="00C41C2E">
              <w:rPr>
                <w:sz w:val="16"/>
              </w:rPr>
              <w:t>HoNOS compliance</w:t>
            </w:r>
          </w:p>
        </w:tc>
      </w:tr>
      <w:tr w:rsidR="0065124E" w:rsidRPr="00BF031D" w14:paraId="2B8AB1A0" w14:textId="77777777" w:rsidTr="00BF031D">
        <w:trPr>
          <w:trHeight w:val="454"/>
        </w:trPr>
        <w:tc>
          <w:tcPr>
            <w:tcW w:w="1145" w:type="dxa"/>
            <w:shd w:val="clear" w:color="auto" w:fill="BFCED6"/>
          </w:tcPr>
          <w:p w14:paraId="4A634D64" w14:textId="7B3BE5AE" w:rsidR="0065124E" w:rsidRPr="00BF031D" w:rsidRDefault="0065124E" w:rsidP="0065124E">
            <w:pPr>
              <w:pStyle w:val="DHHStabletext"/>
              <w:spacing w:before="0" w:after="0"/>
              <w:rPr>
                <w:rFonts w:ascii="VIC" w:eastAsia="Verdana" w:hAnsi="VIC" w:cs="Verdana"/>
                <w:sz w:val="18"/>
                <w:szCs w:val="18"/>
              </w:rPr>
            </w:pPr>
            <w:bookmarkStart w:id="5" w:name="_Hlk15473260"/>
            <w:r w:rsidRPr="00BF7527">
              <w:rPr>
                <w:rFonts w:ascii="VIC" w:eastAsia="Verdana" w:hAnsi="VIC"/>
                <w:color w:val="000000"/>
                <w:sz w:val="18"/>
                <w:szCs w:val="18"/>
              </w:rPr>
              <w:t>Alfred Health</w:t>
            </w:r>
          </w:p>
        </w:tc>
        <w:tc>
          <w:tcPr>
            <w:tcW w:w="1701" w:type="dxa"/>
            <w:shd w:val="clear" w:color="auto" w:fill="BFCED6"/>
          </w:tcPr>
          <w:p w14:paraId="5E9CC50D" w14:textId="1907B5F7"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Inner South East (Caulfield)</w:t>
            </w:r>
          </w:p>
        </w:tc>
        <w:tc>
          <w:tcPr>
            <w:tcW w:w="1074" w:type="dxa"/>
            <w:shd w:val="clear" w:color="auto" w:fill="BFCED6"/>
          </w:tcPr>
          <w:p w14:paraId="3F4067C1" w14:textId="57DC8D8F" w:rsidR="0065124E" w:rsidRPr="00BF031D" w:rsidRDefault="0065124E" w:rsidP="0065124E">
            <w:pPr>
              <w:jc w:val="center"/>
              <w:rPr>
                <w:rFonts w:ascii="VIC" w:hAnsi="VIC"/>
                <w:sz w:val="18"/>
                <w:szCs w:val="18"/>
              </w:rPr>
            </w:pPr>
            <w:r w:rsidRPr="00BF7527">
              <w:rPr>
                <w:rFonts w:ascii="VIC" w:eastAsia="Verdana" w:hAnsi="VIC"/>
                <w:color w:val="000000"/>
                <w:sz w:val="18"/>
                <w:szCs w:val="18"/>
              </w:rPr>
              <w:t>3.3</w:t>
            </w:r>
          </w:p>
        </w:tc>
        <w:tc>
          <w:tcPr>
            <w:tcW w:w="1075" w:type="dxa"/>
            <w:shd w:val="clear" w:color="auto" w:fill="BFCED6"/>
          </w:tcPr>
          <w:p w14:paraId="24D91D66" w14:textId="432F9611" w:rsidR="0065124E" w:rsidRPr="00BF031D" w:rsidRDefault="0065124E" w:rsidP="0065124E">
            <w:pPr>
              <w:jc w:val="center"/>
              <w:rPr>
                <w:rFonts w:ascii="VIC" w:hAnsi="VIC"/>
                <w:sz w:val="18"/>
                <w:szCs w:val="18"/>
              </w:rPr>
            </w:pPr>
            <w:r w:rsidRPr="00BF7527">
              <w:rPr>
                <w:rFonts w:ascii="VIC" w:eastAsia="Verdana" w:hAnsi="VIC"/>
                <w:color w:val="000000"/>
                <w:sz w:val="18"/>
                <w:szCs w:val="18"/>
              </w:rPr>
              <w:t>76 %</w:t>
            </w:r>
          </w:p>
        </w:tc>
        <w:tc>
          <w:tcPr>
            <w:tcW w:w="1075" w:type="dxa"/>
            <w:shd w:val="clear" w:color="auto" w:fill="BFCED6"/>
          </w:tcPr>
          <w:p w14:paraId="38499411" w14:textId="139CF254" w:rsidR="0065124E" w:rsidRPr="00BF031D" w:rsidRDefault="0065124E" w:rsidP="0065124E">
            <w:pPr>
              <w:jc w:val="center"/>
              <w:rPr>
                <w:rFonts w:ascii="VIC" w:hAnsi="VIC"/>
                <w:sz w:val="18"/>
                <w:szCs w:val="18"/>
              </w:rPr>
            </w:pPr>
            <w:r w:rsidRPr="00BF7527">
              <w:rPr>
                <w:rFonts w:ascii="VIC" w:eastAsia="Verdana" w:hAnsi="VIC"/>
                <w:color w:val="000000"/>
                <w:sz w:val="18"/>
                <w:szCs w:val="18"/>
              </w:rPr>
              <w:t>18.8</w:t>
            </w:r>
          </w:p>
        </w:tc>
        <w:tc>
          <w:tcPr>
            <w:tcW w:w="1075" w:type="dxa"/>
            <w:shd w:val="clear" w:color="auto" w:fill="BFCED6"/>
          </w:tcPr>
          <w:p w14:paraId="79C22AFC" w14:textId="0709466D" w:rsidR="0065124E" w:rsidRPr="00BF031D" w:rsidRDefault="0065124E" w:rsidP="0065124E">
            <w:pPr>
              <w:jc w:val="center"/>
              <w:rPr>
                <w:rFonts w:ascii="VIC" w:hAnsi="VIC"/>
                <w:sz w:val="18"/>
                <w:szCs w:val="18"/>
              </w:rPr>
            </w:pPr>
            <w:r w:rsidRPr="00BF7527">
              <w:rPr>
                <w:rFonts w:ascii="VIC" w:eastAsia="Verdana" w:hAnsi="VIC"/>
                <w:color w:val="000000"/>
                <w:sz w:val="18"/>
                <w:szCs w:val="18"/>
              </w:rPr>
              <w:t>8 %</w:t>
            </w:r>
          </w:p>
        </w:tc>
        <w:tc>
          <w:tcPr>
            <w:tcW w:w="1087" w:type="dxa"/>
            <w:shd w:val="clear" w:color="auto" w:fill="BFCED6"/>
          </w:tcPr>
          <w:p w14:paraId="28F80B72" w14:textId="09DF8922" w:rsidR="0065124E" w:rsidRPr="00BF031D" w:rsidRDefault="0065124E" w:rsidP="0065124E">
            <w:pPr>
              <w:jc w:val="center"/>
              <w:rPr>
                <w:rFonts w:ascii="VIC" w:hAnsi="VIC"/>
                <w:sz w:val="18"/>
                <w:szCs w:val="18"/>
              </w:rPr>
            </w:pPr>
            <w:r w:rsidRPr="00BF7527">
              <w:rPr>
                <w:rFonts w:ascii="VIC" w:eastAsia="Verdana" w:hAnsi="VIC"/>
                <w:color w:val="000000"/>
                <w:sz w:val="18"/>
                <w:szCs w:val="18"/>
              </w:rPr>
              <w:t>7 %</w:t>
            </w:r>
          </w:p>
        </w:tc>
        <w:tc>
          <w:tcPr>
            <w:tcW w:w="1063" w:type="dxa"/>
            <w:shd w:val="clear" w:color="auto" w:fill="BFCED6"/>
          </w:tcPr>
          <w:p w14:paraId="4EDBDEAB" w14:textId="5F9CA668" w:rsidR="0065124E" w:rsidRPr="00BF031D" w:rsidRDefault="0065124E" w:rsidP="0065124E">
            <w:pPr>
              <w:jc w:val="center"/>
              <w:rPr>
                <w:rFonts w:ascii="VIC" w:hAnsi="VIC"/>
                <w:sz w:val="18"/>
                <w:szCs w:val="18"/>
              </w:rPr>
            </w:pPr>
            <w:r w:rsidRPr="00BF7527">
              <w:rPr>
                <w:rFonts w:ascii="VIC" w:eastAsia="Verdana" w:hAnsi="VIC"/>
                <w:color w:val="000000"/>
                <w:sz w:val="18"/>
                <w:szCs w:val="18"/>
              </w:rPr>
              <w:t>25 %</w:t>
            </w:r>
          </w:p>
        </w:tc>
        <w:tc>
          <w:tcPr>
            <w:tcW w:w="1075" w:type="dxa"/>
            <w:shd w:val="clear" w:color="auto" w:fill="BFCED6"/>
          </w:tcPr>
          <w:p w14:paraId="63FA202F" w14:textId="17A8C172" w:rsidR="0065124E" w:rsidRPr="00BF031D"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BFCED6"/>
          </w:tcPr>
          <w:p w14:paraId="0DB191A8" w14:textId="4011E7D7" w:rsidR="0065124E" w:rsidRPr="00BF031D" w:rsidRDefault="0065124E" w:rsidP="0065124E">
            <w:pPr>
              <w:jc w:val="center"/>
              <w:rPr>
                <w:rFonts w:ascii="VIC" w:hAnsi="VIC"/>
                <w:sz w:val="18"/>
                <w:szCs w:val="18"/>
              </w:rPr>
            </w:pPr>
            <w:r w:rsidRPr="00BF7527">
              <w:rPr>
                <w:rFonts w:ascii="VIC" w:eastAsia="Verdana" w:hAnsi="VIC"/>
                <w:color w:val="000000"/>
                <w:sz w:val="18"/>
                <w:szCs w:val="18"/>
              </w:rPr>
              <w:t>1.9</w:t>
            </w:r>
          </w:p>
        </w:tc>
        <w:tc>
          <w:tcPr>
            <w:tcW w:w="1075" w:type="dxa"/>
            <w:shd w:val="clear" w:color="auto" w:fill="BFCED6"/>
          </w:tcPr>
          <w:p w14:paraId="702D80B1" w14:textId="09F7EA24" w:rsidR="0065124E" w:rsidRPr="00BF031D"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shd w:val="clear" w:color="auto" w:fill="BFCED6"/>
          </w:tcPr>
          <w:p w14:paraId="1CAEFC04" w14:textId="06DE220D" w:rsidR="0065124E" w:rsidRPr="00BF031D" w:rsidRDefault="0065124E" w:rsidP="0065124E">
            <w:pPr>
              <w:jc w:val="center"/>
              <w:rPr>
                <w:rFonts w:ascii="VIC" w:hAnsi="VIC"/>
                <w:sz w:val="18"/>
                <w:szCs w:val="18"/>
              </w:rPr>
            </w:pPr>
            <w:r w:rsidRPr="00BF7527">
              <w:rPr>
                <w:rFonts w:ascii="VIC" w:eastAsia="Verdana" w:hAnsi="VIC"/>
                <w:color w:val="000000"/>
                <w:sz w:val="18"/>
                <w:szCs w:val="18"/>
              </w:rPr>
              <w:t>70 %</w:t>
            </w:r>
          </w:p>
        </w:tc>
        <w:tc>
          <w:tcPr>
            <w:tcW w:w="1075" w:type="dxa"/>
            <w:shd w:val="clear" w:color="auto" w:fill="BFCED6"/>
          </w:tcPr>
          <w:p w14:paraId="0006E6B8" w14:textId="12CCFE54" w:rsidR="0065124E" w:rsidRPr="00BF031D" w:rsidRDefault="0065124E" w:rsidP="0065124E">
            <w:pPr>
              <w:jc w:val="center"/>
              <w:rPr>
                <w:rFonts w:ascii="VIC" w:hAnsi="VIC"/>
                <w:sz w:val="18"/>
                <w:szCs w:val="18"/>
              </w:rPr>
            </w:pPr>
            <w:r w:rsidRPr="00BF7527">
              <w:rPr>
                <w:rFonts w:ascii="VIC" w:eastAsia="Verdana" w:hAnsi="VIC"/>
                <w:color w:val="000000"/>
                <w:sz w:val="18"/>
                <w:szCs w:val="18"/>
              </w:rPr>
              <w:t>95 %</w:t>
            </w:r>
          </w:p>
        </w:tc>
        <w:tc>
          <w:tcPr>
            <w:tcW w:w="1075" w:type="dxa"/>
            <w:shd w:val="clear" w:color="auto" w:fill="BFCED6"/>
          </w:tcPr>
          <w:p w14:paraId="23CDDC57" w14:textId="5D45996E" w:rsidR="0065124E" w:rsidRPr="00BF031D" w:rsidRDefault="0065124E" w:rsidP="0065124E">
            <w:pPr>
              <w:jc w:val="center"/>
              <w:rPr>
                <w:rFonts w:ascii="VIC" w:hAnsi="VIC"/>
                <w:sz w:val="18"/>
                <w:szCs w:val="18"/>
              </w:rPr>
            </w:pPr>
            <w:r w:rsidRPr="00BF7527">
              <w:rPr>
                <w:rFonts w:ascii="VIC" w:eastAsia="Verdana" w:hAnsi="VIC"/>
                <w:color w:val="000000"/>
                <w:sz w:val="18"/>
                <w:szCs w:val="18"/>
              </w:rPr>
              <w:t>96 %</w:t>
            </w:r>
          </w:p>
        </w:tc>
      </w:tr>
      <w:bookmarkEnd w:id="5"/>
      <w:tr w:rsidR="0065124E" w:rsidRPr="00BF031D" w14:paraId="481AF9A0" w14:textId="77777777" w:rsidTr="00BF031D">
        <w:trPr>
          <w:trHeight w:val="454"/>
        </w:trPr>
        <w:tc>
          <w:tcPr>
            <w:tcW w:w="1145" w:type="dxa"/>
            <w:shd w:val="clear" w:color="auto" w:fill="auto"/>
          </w:tcPr>
          <w:p w14:paraId="39FC667B" w14:textId="17EB3F88"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Eastern Health</w:t>
            </w:r>
          </w:p>
        </w:tc>
        <w:tc>
          <w:tcPr>
            <w:tcW w:w="1701" w:type="dxa"/>
            <w:shd w:val="clear" w:color="auto" w:fill="auto"/>
          </w:tcPr>
          <w:p w14:paraId="22F43DF3" w14:textId="54F80F8F"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Central/Outer East (Peter James Centre)</w:t>
            </w:r>
          </w:p>
        </w:tc>
        <w:tc>
          <w:tcPr>
            <w:tcW w:w="1074" w:type="dxa"/>
            <w:shd w:val="clear" w:color="auto" w:fill="auto"/>
          </w:tcPr>
          <w:p w14:paraId="0EF94EC6" w14:textId="4B79B95D" w:rsidR="0065124E" w:rsidRPr="00BF031D" w:rsidRDefault="0065124E" w:rsidP="0065124E">
            <w:pPr>
              <w:jc w:val="center"/>
              <w:rPr>
                <w:rFonts w:ascii="VIC" w:hAnsi="VIC"/>
                <w:sz w:val="18"/>
                <w:szCs w:val="18"/>
              </w:rPr>
            </w:pPr>
            <w:r w:rsidRPr="00BF7527">
              <w:rPr>
                <w:rFonts w:ascii="VIC" w:eastAsia="Verdana" w:hAnsi="VIC"/>
                <w:color w:val="000000"/>
                <w:sz w:val="18"/>
                <w:szCs w:val="18"/>
              </w:rPr>
              <w:t>1.9</w:t>
            </w:r>
          </w:p>
        </w:tc>
        <w:tc>
          <w:tcPr>
            <w:tcW w:w="1075" w:type="dxa"/>
            <w:shd w:val="clear" w:color="auto" w:fill="auto"/>
          </w:tcPr>
          <w:p w14:paraId="0D4FBDF3" w14:textId="17C90B84" w:rsidR="0065124E" w:rsidRPr="00BF031D" w:rsidRDefault="0065124E" w:rsidP="0065124E">
            <w:pPr>
              <w:jc w:val="center"/>
              <w:rPr>
                <w:rFonts w:ascii="VIC" w:hAnsi="VIC"/>
                <w:sz w:val="18"/>
                <w:szCs w:val="18"/>
              </w:rPr>
            </w:pPr>
            <w:r w:rsidRPr="00BF7527">
              <w:rPr>
                <w:rFonts w:ascii="VIC" w:eastAsia="Verdana" w:hAnsi="VIC"/>
                <w:color w:val="000000"/>
                <w:sz w:val="18"/>
                <w:szCs w:val="18"/>
              </w:rPr>
              <w:t>77 %</w:t>
            </w:r>
          </w:p>
        </w:tc>
        <w:tc>
          <w:tcPr>
            <w:tcW w:w="1075" w:type="dxa"/>
            <w:shd w:val="clear" w:color="auto" w:fill="auto"/>
          </w:tcPr>
          <w:p w14:paraId="4736D9B6" w14:textId="16CB7B8E" w:rsidR="0065124E" w:rsidRPr="00BF031D" w:rsidRDefault="0065124E" w:rsidP="0065124E">
            <w:pPr>
              <w:jc w:val="center"/>
              <w:rPr>
                <w:rFonts w:ascii="VIC" w:hAnsi="VIC"/>
                <w:sz w:val="18"/>
                <w:szCs w:val="18"/>
              </w:rPr>
            </w:pPr>
            <w:r w:rsidRPr="00BF7527">
              <w:rPr>
                <w:rFonts w:ascii="VIC" w:eastAsia="Verdana" w:hAnsi="VIC"/>
                <w:color w:val="000000"/>
                <w:sz w:val="18"/>
                <w:szCs w:val="18"/>
              </w:rPr>
              <w:t>15.2</w:t>
            </w:r>
          </w:p>
        </w:tc>
        <w:tc>
          <w:tcPr>
            <w:tcW w:w="1075" w:type="dxa"/>
            <w:shd w:val="clear" w:color="auto" w:fill="auto"/>
          </w:tcPr>
          <w:p w14:paraId="1E4AEB11" w14:textId="174FBDB2" w:rsidR="0065124E" w:rsidRPr="00BF031D" w:rsidRDefault="0065124E" w:rsidP="0065124E">
            <w:pPr>
              <w:jc w:val="center"/>
              <w:rPr>
                <w:rFonts w:ascii="VIC" w:hAnsi="VIC"/>
                <w:sz w:val="18"/>
                <w:szCs w:val="18"/>
              </w:rPr>
            </w:pPr>
            <w:r w:rsidRPr="00BF7527">
              <w:rPr>
                <w:rFonts w:ascii="VIC" w:eastAsia="Verdana" w:hAnsi="VIC"/>
                <w:color w:val="000000"/>
                <w:sz w:val="18"/>
                <w:szCs w:val="18"/>
              </w:rPr>
              <w:t>10 %</w:t>
            </w:r>
          </w:p>
        </w:tc>
        <w:tc>
          <w:tcPr>
            <w:tcW w:w="1087" w:type="dxa"/>
            <w:shd w:val="clear" w:color="auto" w:fill="auto"/>
          </w:tcPr>
          <w:p w14:paraId="3B28BDBF" w14:textId="692D1799" w:rsidR="0065124E" w:rsidRPr="00BF031D" w:rsidRDefault="0065124E" w:rsidP="0065124E">
            <w:pPr>
              <w:jc w:val="center"/>
              <w:rPr>
                <w:rFonts w:ascii="VIC" w:hAnsi="VIC"/>
                <w:sz w:val="18"/>
                <w:szCs w:val="18"/>
              </w:rPr>
            </w:pPr>
            <w:r w:rsidRPr="00BF7527">
              <w:rPr>
                <w:rFonts w:ascii="VIC" w:eastAsia="Verdana" w:hAnsi="VIC"/>
                <w:color w:val="000000"/>
                <w:sz w:val="18"/>
                <w:szCs w:val="18"/>
              </w:rPr>
              <w:t>21 %</w:t>
            </w:r>
          </w:p>
        </w:tc>
        <w:tc>
          <w:tcPr>
            <w:tcW w:w="1063" w:type="dxa"/>
            <w:shd w:val="clear" w:color="auto" w:fill="auto"/>
          </w:tcPr>
          <w:p w14:paraId="250428AC" w14:textId="01EF42CB" w:rsidR="0065124E" w:rsidRPr="00BF031D" w:rsidRDefault="0065124E" w:rsidP="0065124E">
            <w:pPr>
              <w:jc w:val="center"/>
              <w:rPr>
                <w:rFonts w:ascii="VIC" w:hAnsi="VIC"/>
                <w:sz w:val="18"/>
                <w:szCs w:val="18"/>
              </w:rPr>
            </w:pPr>
            <w:r w:rsidRPr="00BF7527">
              <w:rPr>
                <w:rFonts w:ascii="VIC" w:eastAsia="Verdana" w:hAnsi="VIC"/>
                <w:color w:val="000000"/>
                <w:sz w:val="18"/>
                <w:szCs w:val="18"/>
              </w:rPr>
              <w:t>29 %</w:t>
            </w:r>
          </w:p>
        </w:tc>
        <w:tc>
          <w:tcPr>
            <w:tcW w:w="1075" w:type="dxa"/>
            <w:shd w:val="clear" w:color="auto" w:fill="auto"/>
          </w:tcPr>
          <w:p w14:paraId="2B99119F" w14:textId="52E22309" w:rsidR="0065124E" w:rsidRPr="00BF031D"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auto"/>
          </w:tcPr>
          <w:p w14:paraId="2A45D103" w14:textId="48670070" w:rsidR="0065124E" w:rsidRPr="00BF031D" w:rsidRDefault="0065124E" w:rsidP="0065124E">
            <w:pPr>
              <w:jc w:val="center"/>
              <w:rPr>
                <w:rFonts w:ascii="VIC" w:hAnsi="VIC"/>
                <w:sz w:val="18"/>
                <w:szCs w:val="18"/>
              </w:rPr>
            </w:pPr>
            <w:r w:rsidRPr="00BF7527">
              <w:rPr>
                <w:rFonts w:ascii="VIC" w:eastAsia="Verdana" w:hAnsi="VIC"/>
                <w:color w:val="000000"/>
                <w:sz w:val="18"/>
                <w:szCs w:val="18"/>
              </w:rPr>
              <w:t>11.4</w:t>
            </w:r>
          </w:p>
        </w:tc>
        <w:tc>
          <w:tcPr>
            <w:tcW w:w="1075" w:type="dxa"/>
            <w:shd w:val="clear" w:color="auto" w:fill="auto"/>
          </w:tcPr>
          <w:p w14:paraId="5370282C" w14:textId="3288B64F" w:rsidR="0065124E" w:rsidRPr="00BF031D" w:rsidRDefault="0065124E" w:rsidP="0065124E">
            <w:pPr>
              <w:jc w:val="center"/>
              <w:rPr>
                <w:rFonts w:ascii="VIC" w:hAnsi="VIC"/>
                <w:sz w:val="18"/>
                <w:szCs w:val="18"/>
              </w:rPr>
            </w:pPr>
            <w:r w:rsidRPr="00BF7527">
              <w:rPr>
                <w:rFonts w:ascii="VIC" w:eastAsia="Verdana" w:hAnsi="VIC"/>
                <w:color w:val="000000"/>
                <w:sz w:val="18"/>
                <w:szCs w:val="18"/>
              </w:rPr>
              <w:t>0.9</w:t>
            </w:r>
          </w:p>
        </w:tc>
        <w:tc>
          <w:tcPr>
            <w:tcW w:w="1075" w:type="dxa"/>
            <w:shd w:val="clear" w:color="auto" w:fill="auto"/>
          </w:tcPr>
          <w:p w14:paraId="10C1EFC9" w14:textId="41C6C493" w:rsidR="0065124E" w:rsidRPr="00BF031D" w:rsidRDefault="0065124E" w:rsidP="0065124E">
            <w:pPr>
              <w:jc w:val="center"/>
              <w:rPr>
                <w:rFonts w:ascii="VIC" w:hAnsi="VIC"/>
                <w:sz w:val="18"/>
                <w:szCs w:val="18"/>
              </w:rPr>
            </w:pPr>
            <w:r w:rsidRPr="00BF7527">
              <w:rPr>
                <w:rFonts w:ascii="VIC" w:eastAsia="Verdana" w:hAnsi="VIC"/>
                <w:color w:val="000000"/>
                <w:sz w:val="18"/>
                <w:szCs w:val="18"/>
              </w:rPr>
              <w:t>45 %</w:t>
            </w:r>
          </w:p>
        </w:tc>
        <w:tc>
          <w:tcPr>
            <w:tcW w:w="1075" w:type="dxa"/>
            <w:shd w:val="clear" w:color="auto" w:fill="auto"/>
          </w:tcPr>
          <w:p w14:paraId="7B18B6A7" w14:textId="01700702" w:rsidR="0065124E" w:rsidRPr="00BF031D" w:rsidRDefault="0065124E" w:rsidP="0065124E">
            <w:pPr>
              <w:jc w:val="center"/>
              <w:rPr>
                <w:rFonts w:ascii="VIC" w:hAnsi="VIC"/>
                <w:sz w:val="18"/>
                <w:szCs w:val="18"/>
              </w:rPr>
            </w:pPr>
            <w:r w:rsidRPr="00BF7527">
              <w:rPr>
                <w:rFonts w:ascii="VIC" w:eastAsia="Verdana" w:hAnsi="VIC"/>
                <w:color w:val="000000"/>
                <w:sz w:val="18"/>
                <w:szCs w:val="18"/>
              </w:rPr>
              <w:t>93 %</w:t>
            </w:r>
          </w:p>
        </w:tc>
        <w:tc>
          <w:tcPr>
            <w:tcW w:w="1075" w:type="dxa"/>
            <w:shd w:val="clear" w:color="auto" w:fill="auto"/>
          </w:tcPr>
          <w:p w14:paraId="7E240D31" w14:textId="41C995C4" w:rsidR="0065124E" w:rsidRPr="00BF031D" w:rsidRDefault="0065124E" w:rsidP="0065124E">
            <w:pPr>
              <w:jc w:val="center"/>
              <w:rPr>
                <w:rFonts w:ascii="VIC" w:hAnsi="VIC"/>
                <w:sz w:val="18"/>
                <w:szCs w:val="18"/>
              </w:rPr>
            </w:pPr>
            <w:r w:rsidRPr="00BF7527">
              <w:rPr>
                <w:rFonts w:ascii="VIC" w:eastAsia="Verdana" w:hAnsi="VIC"/>
                <w:color w:val="000000"/>
                <w:sz w:val="18"/>
                <w:szCs w:val="18"/>
              </w:rPr>
              <w:t>96 %</w:t>
            </w:r>
          </w:p>
        </w:tc>
      </w:tr>
      <w:tr w:rsidR="0065124E" w:rsidRPr="00BF031D" w14:paraId="6B8D8793" w14:textId="77777777" w:rsidTr="00BF031D">
        <w:trPr>
          <w:trHeight w:val="454"/>
        </w:trPr>
        <w:tc>
          <w:tcPr>
            <w:tcW w:w="1145" w:type="dxa"/>
            <w:vMerge w:val="restart"/>
            <w:shd w:val="clear" w:color="auto" w:fill="BFCED6"/>
          </w:tcPr>
          <w:p w14:paraId="1F3688DF" w14:textId="656C9ABF"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Melbourne Health</w:t>
            </w:r>
          </w:p>
        </w:tc>
        <w:tc>
          <w:tcPr>
            <w:tcW w:w="1701" w:type="dxa"/>
            <w:shd w:val="clear" w:color="auto" w:fill="BFCED6"/>
          </w:tcPr>
          <w:p w14:paraId="0A2D9746" w14:textId="5C0FA852"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Mid West/South West Aged (Sunshine)</w:t>
            </w:r>
          </w:p>
        </w:tc>
        <w:tc>
          <w:tcPr>
            <w:tcW w:w="1074" w:type="dxa"/>
            <w:shd w:val="clear" w:color="auto" w:fill="BFCED6"/>
          </w:tcPr>
          <w:p w14:paraId="12111E1E" w14:textId="5FB936DE" w:rsidR="0065124E" w:rsidRPr="00BF031D" w:rsidRDefault="0065124E" w:rsidP="0065124E">
            <w:pPr>
              <w:jc w:val="center"/>
              <w:rPr>
                <w:rFonts w:ascii="VIC" w:hAnsi="VIC"/>
                <w:sz w:val="18"/>
                <w:szCs w:val="18"/>
              </w:rPr>
            </w:pPr>
            <w:r w:rsidRPr="00BF7527">
              <w:rPr>
                <w:rFonts w:ascii="VIC" w:eastAsia="Verdana" w:hAnsi="VIC"/>
                <w:color w:val="000000"/>
                <w:sz w:val="18"/>
                <w:szCs w:val="18"/>
              </w:rPr>
              <w:t>2.0</w:t>
            </w:r>
          </w:p>
        </w:tc>
        <w:tc>
          <w:tcPr>
            <w:tcW w:w="1075" w:type="dxa"/>
            <w:shd w:val="clear" w:color="auto" w:fill="BFCED6"/>
          </w:tcPr>
          <w:p w14:paraId="35BD1587" w14:textId="5F7ABDC2" w:rsidR="0065124E" w:rsidRPr="00BF031D" w:rsidRDefault="0065124E" w:rsidP="0065124E">
            <w:pPr>
              <w:jc w:val="center"/>
              <w:rPr>
                <w:rFonts w:ascii="VIC" w:hAnsi="VIC"/>
                <w:sz w:val="18"/>
                <w:szCs w:val="18"/>
              </w:rPr>
            </w:pPr>
            <w:r w:rsidRPr="00BF7527">
              <w:rPr>
                <w:rFonts w:ascii="VIC" w:eastAsia="Verdana" w:hAnsi="VIC"/>
                <w:color w:val="000000"/>
                <w:sz w:val="18"/>
                <w:szCs w:val="18"/>
              </w:rPr>
              <w:t>90 %</w:t>
            </w:r>
          </w:p>
        </w:tc>
        <w:tc>
          <w:tcPr>
            <w:tcW w:w="1075" w:type="dxa"/>
            <w:shd w:val="clear" w:color="auto" w:fill="BFCED6"/>
          </w:tcPr>
          <w:p w14:paraId="31EFB176" w14:textId="02CEB6E3" w:rsidR="0065124E" w:rsidRPr="00BF031D" w:rsidRDefault="0065124E" w:rsidP="0065124E">
            <w:pPr>
              <w:jc w:val="center"/>
              <w:rPr>
                <w:rFonts w:ascii="VIC" w:hAnsi="VIC"/>
                <w:sz w:val="18"/>
                <w:szCs w:val="18"/>
              </w:rPr>
            </w:pPr>
            <w:r w:rsidRPr="00BF7527">
              <w:rPr>
                <w:rFonts w:ascii="VIC" w:eastAsia="Verdana" w:hAnsi="VIC"/>
                <w:color w:val="000000"/>
                <w:sz w:val="18"/>
                <w:szCs w:val="18"/>
              </w:rPr>
              <w:t>20.6</w:t>
            </w:r>
          </w:p>
        </w:tc>
        <w:tc>
          <w:tcPr>
            <w:tcW w:w="1075" w:type="dxa"/>
            <w:shd w:val="clear" w:color="auto" w:fill="BFCED6"/>
          </w:tcPr>
          <w:p w14:paraId="5377D867" w14:textId="4F4ADC29" w:rsidR="0065124E" w:rsidRPr="00BF031D" w:rsidRDefault="0065124E" w:rsidP="0065124E">
            <w:pPr>
              <w:jc w:val="center"/>
              <w:rPr>
                <w:rFonts w:ascii="VIC" w:hAnsi="VIC"/>
                <w:sz w:val="18"/>
                <w:szCs w:val="18"/>
              </w:rPr>
            </w:pPr>
            <w:r w:rsidRPr="00BF7527">
              <w:rPr>
                <w:rFonts w:ascii="VIC" w:eastAsia="Verdana" w:hAnsi="VIC"/>
                <w:color w:val="000000"/>
                <w:sz w:val="18"/>
                <w:szCs w:val="18"/>
              </w:rPr>
              <w:t>20 %</w:t>
            </w:r>
          </w:p>
        </w:tc>
        <w:tc>
          <w:tcPr>
            <w:tcW w:w="1087" w:type="dxa"/>
            <w:shd w:val="clear" w:color="auto" w:fill="BFCED6"/>
          </w:tcPr>
          <w:p w14:paraId="37B5CDC5" w14:textId="05ECE57F" w:rsidR="0065124E" w:rsidRPr="00BF031D" w:rsidRDefault="0065124E" w:rsidP="0065124E">
            <w:pPr>
              <w:jc w:val="center"/>
              <w:rPr>
                <w:rFonts w:ascii="VIC" w:hAnsi="VIC"/>
                <w:sz w:val="18"/>
                <w:szCs w:val="18"/>
              </w:rPr>
            </w:pPr>
            <w:r w:rsidRPr="00BF7527">
              <w:rPr>
                <w:rFonts w:ascii="VIC" w:eastAsia="Verdana" w:hAnsi="VIC"/>
                <w:color w:val="000000"/>
                <w:sz w:val="18"/>
                <w:szCs w:val="18"/>
              </w:rPr>
              <w:t>3 %</w:t>
            </w:r>
          </w:p>
        </w:tc>
        <w:tc>
          <w:tcPr>
            <w:tcW w:w="1063" w:type="dxa"/>
            <w:shd w:val="clear" w:color="auto" w:fill="BFCED6"/>
          </w:tcPr>
          <w:p w14:paraId="54A3DD0D" w14:textId="6C2CE006" w:rsidR="0065124E" w:rsidRPr="00BF031D" w:rsidRDefault="0065124E" w:rsidP="0065124E">
            <w:pPr>
              <w:jc w:val="center"/>
              <w:rPr>
                <w:rFonts w:ascii="VIC" w:hAnsi="VIC"/>
                <w:sz w:val="18"/>
                <w:szCs w:val="18"/>
              </w:rPr>
            </w:pPr>
            <w:r w:rsidRPr="00BF7527">
              <w:rPr>
                <w:rFonts w:ascii="VIC" w:eastAsia="Verdana" w:hAnsi="VIC"/>
                <w:color w:val="000000"/>
                <w:sz w:val="18"/>
                <w:szCs w:val="18"/>
              </w:rPr>
              <w:t>21 %</w:t>
            </w:r>
          </w:p>
        </w:tc>
        <w:tc>
          <w:tcPr>
            <w:tcW w:w="1075" w:type="dxa"/>
            <w:shd w:val="clear" w:color="auto" w:fill="BFCED6"/>
          </w:tcPr>
          <w:p w14:paraId="2D641770" w14:textId="109B2A70" w:rsidR="0065124E" w:rsidRPr="00BF031D"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BFCED6"/>
          </w:tcPr>
          <w:p w14:paraId="73E3E3C0" w14:textId="2BB7BFAA" w:rsidR="0065124E" w:rsidRPr="00BF031D" w:rsidRDefault="0065124E" w:rsidP="0065124E">
            <w:pPr>
              <w:jc w:val="center"/>
              <w:rPr>
                <w:rFonts w:ascii="VIC" w:hAnsi="VIC"/>
                <w:sz w:val="18"/>
                <w:szCs w:val="18"/>
              </w:rPr>
            </w:pPr>
            <w:r w:rsidRPr="00BF7527">
              <w:rPr>
                <w:rFonts w:ascii="VIC" w:eastAsia="Verdana" w:hAnsi="VIC"/>
                <w:color w:val="000000"/>
                <w:sz w:val="18"/>
                <w:szCs w:val="18"/>
              </w:rPr>
              <w:t>1.8</w:t>
            </w:r>
          </w:p>
        </w:tc>
        <w:tc>
          <w:tcPr>
            <w:tcW w:w="1075" w:type="dxa"/>
            <w:shd w:val="clear" w:color="auto" w:fill="BFCED6"/>
          </w:tcPr>
          <w:p w14:paraId="08A52235" w14:textId="4340A058" w:rsidR="0065124E" w:rsidRPr="00BF031D"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shd w:val="clear" w:color="auto" w:fill="BFCED6"/>
          </w:tcPr>
          <w:p w14:paraId="421DFCA2" w14:textId="215423AA" w:rsidR="0065124E" w:rsidRPr="00BF031D" w:rsidRDefault="0065124E" w:rsidP="0065124E">
            <w:pPr>
              <w:jc w:val="center"/>
              <w:rPr>
                <w:rFonts w:ascii="VIC" w:hAnsi="VIC"/>
                <w:sz w:val="18"/>
                <w:szCs w:val="18"/>
              </w:rPr>
            </w:pPr>
            <w:r w:rsidRPr="00BF7527">
              <w:rPr>
                <w:rFonts w:ascii="VIC" w:eastAsia="Verdana" w:hAnsi="VIC"/>
                <w:color w:val="000000"/>
                <w:sz w:val="18"/>
                <w:szCs w:val="18"/>
              </w:rPr>
              <w:t>67 %</w:t>
            </w:r>
          </w:p>
        </w:tc>
        <w:tc>
          <w:tcPr>
            <w:tcW w:w="1075" w:type="dxa"/>
            <w:shd w:val="clear" w:color="auto" w:fill="BFCED6"/>
          </w:tcPr>
          <w:p w14:paraId="1371A13B" w14:textId="33E9067A" w:rsidR="0065124E" w:rsidRPr="00BF031D" w:rsidRDefault="0065124E" w:rsidP="0065124E">
            <w:pPr>
              <w:jc w:val="center"/>
              <w:rPr>
                <w:rFonts w:ascii="VIC" w:hAnsi="VIC"/>
                <w:sz w:val="18"/>
                <w:szCs w:val="18"/>
              </w:rPr>
            </w:pPr>
            <w:r w:rsidRPr="00BF7527">
              <w:rPr>
                <w:rFonts w:ascii="VIC" w:eastAsia="Verdana" w:hAnsi="VIC"/>
                <w:color w:val="000000"/>
                <w:sz w:val="18"/>
                <w:szCs w:val="18"/>
              </w:rPr>
              <w:t>87 %</w:t>
            </w:r>
          </w:p>
        </w:tc>
        <w:tc>
          <w:tcPr>
            <w:tcW w:w="1075" w:type="dxa"/>
            <w:shd w:val="clear" w:color="auto" w:fill="BFCED6"/>
          </w:tcPr>
          <w:p w14:paraId="094307C3" w14:textId="0DAA485F" w:rsidR="0065124E" w:rsidRPr="00BF031D" w:rsidRDefault="0065124E" w:rsidP="0065124E">
            <w:pPr>
              <w:jc w:val="center"/>
              <w:rPr>
                <w:rFonts w:ascii="VIC" w:hAnsi="VIC"/>
                <w:sz w:val="18"/>
                <w:szCs w:val="18"/>
              </w:rPr>
            </w:pPr>
            <w:r w:rsidRPr="00BF7527">
              <w:rPr>
                <w:rFonts w:ascii="VIC" w:eastAsia="Verdana" w:hAnsi="VIC"/>
                <w:color w:val="000000"/>
                <w:sz w:val="18"/>
                <w:szCs w:val="18"/>
              </w:rPr>
              <w:t>94 %</w:t>
            </w:r>
          </w:p>
        </w:tc>
      </w:tr>
      <w:tr w:rsidR="0065124E" w:rsidRPr="00BF031D" w14:paraId="5CDBCFCE" w14:textId="77777777" w:rsidTr="00BF031D">
        <w:trPr>
          <w:trHeight w:val="454"/>
        </w:trPr>
        <w:tc>
          <w:tcPr>
            <w:tcW w:w="1145" w:type="dxa"/>
            <w:vMerge/>
            <w:shd w:val="clear" w:color="auto" w:fill="BFCED6"/>
          </w:tcPr>
          <w:p w14:paraId="2F96F409" w14:textId="77777777" w:rsidR="0065124E" w:rsidRPr="00BF031D" w:rsidRDefault="0065124E" w:rsidP="0065124E">
            <w:pPr>
              <w:pStyle w:val="DHHStabletext"/>
              <w:spacing w:before="0" w:after="0"/>
              <w:rPr>
                <w:rFonts w:ascii="VIC" w:hAnsi="VIC"/>
                <w:sz w:val="18"/>
                <w:szCs w:val="18"/>
              </w:rPr>
            </w:pPr>
          </w:p>
        </w:tc>
        <w:tc>
          <w:tcPr>
            <w:tcW w:w="1701" w:type="dxa"/>
            <w:shd w:val="clear" w:color="auto" w:fill="BFCED6"/>
          </w:tcPr>
          <w:p w14:paraId="4D1CCAD2" w14:textId="1CB7BD70"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North East Aged (Bundoora)</w:t>
            </w:r>
          </w:p>
        </w:tc>
        <w:tc>
          <w:tcPr>
            <w:tcW w:w="1074" w:type="dxa"/>
            <w:shd w:val="clear" w:color="auto" w:fill="BFCED6"/>
          </w:tcPr>
          <w:p w14:paraId="649DB40D" w14:textId="4FEB3F50" w:rsidR="0065124E" w:rsidRPr="00BF031D" w:rsidRDefault="0065124E" w:rsidP="0065124E">
            <w:pPr>
              <w:jc w:val="center"/>
              <w:rPr>
                <w:rFonts w:ascii="VIC" w:hAnsi="VIC"/>
                <w:sz w:val="18"/>
                <w:szCs w:val="18"/>
              </w:rPr>
            </w:pPr>
            <w:r w:rsidRPr="00BF7527">
              <w:rPr>
                <w:rFonts w:ascii="VIC" w:eastAsia="Verdana" w:hAnsi="VIC"/>
                <w:color w:val="000000"/>
                <w:sz w:val="18"/>
                <w:szCs w:val="18"/>
              </w:rPr>
              <w:t>1.9</w:t>
            </w:r>
          </w:p>
        </w:tc>
        <w:tc>
          <w:tcPr>
            <w:tcW w:w="1075" w:type="dxa"/>
            <w:shd w:val="clear" w:color="auto" w:fill="BFCED6"/>
          </w:tcPr>
          <w:p w14:paraId="111147CB" w14:textId="0EE8C0CC" w:rsidR="0065124E" w:rsidRPr="00BF031D" w:rsidRDefault="0065124E" w:rsidP="0065124E">
            <w:pPr>
              <w:jc w:val="center"/>
              <w:rPr>
                <w:rFonts w:ascii="VIC" w:hAnsi="VIC"/>
                <w:sz w:val="18"/>
                <w:szCs w:val="18"/>
              </w:rPr>
            </w:pPr>
            <w:r w:rsidRPr="00BF7527">
              <w:rPr>
                <w:rFonts w:ascii="VIC" w:eastAsia="Verdana" w:hAnsi="VIC"/>
                <w:color w:val="000000"/>
                <w:sz w:val="18"/>
                <w:szCs w:val="18"/>
              </w:rPr>
              <w:t>78 %</w:t>
            </w:r>
          </w:p>
        </w:tc>
        <w:tc>
          <w:tcPr>
            <w:tcW w:w="1075" w:type="dxa"/>
            <w:shd w:val="clear" w:color="auto" w:fill="BFCED6"/>
          </w:tcPr>
          <w:p w14:paraId="5EFBEDE4" w14:textId="123918B2" w:rsidR="0065124E" w:rsidRPr="00BF031D" w:rsidRDefault="0065124E" w:rsidP="0065124E">
            <w:pPr>
              <w:jc w:val="center"/>
              <w:rPr>
                <w:rFonts w:ascii="VIC" w:hAnsi="VIC"/>
                <w:sz w:val="18"/>
                <w:szCs w:val="18"/>
              </w:rPr>
            </w:pPr>
            <w:r w:rsidRPr="00BF7527">
              <w:rPr>
                <w:rFonts w:ascii="VIC" w:eastAsia="Verdana" w:hAnsi="VIC"/>
                <w:color w:val="000000"/>
                <w:sz w:val="18"/>
                <w:szCs w:val="18"/>
              </w:rPr>
              <w:t>20.2</w:t>
            </w:r>
          </w:p>
        </w:tc>
        <w:tc>
          <w:tcPr>
            <w:tcW w:w="1075" w:type="dxa"/>
            <w:shd w:val="clear" w:color="auto" w:fill="BFCED6"/>
          </w:tcPr>
          <w:p w14:paraId="01E2380C" w14:textId="33751C30" w:rsidR="0065124E" w:rsidRPr="00BF031D" w:rsidRDefault="0065124E" w:rsidP="0065124E">
            <w:pPr>
              <w:jc w:val="center"/>
              <w:rPr>
                <w:rFonts w:ascii="VIC" w:hAnsi="VIC"/>
                <w:sz w:val="18"/>
                <w:szCs w:val="18"/>
              </w:rPr>
            </w:pPr>
            <w:r w:rsidRPr="00BF7527">
              <w:rPr>
                <w:rFonts w:ascii="VIC" w:eastAsia="Verdana" w:hAnsi="VIC"/>
                <w:color w:val="000000"/>
                <w:sz w:val="18"/>
                <w:szCs w:val="18"/>
              </w:rPr>
              <w:t>18 %</w:t>
            </w:r>
          </w:p>
        </w:tc>
        <w:tc>
          <w:tcPr>
            <w:tcW w:w="1087" w:type="dxa"/>
            <w:shd w:val="clear" w:color="auto" w:fill="BFCED6"/>
          </w:tcPr>
          <w:p w14:paraId="5E8CCD45" w14:textId="2EC727C5" w:rsidR="0065124E" w:rsidRPr="00BF031D" w:rsidRDefault="0065124E" w:rsidP="0065124E">
            <w:pPr>
              <w:jc w:val="center"/>
              <w:rPr>
                <w:rFonts w:ascii="VIC" w:hAnsi="VIC"/>
                <w:sz w:val="18"/>
                <w:szCs w:val="18"/>
              </w:rPr>
            </w:pPr>
            <w:r w:rsidRPr="00BF7527">
              <w:rPr>
                <w:rFonts w:ascii="VIC" w:eastAsia="Verdana" w:hAnsi="VIC"/>
                <w:color w:val="000000"/>
                <w:sz w:val="18"/>
                <w:szCs w:val="18"/>
              </w:rPr>
              <w:t>9 %</w:t>
            </w:r>
          </w:p>
        </w:tc>
        <w:tc>
          <w:tcPr>
            <w:tcW w:w="1063" w:type="dxa"/>
            <w:shd w:val="clear" w:color="auto" w:fill="BFCED6"/>
          </w:tcPr>
          <w:p w14:paraId="5AABB0A6" w14:textId="294D6B3D" w:rsidR="0065124E" w:rsidRPr="00BF031D" w:rsidRDefault="0065124E" w:rsidP="0065124E">
            <w:pPr>
              <w:jc w:val="center"/>
              <w:rPr>
                <w:rFonts w:ascii="VIC" w:hAnsi="VIC"/>
                <w:sz w:val="18"/>
                <w:szCs w:val="18"/>
              </w:rPr>
            </w:pPr>
            <w:r w:rsidRPr="00BF7527">
              <w:rPr>
                <w:rFonts w:ascii="VIC" w:eastAsia="Verdana" w:hAnsi="VIC"/>
                <w:color w:val="000000"/>
                <w:sz w:val="18"/>
                <w:szCs w:val="18"/>
              </w:rPr>
              <w:t>14 %</w:t>
            </w:r>
          </w:p>
        </w:tc>
        <w:tc>
          <w:tcPr>
            <w:tcW w:w="1075" w:type="dxa"/>
            <w:shd w:val="clear" w:color="auto" w:fill="BFCED6"/>
          </w:tcPr>
          <w:p w14:paraId="07A4C652" w14:textId="1A17BF41" w:rsidR="0065124E" w:rsidRPr="00BF031D"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BFCED6"/>
          </w:tcPr>
          <w:p w14:paraId="5758EE7C" w14:textId="1C10EE04" w:rsidR="0065124E" w:rsidRPr="00BF031D" w:rsidRDefault="0065124E" w:rsidP="0065124E">
            <w:pPr>
              <w:jc w:val="center"/>
              <w:rPr>
                <w:rFonts w:ascii="VIC" w:hAnsi="VIC"/>
                <w:sz w:val="18"/>
                <w:szCs w:val="18"/>
              </w:rPr>
            </w:pPr>
            <w:r w:rsidRPr="00BF7527">
              <w:rPr>
                <w:rFonts w:ascii="VIC" w:eastAsia="Verdana" w:hAnsi="VIC"/>
                <w:color w:val="000000"/>
                <w:sz w:val="18"/>
                <w:szCs w:val="18"/>
              </w:rPr>
              <w:t>1.9</w:t>
            </w:r>
          </w:p>
        </w:tc>
        <w:tc>
          <w:tcPr>
            <w:tcW w:w="1075" w:type="dxa"/>
            <w:shd w:val="clear" w:color="auto" w:fill="BFCED6"/>
          </w:tcPr>
          <w:p w14:paraId="09C1FBD1" w14:textId="5087DB48" w:rsidR="0065124E" w:rsidRPr="00BF031D" w:rsidRDefault="0065124E" w:rsidP="0065124E">
            <w:pPr>
              <w:jc w:val="center"/>
              <w:rPr>
                <w:rFonts w:ascii="VIC" w:hAnsi="VIC"/>
                <w:sz w:val="18"/>
                <w:szCs w:val="18"/>
              </w:rPr>
            </w:pPr>
            <w:r w:rsidRPr="00BF7527">
              <w:rPr>
                <w:rFonts w:ascii="VIC" w:eastAsia="Verdana" w:hAnsi="VIC"/>
                <w:color w:val="000000"/>
                <w:sz w:val="18"/>
                <w:szCs w:val="18"/>
              </w:rPr>
              <w:t>0.9</w:t>
            </w:r>
          </w:p>
        </w:tc>
        <w:tc>
          <w:tcPr>
            <w:tcW w:w="1075" w:type="dxa"/>
            <w:shd w:val="clear" w:color="auto" w:fill="BFCED6"/>
          </w:tcPr>
          <w:p w14:paraId="71E6428F" w14:textId="06F42C1B" w:rsidR="0065124E" w:rsidRPr="00BF031D" w:rsidRDefault="0065124E" w:rsidP="0065124E">
            <w:pPr>
              <w:jc w:val="center"/>
              <w:rPr>
                <w:rFonts w:ascii="VIC" w:hAnsi="VIC"/>
                <w:sz w:val="18"/>
                <w:szCs w:val="18"/>
              </w:rPr>
            </w:pPr>
            <w:r w:rsidRPr="00BF7527">
              <w:rPr>
                <w:rFonts w:ascii="VIC" w:eastAsia="Verdana" w:hAnsi="VIC"/>
                <w:color w:val="000000"/>
                <w:sz w:val="18"/>
                <w:szCs w:val="18"/>
              </w:rPr>
              <w:t>86 %</w:t>
            </w:r>
          </w:p>
        </w:tc>
        <w:tc>
          <w:tcPr>
            <w:tcW w:w="1075" w:type="dxa"/>
            <w:shd w:val="clear" w:color="auto" w:fill="BFCED6"/>
          </w:tcPr>
          <w:p w14:paraId="29946CA6" w14:textId="604CBE34" w:rsidR="0065124E" w:rsidRPr="00BF031D"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BFCED6"/>
          </w:tcPr>
          <w:p w14:paraId="3E18EA28" w14:textId="7B29CC25" w:rsidR="0065124E" w:rsidRPr="00BF031D" w:rsidRDefault="0065124E" w:rsidP="0065124E">
            <w:pPr>
              <w:jc w:val="center"/>
              <w:rPr>
                <w:rFonts w:ascii="VIC" w:hAnsi="VIC"/>
                <w:sz w:val="18"/>
                <w:szCs w:val="18"/>
              </w:rPr>
            </w:pPr>
            <w:r w:rsidRPr="00BF7527">
              <w:rPr>
                <w:rFonts w:ascii="VIC" w:eastAsia="Verdana" w:hAnsi="VIC"/>
                <w:color w:val="000000"/>
                <w:sz w:val="18"/>
                <w:szCs w:val="18"/>
              </w:rPr>
              <w:t>97 %</w:t>
            </w:r>
          </w:p>
        </w:tc>
      </w:tr>
      <w:tr w:rsidR="0065124E" w:rsidRPr="00BF031D" w14:paraId="28927CF5" w14:textId="77777777" w:rsidTr="00BF031D">
        <w:trPr>
          <w:trHeight w:val="454"/>
        </w:trPr>
        <w:tc>
          <w:tcPr>
            <w:tcW w:w="1145" w:type="dxa"/>
            <w:vMerge/>
            <w:shd w:val="clear" w:color="auto" w:fill="BFCED6"/>
          </w:tcPr>
          <w:p w14:paraId="77BFF26A" w14:textId="77777777" w:rsidR="0065124E" w:rsidRPr="00BF031D" w:rsidRDefault="0065124E" w:rsidP="0065124E">
            <w:pPr>
              <w:pStyle w:val="DHHStabletext"/>
              <w:spacing w:before="0" w:after="0"/>
              <w:rPr>
                <w:rFonts w:ascii="VIC" w:hAnsi="VIC"/>
                <w:sz w:val="18"/>
                <w:szCs w:val="18"/>
              </w:rPr>
            </w:pPr>
          </w:p>
        </w:tc>
        <w:tc>
          <w:tcPr>
            <w:tcW w:w="1701" w:type="dxa"/>
            <w:shd w:val="clear" w:color="auto" w:fill="BFCED6"/>
          </w:tcPr>
          <w:p w14:paraId="19C3D1E2" w14:textId="73C923EE"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North West/Inner West (Broadmeadows)</w:t>
            </w:r>
          </w:p>
        </w:tc>
        <w:tc>
          <w:tcPr>
            <w:tcW w:w="1074" w:type="dxa"/>
            <w:shd w:val="clear" w:color="auto" w:fill="BFCED6"/>
          </w:tcPr>
          <w:p w14:paraId="08578ADF" w14:textId="067463B1" w:rsidR="0065124E" w:rsidRPr="00BF031D" w:rsidRDefault="0065124E" w:rsidP="0065124E">
            <w:pPr>
              <w:jc w:val="center"/>
              <w:rPr>
                <w:rFonts w:ascii="VIC" w:hAnsi="VIC"/>
                <w:sz w:val="18"/>
                <w:szCs w:val="18"/>
              </w:rPr>
            </w:pPr>
            <w:r w:rsidRPr="00BF7527">
              <w:rPr>
                <w:rFonts w:ascii="VIC" w:eastAsia="Verdana" w:hAnsi="VIC"/>
                <w:color w:val="000000"/>
                <w:sz w:val="18"/>
                <w:szCs w:val="18"/>
              </w:rPr>
              <w:t>2.4</w:t>
            </w:r>
          </w:p>
        </w:tc>
        <w:tc>
          <w:tcPr>
            <w:tcW w:w="1075" w:type="dxa"/>
            <w:shd w:val="clear" w:color="auto" w:fill="BFCED6"/>
          </w:tcPr>
          <w:p w14:paraId="2177303B" w14:textId="3A212517" w:rsidR="0065124E" w:rsidRPr="00BF031D" w:rsidRDefault="0065124E" w:rsidP="0065124E">
            <w:pPr>
              <w:jc w:val="center"/>
              <w:rPr>
                <w:rFonts w:ascii="VIC" w:hAnsi="VIC"/>
                <w:sz w:val="18"/>
                <w:szCs w:val="18"/>
              </w:rPr>
            </w:pPr>
            <w:r w:rsidRPr="00BF7527">
              <w:rPr>
                <w:rFonts w:ascii="VIC" w:eastAsia="Verdana" w:hAnsi="VIC"/>
                <w:color w:val="000000"/>
                <w:sz w:val="18"/>
                <w:szCs w:val="18"/>
              </w:rPr>
              <w:t>71 %</w:t>
            </w:r>
          </w:p>
        </w:tc>
        <w:tc>
          <w:tcPr>
            <w:tcW w:w="1075" w:type="dxa"/>
            <w:shd w:val="clear" w:color="auto" w:fill="BFCED6"/>
          </w:tcPr>
          <w:p w14:paraId="74820925" w14:textId="2498A824" w:rsidR="0065124E" w:rsidRPr="00BF031D" w:rsidRDefault="0065124E" w:rsidP="0065124E">
            <w:pPr>
              <w:jc w:val="center"/>
              <w:rPr>
                <w:rFonts w:ascii="VIC" w:hAnsi="VIC"/>
                <w:sz w:val="18"/>
                <w:szCs w:val="18"/>
              </w:rPr>
            </w:pPr>
            <w:r w:rsidRPr="00BF7527">
              <w:rPr>
                <w:rFonts w:ascii="VIC" w:eastAsia="Verdana" w:hAnsi="VIC"/>
                <w:color w:val="000000"/>
                <w:sz w:val="18"/>
                <w:szCs w:val="18"/>
              </w:rPr>
              <w:t>27.8</w:t>
            </w:r>
          </w:p>
        </w:tc>
        <w:tc>
          <w:tcPr>
            <w:tcW w:w="1075" w:type="dxa"/>
            <w:shd w:val="clear" w:color="auto" w:fill="BFCED6"/>
          </w:tcPr>
          <w:p w14:paraId="3BA5B5BF" w14:textId="0F773D2E" w:rsidR="0065124E" w:rsidRPr="00BF031D" w:rsidRDefault="0065124E" w:rsidP="0065124E">
            <w:pPr>
              <w:jc w:val="center"/>
              <w:rPr>
                <w:rFonts w:ascii="VIC" w:hAnsi="VIC"/>
                <w:sz w:val="18"/>
                <w:szCs w:val="18"/>
              </w:rPr>
            </w:pPr>
            <w:r w:rsidRPr="00BF7527">
              <w:rPr>
                <w:rFonts w:ascii="VIC" w:eastAsia="Verdana" w:hAnsi="VIC"/>
                <w:color w:val="000000"/>
                <w:sz w:val="18"/>
                <w:szCs w:val="18"/>
              </w:rPr>
              <w:t>7 %</w:t>
            </w:r>
          </w:p>
        </w:tc>
        <w:tc>
          <w:tcPr>
            <w:tcW w:w="1087" w:type="dxa"/>
            <w:shd w:val="clear" w:color="auto" w:fill="BFCED6"/>
          </w:tcPr>
          <w:p w14:paraId="5F3A2A0A" w14:textId="6C72C7DA" w:rsidR="0065124E" w:rsidRPr="00BF031D" w:rsidRDefault="0065124E" w:rsidP="0065124E">
            <w:pPr>
              <w:jc w:val="center"/>
              <w:rPr>
                <w:rFonts w:ascii="VIC" w:hAnsi="VIC"/>
                <w:sz w:val="18"/>
                <w:szCs w:val="18"/>
              </w:rPr>
            </w:pPr>
            <w:r w:rsidRPr="00BF7527">
              <w:rPr>
                <w:rFonts w:ascii="VIC" w:eastAsia="Verdana" w:hAnsi="VIC"/>
                <w:color w:val="000000"/>
                <w:sz w:val="18"/>
                <w:szCs w:val="18"/>
              </w:rPr>
              <w:t>3 %</w:t>
            </w:r>
          </w:p>
        </w:tc>
        <w:tc>
          <w:tcPr>
            <w:tcW w:w="1063" w:type="dxa"/>
            <w:shd w:val="clear" w:color="auto" w:fill="BFCED6"/>
          </w:tcPr>
          <w:p w14:paraId="556BB0AD" w14:textId="0A69F49A" w:rsidR="0065124E" w:rsidRPr="00BF031D" w:rsidRDefault="0065124E" w:rsidP="0065124E">
            <w:pPr>
              <w:jc w:val="center"/>
              <w:rPr>
                <w:rFonts w:ascii="VIC" w:hAnsi="VIC"/>
                <w:sz w:val="18"/>
                <w:szCs w:val="18"/>
              </w:rPr>
            </w:pPr>
            <w:r w:rsidRPr="00BF7527">
              <w:rPr>
                <w:rFonts w:ascii="VIC" w:eastAsia="Verdana" w:hAnsi="VIC"/>
                <w:color w:val="000000"/>
                <w:sz w:val="18"/>
                <w:szCs w:val="18"/>
              </w:rPr>
              <w:t>11 %</w:t>
            </w:r>
          </w:p>
        </w:tc>
        <w:tc>
          <w:tcPr>
            <w:tcW w:w="1075" w:type="dxa"/>
            <w:shd w:val="clear" w:color="auto" w:fill="BFCED6"/>
          </w:tcPr>
          <w:p w14:paraId="1F65BE08" w14:textId="1DD97BE8" w:rsidR="0065124E" w:rsidRPr="00BF031D"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BFCED6"/>
          </w:tcPr>
          <w:p w14:paraId="1D3802F0" w14:textId="3B734375" w:rsidR="0065124E" w:rsidRPr="00BF031D" w:rsidRDefault="0065124E" w:rsidP="0065124E">
            <w:pPr>
              <w:jc w:val="center"/>
              <w:rPr>
                <w:rFonts w:ascii="VIC" w:hAnsi="VIC"/>
                <w:sz w:val="18"/>
                <w:szCs w:val="18"/>
              </w:rPr>
            </w:pPr>
            <w:r w:rsidRPr="00BF7527">
              <w:rPr>
                <w:rFonts w:ascii="VIC" w:eastAsia="Verdana" w:hAnsi="VIC"/>
                <w:color w:val="000000"/>
                <w:sz w:val="18"/>
                <w:szCs w:val="18"/>
              </w:rPr>
              <w:t>3.3</w:t>
            </w:r>
          </w:p>
        </w:tc>
        <w:tc>
          <w:tcPr>
            <w:tcW w:w="1075" w:type="dxa"/>
            <w:shd w:val="clear" w:color="auto" w:fill="BFCED6"/>
          </w:tcPr>
          <w:p w14:paraId="08D5765A" w14:textId="4FEFA09E" w:rsidR="0065124E" w:rsidRPr="00BF031D"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shd w:val="clear" w:color="auto" w:fill="BFCED6"/>
          </w:tcPr>
          <w:p w14:paraId="002A00EA" w14:textId="36F1A152" w:rsidR="0065124E" w:rsidRPr="00BF031D" w:rsidRDefault="0065124E" w:rsidP="0065124E">
            <w:pPr>
              <w:jc w:val="center"/>
              <w:rPr>
                <w:rFonts w:ascii="VIC" w:hAnsi="VIC"/>
                <w:sz w:val="18"/>
                <w:szCs w:val="18"/>
              </w:rPr>
            </w:pPr>
            <w:r w:rsidRPr="00BF7527">
              <w:rPr>
                <w:rFonts w:ascii="VIC" w:eastAsia="Verdana" w:hAnsi="VIC"/>
                <w:color w:val="000000"/>
                <w:sz w:val="18"/>
                <w:szCs w:val="18"/>
              </w:rPr>
              <w:t>60 %</w:t>
            </w:r>
          </w:p>
        </w:tc>
        <w:tc>
          <w:tcPr>
            <w:tcW w:w="1075" w:type="dxa"/>
            <w:shd w:val="clear" w:color="auto" w:fill="BFCED6"/>
          </w:tcPr>
          <w:p w14:paraId="6671B68B" w14:textId="6EC68B0C" w:rsidR="0065124E" w:rsidRPr="00BF031D" w:rsidRDefault="0065124E" w:rsidP="0065124E">
            <w:pPr>
              <w:jc w:val="center"/>
              <w:rPr>
                <w:rFonts w:ascii="VIC" w:hAnsi="VIC"/>
                <w:sz w:val="18"/>
                <w:szCs w:val="18"/>
              </w:rPr>
            </w:pPr>
            <w:r w:rsidRPr="00BF7527">
              <w:rPr>
                <w:rFonts w:ascii="VIC" w:eastAsia="Verdana" w:hAnsi="VIC"/>
                <w:color w:val="000000"/>
                <w:sz w:val="18"/>
                <w:szCs w:val="18"/>
              </w:rPr>
              <w:t>92 %</w:t>
            </w:r>
          </w:p>
        </w:tc>
        <w:tc>
          <w:tcPr>
            <w:tcW w:w="1075" w:type="dxa"/>
            <w:shd w:val="clear" w:color="auto" w:fill="BFCED6"/>
          </w:tcPr>
          <w:p w14:paraId="3374F2C7" w14:textId="51D13768" w:rsidR="0065124E" w:rsidRPr="00BF031D" w:rsidRDefault="0065124E" w:rsidP="0065124E">
            <w:pPr>
              <w:jc w:val="center"/>
              <w:rPr>
                <w:rFonts w:ascii="VIC" w:hAnsi="VIC"/>
                <w:sz w:val="18"/>
                <w:szCs w:val="18"/>
              </w:rPr>
            </w:pPr>
            <w:r w:rsidRPr="00BF7527">
              <w:rPr>
                <w:rFonts w:ascii="VIC" w:eastAsia="Verdana" w:hAnsi="VIC"/>
                <w:color w:val="000000"/>
                <w:sz w:val="18"/>
                <w:szCs w:val="18"/>
              </w:rPr>
              <w:t>75 %</w:t>
            </w:r>
          </w:p>
        </w:tc>
      </w:tr>
      <w:tr w:rsidR="0065124E" w:rsidRPr="00BF031D" w14:paraId="2E493FE6" w14:textId="77777777" w:rsidTr="00BF031D">
        <w:trPr>
          <w:trHeight w:val="454"/>
        </w:trPr>
        <w:tc>
          <w:tcPr>
            <w:tcW w:w="1145" w:type="dxa"/>
            <w:vMerge/>
            <w:shd w:val="clear" w:color="auto" w:fill="BFCED6"/>
          </w:tcPr>
          <w:p w14:paraId="65291697" w14:textId="77777777" w:rsidR="0065124E" w:rsidRPr="00BF031D" w:rsidRDefault="0065124E" w:rsidP="0065124E">
            <w:pPr>
              <w:pStyle w:val="DHHStabletext"/>
              <w:spacing w:before="0" w:after="0"/>
              <w:rPr>
                <w:rFonts w:ascii="VIC" w:hAnsi="VIC"/>
                <w:sz w:val="18"/>
                <w:szCs w:val="18"/>
              </w:rPr>
            </w:pPr>
          </w:p>
        </w:tc>
        <w:tc>
          <w:tcPr>
            <w:tcW w:w="1701" w:type="dxa"/>
            <w:shd w:val="clear" w:color="auto" w:fill="BFCED6"/>
          </w:tcPr>
          <w:p w14:paraId="74549ED5" w14:textId="686AAC16"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TOTAL</w:t>
            </w:r>
          </w:p>
        </w:tc>
        <w:tc>
          <w:tcPr>
            <w:tcW w:w="1074" w:type="dxa"/>
            <w:shd w:val="clear" w:color="auto" w:fill="BFCED6"/>
          </w:tcPr>
          <w:p w14:paraId="6D5E3482" w14:textId="5F58C2A6" w:rsidR="0065124E" w:rsidRPr="00BF031D" w:rsidRDefault="0065124E" w:rsidP="0065124E">
            <w:pPr>
              <w:jc w:val="center"/>
              <w:rPr>
                <w:rFonts w:ascii="VIC" w:hAnsi="VIC"/>
                <w:sz w:val="18"/>
                <w:szCs w:val="18"/>
              </w:rPr>
            </w:pPr>
            <w:r w:rsidRPr="00BF7527">
              <w:rPr>
                <w:rFonts w:ascii="VIC" w:eastAsia="Verdana" w:hAnsi="VIC"/>
                <w:color w:val="000000"/>
                <w:sz w:val="18"/>
                <w:szCs w:val="18"/>
              </w:rPr>
              <w:t>2.1</w:t>
            </w:r>
          </w:p>
        </w:tc>
        <w:tc>
          <w:tcPr>
            <w:tcW w:w="1075" w:type="dxa"/>
            <w:shd w:val="clear" w:color="auto" w:fill="BFCED6"/>
          </w:tcPr>
          <w:p w14:paraId="5211450E" w14:textId="6B304167" w:rsidR="0065124E" w:rsidRPr="00BF031D" w:rsidRDefault="0065124E" w:rsidP="0065124E">
            <w:pPr>
              <w:jc w:val="center"/>
              <w:rPr>
                <w:rFonts w:ascii="VIC" w:hAnsi="VIC"/>
                <w:sz w:val="18"/>
                <w:szCs w:val="18"/>
              </w:rPr>
            </w:pPr>
            <w:r w:rsidRPr="00BF7527">
              <w:rPr>
                <w:rFonts w:ascii="VIC" w:eastAsia="Verdana" w:hAnsi="VIC"/>
                <w:color w:val="000000"/>
                <w:sz w:val="18"/>
                <w:szCs w:val="18"/>
              </w:rPr>
              <w:t>80 %</w:t>
            </w:r>
          </w:p>
        </w:tc>
        <w:tc>
          <w:tcPr>
            <w:tcW w:w="1075" w:type="dxa"/>
            <w:shd w:val="clear" w:color="auto" w:fill="BFCED6"/>
          </w:tcPr>
          <w:p w14:paraId="7B92FE3A" w14:textId="354A0A39" w:rsidR="0065124E" w:rsidRPr="00BF031D" w:rsidRDefault="0065124E" w:rsidP="0065124E">
            <w:pPr>
              <w:jc w:val="center"/>
              <w:rPr>
                <w:rFonts w:ascii="VIC" w:hAnsi="VIC"/>
                <w:sz w:val="18"/>
                <w:szCs w:val="18"/>
              </w:rPr>
            </w:pPr>
            <w:r w:rsidRPr="00BF7527">
              <w:rPr>
                <w:rFonts w:ascii="VIC" w:eastAsia="Verdana" w:hAnsi="VIC"/>
                <w:color w:val="000000"/>
                <w:sz w:val="18"/>
                <w:szCs w:val="18"/>
              </w:rPr>
              <w:t>22.9</w:t>
            </w:r>
          </w:p>
        </w:tc>
        <w:tc>
          <w:tcPr>
            <w:tcW w:w="1075" w:type="dxa"/>
            <w:shd w:val="clear" w:color="auto" w:fill="BFCED6"/>
          </w:tcPr>
          <w:p w14:paraId="512FF699" w14:textId="747705A5" w:rsidR="0065124E" w:rsidRPr="00BF031D" w:rsidRDefault="0065124E" w:rsidP="0065124E">
            <w:pPr>
              <w:jc w:val="center"/>
              <w:rPr>
                <w:rFonts w:ascii="VIC" w:hAnsi="VIC"/>
                <w:sz w:val="18"/>
                <w:szCs w:val="18"/>
              </w:rPr>
            </w:pPr>
            <w:r w:rsidRPr="00BF7527">
              <w:rPr>
                <w:rFonts w:ascii="VIC" w:eastAsia="Verdana" w:hAnsi="VIC"/>
                <w:color w:val="000000"/>
                <w:sz w:val="18"/>
                <w:szCs w:val="18"/>
              </w:rPr>
              <w:t>15 %</w:t>
            </w:r>
          </w:p>
        </w:tc>
        <w:tc>
          <w:tcPr>
            <w:tcW w:w="1087" w:type="dxa"/>
            <w:shd w:val="clear" w:color="auto" w:fill="BFCED6"/>
          </w:tcPr>
          <w:p w14:paraId="38142B6B" w14:textId="15207C16" w:rsidR="0065124E" w:rsidRPr="00BF031D" w:rsidRDefault="0065124E" w:rsidP="0065124E">
            <w:pPr>
              <w:jc w:val="center"/>
              <w:rPr>
                <w:rFonts w:ascii="VIC" w:hAnsi="VIC"/>
                <w:sz w:val="18"/>
                <w:szCs w:val="18"/>
              </w:rPr>
            </w:pPr>
            <w:r w:rsidRPr="00BF7527">
              <w:rPr>
                <w:rFonts w:ascii="VIC" w:eastAsia="Verdana" w:hAnsi="VIC"/>
                <w:color w:val="000000"/>
                <w:sz w:val="18"/>
                <w:szCs w:val="18"/>
              </w:rPr>
              <w:t>5 %</w:t>
            </w:r>
          </w:p>
        </w:tc>
        <w:tc>
          <w:tcPr>
            <w:tcW w:w="1063" w:type="dxa"/>
            <w:shd w:val="clear" w:color="auto" w:fill="BFCED6"/>
          </w:tcPr>
          <w:p w14:paraId="78D2678F" w14:textId="1A451643" w:rsidR="0065124E" w:rsidRPr="00BF031D" w:rsidRDefault="0065124E" w:rsidP="0065124E">
            <w:pPr>
              <w:jc w:val="center"/>
              <w:rPr>
                <w:rFonts w:ascii="VIC" w:hAnsi="VIC"/>
                <w:sz w:val="18"/>
                <w:szCs w:val="18"/>
              </w:rPr>
            </w:pPr>
            <w:r w:rsidRPr="00BF7527">
              <w:rPr>
                <w:rFonts w:ascii="VIC" w:eastAsia="Verdana" w:hAnsi="VIC"/>
                <w:color w:val="000000"/>
                <w:sz w:val="18"/>
                <w:szCs w:val="18"/>
              </w:rPr>
              <w:t>15 %</w:t>
            </w:r>
          </w:p>
        </w:tc>
        <w:tc>
          <w:tcPr>
            <w:tcW w:w="1075" w:type="dxa"/>
            <w:shd w:val="clear" w:color="auto" w:fill="BFCED6"/>
          </w:tcPr>
          <w:p w14:paraId="3ADBC1ED" w14:textId="6773B9A4" w:rsidR="0065124E" w:rsidRPr="00BF031D"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BFCED6"/>
          </w:tcPr>
          <w:p w14:paraId="1BAB6702" w14:textId="5DA5B659" w:rsidR="0065124E" w:rsidRPr="00BF031D" w:rsidRDefault="0065124E" w:rsidP="0065124E">
            <w:pPr>
              <w:jc w:val="center"/>
              <w:rPr>
                <w:rFonts w:ascii="VIC" w:hAnsi="VIC"/>
                <w:sz w:val="18"/>
                <w:szCs w:val="18"/>
              </w:rPr>
            </w:pPr>
            <w:r w:rsidRPr="00BF7527">
              <w:rPr>
                <w:rFonts w:ascii="VIC" w:eastAsia="Verdana" w:hAnsi="VIC"/>
                <w:color w:val="000000"/>
                <w:sz w:val="18"/>
                <w:szCs w:val="18"/>
              </w:rPr>
              <w:t>2.3</w:t>
            </w:r>
          </w:p>
        </w:tc>
        <w:tc>
          <w:tcPr>
            <w:tcW w:w="1075" w:type="dxa"/>
            <w:shd w:val="clear" w:color="auto" w:fill="BFCED6"/>
          </w:tcPr>
          <w:p w14:paraId="199B7D43" w14:textId="39515225" w:rsidR="0065124E" w:rsidRPr="00BF031D" w:rsidRDefault="0065124E" w:rsidP="0065124E">
            <w:pPr>
              <w:jc w:val="center"/>
              <w:rPr>
                <w:rFonts w:ascii="VIC" w:hAnsi="VIC"/>
                <w:sz w:val="18"/>
                <w:szCs w:val="18"/>
              </w:rPr>
            </w:pPr>
            <w:r w:rsidRPr="00BF7527">
              <w:rPr>
                <w:rFonts w:ascii="VIC" w:eastAsia="Verdana" w:hAnsi="VIC"/>
                <w:color w:val="000000"/>
                <w:sz w:val="18"/>
                <w:szCs w:val="18"/>
              </w:rPr>
              <w:t>0.3</w:t>
            </w:r>
          </w:p>
        </w:tc>
        <w:tc>
          <w:tcPr>
            <w:tcW w:w="1075" w:type="dxa"/>
            <w:shd w:val="clear" w:color="auto" w:fill="BFCED6"/>
          </w:tcPr>
          <w:p w14:paraId="7D213C64" w14:textId="7FC918CC" w:rsidR="0065124E" w:rsidRPr="00BF031D" w:rsidRDefault="0065124E" w:rsidP="0065124E">
            <w:pPr>
              <w:jc w:val="center"/>
              <w:rPr>
                <w:rFonts w:ascii="VIC" w:hAnsi="VIC"/>
                <w:sz w:val="18"/>
                <w:szCs w:val="18"/>
              </w:rPr>
            </w:pPr>
            <w:r w:rsidRPr="00BF7527">
              <w:rPr>
                <w:rFonts w:ascii="VIC" w:eastAsia="Verdana" w:hAnsi="VIC"/>
                <w:color w:val="000000"/>
                <w:sz w:val="18"/>
                <w:szCs w:val="18"/>
              </w:rPr>
              <w:t>69 %</w:t>
            </w:r>
          </w:p>
        </w:tc>
        <w:tc>
          <w:tcPr>
            <w:tcW w:w="1075" w:type="dxa"/>
            <w:shd w:val="clear" w:color="auto" w:fill="BFCED6"/>
          </w:tcPr>
          <w:p w14:paraId="7F16CC59" w14:textId="60C955A0" w:rsidR="0065124E" w:rsidRPr="00BF031D" w:rsidRDefault="0065124E" w:rsidP="0065124E">
            <w:pPr>
              <w:jc w:val="center"/>
              <w:rPr>
                <w:rFonts w:ascii="VIC" w:hAnsi="VIC"/>
                <w:sz w:val="18"/>
                <w:szCs w:val="18"/>
              </w:rPr>
            </w:pPr>
            <w:r w:rsidRPr="00BF7527">
              <w:rPr>
                <w:rFonts w:ascii="VIC" w:eastAsia="Verdana" w:hAnsi="VIC"/>
                <w:color w:val="000000"/>
                <w:sz w:val="18"/>
                <w:szCs w:val="18"/>
              </w:rPr>
              <w:t>93 %</w:t>
            </w:r>
          </w:p>
        </w:tc>
        <w:tc>
          <w:tcPr>
            <w:tcW w:w="1075" w:type="dxa"/>
            <w:shd w:val="clear" w:color="auto" w:fill="BFCED6"/>
          </w:tcPr>
          <w:p w14:paraId="28AA74A2" w14:textId="26E6BD5C" w:rsidR="0065124E" w:rsidRPr="00BF031D" w:rsidRDefault="0065124E" w:rsidP="0065124E">
            <w:pPr>
              <w:jc w:val="center"/>
              <w:rPr>
                <w:rFonts w:ascii="VIC" w:hAnsi="VIC"/>
                <w:sz w:val="18"/>
                <w:szCs w:val="18"/>
              </w:rPr>
            </w:pPr>
            <w:r w:rsidRPr="00BF7527">
              <w:rPr>
                <w:rFonts w:ascii="VIC" w:eastAsia="Verdana" w:hAnsi="VIC"/>
                <w:color w:val="000000"/>
                <w:sz w:val="18"/>
                <w:szCs w:val="18"/>
              </w:rPr>
              <w:t>89 %</w:t>
            </w:r>
          </w:p>
        </w:tc>
      </w:tr>
      <w:tr w:rsidR="0065124E" w:rsidRPr="00BF031D" w14:paraId="0F258025" w14:textId="77777777" w:rsidTr="00BF031D">
        <w:trPr>
          <w:trHeight w:val="454"/>
        </w:trPr>
        <w:tc>
          <w:tcPr>
            <w:tcW w:w="1145" w:type="dxa"/>
            <w:shd w:val="clear" w:color="auto" w:fill="auto"/>
          </w:tcPr>
          <w:p w14:paraId="6CE79DDB" w14:textId="4AAA5190"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Monash Health</w:t>
            </w:r>
          </w:p>
        </w:tc>
        <w:tc>
          <w:tcPr>
            <w:tcW w:w="1701" w:type="dxa"/>
            <w:shd w:val="clear" w:color="auto" w:fill="auto"/>
          </w:tcPr>
          <w:p w14:paraId="0C9FC09D" w14:textId="12270479"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Middle South (Monash Aged)</w:t>
            </w:r>
          </w:p>
        </w:tc>
        <w:tc>
          <w:tcPr>
            <w:tcW w:w="1074" w:type="dxa"/>
            <w:shd w:val="clear" w:color="auto" w:fill="auto"/>
          </w:tcPr>
          <w:p w14:paraId="67AD09CB" w14:textId="15E37DB6" w:rsidR="0065124E" w:rsidRPr="00BF031D" w:rsidRDefault="0065124E" w:rsidP="0065124E">
            <w:pPr>
              <w:jc w:val="center"/>
              <w:rPr>
                <w:rFonts w:ascii="VIC" w:hAnsi="VIC"/>
                <w:sz w:val="18"/>
                <w:szCs w:val="18"/>
              </w:rPr>
            </w:pPr>
            <w:r w:rsidRPr="00BF7527">
              <w:rPr>
                <w:rFonts w:ascii="VIC" w:eastAsia="Verdana" w:hAnsi="VIC"/>
                <w:color w:val="000000"/>
                <w:sz w:val="18"/>
                <w:szCs w:val="18"/>
              </w:rPr>
              <w:t>7.0</w:t>
            </w:r>
          </w:p>
        </w:tc>
        <w:tc>
          <w:tcPr>
            <w:tcW w:w="1075" w:type="dxa"/>
            <w:shd w:val="clear" w:color="auto" w:fill="auto"/>
          </w:tcPr>
          <w:p w14:paraId="745DAAE0" w14:textId="535A6F08" w:rsidR="0065124E" w:rsidRPr="00BF031D" w:rsidRDefault="0065124E" w:rsidP="0065124E">
            <w:pPr>
              <w:jc w:val="center"/>
              <w:rPr>
                <w:rFonts w:ascii="VIC" w:hAnsi="VIC"/>
                <w:sz w:val="18"/>
                <w:szCs w:val="18"/>
              </w:rPr>
            </w:pPr>
            <w:r w:rsidRPr="00BF7527">
              <w:rPr>
                <w:rFonts w:ascii="VIC" w:eastAsia="Verdana" w:hAnsi="VIC"/>
                <w:color w:val="000000"/>
                <w:sz w:val="18"/>
                <w:szCs w:val="18"/>
              </w:rPr>
              <w:t>98 %</w:t>
            </w:r>
          </w:p>
        </w:tc>
        <w:tc>
          <w:tcPr>
            <w:tcW w:w="1075" w:type="dxa"/>
            <w:shd w:val="clear" w:color="auto" w:fill="auto"/>
          </w:tcPr>
          <w:p w14:paraId="4871566D" w14:textId="4F625D6C" w:rsidR="0065124E" w:rsidRPr="00BF031D" w:rsidRDefault="0065124E" w:rsidP="0065124E">
            <w:pPr>
              <w:jc w:val="center"/>
              <w:rPr>
                <w:rFonts w:ascii="VIC" w:hAnsi="VIC"/>
                <w:sz w:val="18"/>
                <w:szCs w:val="18"/>
              </w:rPr>
            </w:pPr>
            <w:r w:rsidRPr="00BF7527">
              <w:rPr>
                <w:rFonts w:ascii="VIC" w:eastAsia="Verdana" w:hAnsi="VIC"/>
                <w:color w:val="000000"/>
                <w:sz w:val="18"/>
                <w:szCs w:val="18"/>
              </w:rPr>
              <w:t>24.3</w:t>
            </w:r>
          </w:p>
        </w:tc>
        <w:tc>
          <w:tcPr>
            <w:tcW w:w="1075" w:type="dxa"/>
            <w:shd w:val="clear" w:color="auto" w:fill="auto"/>
          </w:tcPr>
          <w:p w14:paraId="3F0D6199" w14:textId="0BA6D812" w:rsidR="0065124E" w:rsidRPr="00BF031D" w:rsidRDefault="0065124E" w:rsidP="0065124E">
            <w:pPr>
              <w:jc w:val="center"/>
              <w:rPr>
                <w:rFonts w:ascii="VIC" w:hAnsi="VIC"/>
                <w:sz w:val="18"/>
                <w:szCs w:val="18"/>
              </w:rPr>
            </w:pPr>
            <w:r w:rsidRPr="00BF7527">
              <w:rPr>
                <w:rFonts w:ascii="VIC" w:eastAsia="Verdana" w:hAnsi="VIC"/>
                <w:color w:val="000000"/>
                <w:sz w:val="18"/>
                <w:szCs w:val="18"/>
              </w:rPr>
              <w:t>32 %</w:t>
            </w:r>
          </w:p>
        </w:tc>
        <w:tc>
          <w:tcPr>
            <w:tcW w:w="1087" w:type="dxa"/>
            <w:shd w:val="clear" w:color="auto" w:fill="auto"/>
          </w:tcPr>
          <w:p w14:paraId="7F6607CA" w14:textId="1ABBEA3B" w:rsidR="0065124E" w:rsidRPr="00BF031D" w:rsidRDefault="0065124E" w:rsidP="0065124E">
            <w:pPr>
              <w:jc w:val="center"/>
              <w:rPr>
                <w:rFonts w:ascii="VIC" w:hAnsi="VIC"/>
                <w:sz w:val="18"/>
                <w:szCs w:val="18"/>
              </w:rPr>
            </w:pPr>
            <w:r w:rsidRPr="00BF7527">
              <w:rPr>
                <w:rFonts w:ascii="VIC" w:eastAsia="Verdana" w:hAnsi="VIC"/>
                <w:color w:val="000000"/>
                <w:sz w:val="18"/>
                <w:szCs w:val="18"/>
              </w:rPr>
              <w:t>1 %</w:t>
            </w:r>
          </w:p>
        </w:tc>
        <w:tc>
          <w:tcPr>
            <w:tcW w:w="1063" w:type="dxa"/>
            <w:shd w:val="clear" w:color="auto" w:fill="auto"/>
          </w:tcPr>
          <w:p w14:paraId="0845CF17" w14:textId="36159C0C" w:rsidR="0065124E" w:rsidRPr="00BF031D" w:rsidRDefault="0065124E" w:rsidP="0065124E">
            <w:pPr>
              <w:jc w:val="center"/>
              <w:rPr>
                <w:rFonts w:ascii="VIC" w:hAnsi="VIC"/>
                <w:sz w:val="18"/>
                <w:szCs w:val="18"/>
              </w:rPr>
            </w:pPr>
            <w:r w:rsidRPr="00BF7527">
              <w:rPr>
                <w:rFonts w:ascii="VIC" w:eastAsia="Verdana" w:hAnsi="VIC"/>
                <w:color w:val="000000"/>
                <w:sz w:val="18"/>
                <w:szCs w:val="18"/>
              </w:rPr>
              <w:t>34 %</w:t>
            </w:r>
          </w:p>
        </w:tc>
        <w:tc>
          <w:tcPr>
            <w:tcW w:w="1075" w:type="dxa"/>
            <w:shd w:val="clear" w:color="auto" w:fill="auto"/>
          </w:tcPr>
          <w:p w14:paraId="79265ED3" w14:textId="76103E31" w:rsidR="0065124E" w:rsidRPr="00BF031D"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auto"/>
          </w:tcPr>
          <w:p w14:paraId="5010AAB4" w14:textId="682EC2BA" w:rsidR="0065124E" w:rsidRPr="00BF031D" w:rsidRDefault="0065124E" w:rsidP="0065124E">
            <w:pPr>
              <w:jc w:val="center"/>
              <w:rPr>
                <w:rFonts w:ascii="VIC" w:hAnsi="VIC"/>
                <w:sz w:val="18"/>
                <w:szCs w:val="18"/>
              </w:rPr>
            </w:pPr>
            <w:r w:rsidRPr="00BF7527">
              <w:rPr>
                <w:rFonts w:ascii="VIC" w:eastAsia="Verdana" w:hAnsi="VIC"/>
                <w:color w:val="000000"/>
                <w:sz w:val="18"/>
                <w:szCs w:val="18"/>
              </w:rPr>
              <w:t>6.4</w:t>
            </w:r>
          </w:p>
        </w:tc>
        <w:tc>
          <w:tcPr>
            <w:tcW w:w="1075" w:type="dxa"/>
            <w:shd w:val="clear" w:color="auto" w:fill="auto"/>
          </w:tcPr>
          <w:p w14:paraId="2A71A484" w14:textId="64F14D2F" w:rsidR="0065124E" w:rsidRPr="00BF031D"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shd w:val="clear" w:color="auto" w:fill="auto"/>
          </w:tcPr>
          <w:p w14:paraId="64C12FB9" w14:textId="182AE855" w:rsidR="0065124E" w:rsidRPr="00BF031D" w:rsidRDefault="0065124E" w:rsidP="0065124E">
            <w:pPr>
              <w:jc w:val="center"/>
              <w:rPr>
                <w:rFonts w:ascii="VIC" w:hAnsi="VIC"/>
                <w:sz w:val="18"/>
                <w:szCs w:val="18"/>
              </w:rPr>
            </w:pPr>
            <w:r w:rsidRPr="00BF7527">
              <w:rPr>
                <w:rFonts w:ascii="VIC" w:eastAsia="Verdana" w:hAnsi="VIC"/>
                <w:color w:val="000000"/>
                <w:sz w:val="18"/>
                <w:szCs w:val="18"/>
              </w:rPr>
              <w:t>76 %</w:t>
            </w:r>
          </w:p>
        </w:tc>
        <w:tc>
          <w:tcPr>
            <w:tcW w:w="1075" w:type="dxa"/>
            <w:shd w:val="clear" w:color="auto" w:fill="auto"/>
          </w:tcPr>
          <w:p w14:paraId="6250A8E4" w14:textId="411FB9B4" w:rsidR="0065124E" w:rsidRPr="00BF031D" w:rsidRDefault="0065124E" w:rsidP="0065124E">
            <w:pPr>
              <w:jc w:val="center"/>
              <w:rPr>
                <w:rFonts w:ascii="VIC" w:hAnsi="VIC"/>
                <w:sz w:val="18"/>
                <w:szCs w:val="18"/>
              </w:rPr>
            </w:pPr>
            <w:r w:rsidRPr="00BF7527">
              <w:rPr>
                <w:rFonts w:ascii="VIC" w:eastAsia="Verdana" w:hAnsi="VIC"/>
                <w:color w:val="000000"/>
                <w:sz w:val="18"/>
                <w:szCs w:val="18"/>
              </w:rPr>
              <w:t>95 %</w:t>
            </w:r>
          </w:p>
        </w:tc>
        <w:tc>
          <w:tcPr>
            <w:tcW w:w="1075" w:type="dxa"/>
            <w:shd w:val="clear" w:color="auto" w:fill="auto"/>
          </w:tcPr>
          <w:p w14:paraId="4B6C271E" w14:textId="79240A66" w:rsidR="0065124E" w:rsidRPr="00BF031D" w:rsidRDefault="0065124E" w:rsidP="0065124E">
            <w:pPr>
              <w:jc w:val="center"/>
              <w:rPr>
                <w:rFonts w:ascii="VIC" w:hAnsi="VIC"/>
                <w:sz w:val="18"/>
                <w:szCs w:val="18"/>
              </w:rPr>
            </w:pPr>
            <w:r w:rsidRPr="00BF7527">
              <w:rPr>
                <w:rFonts w:ascii="VIC" w:eastAsia="Verdana" w:hAnsi="VIC"/>
                <w:color w:val="000000"/>
                <w:sz w:val="18"/>
                <w:szCs w:val="18"/>
              </w:rPr>
              <w:t>99 %</w:t>
            </w:r>
          </w:p>
        </w:tc>
      </w:tr>
      <w:tr w:rsidR="0065124E" w:rsidRPr="00BF031D" w14:paraId="2FAD33FB" w14:textId="77777777" w:rsidTr="00BF031D">
        <w:trPr>
          <w:trHeight w:val="454"/>
        </w:trPr>
        <w:tc>
          <w:tcPr>
            <w:tcW w:w="1145" w:type="dxa"/>
            <w:shd w:val="clear" w:color="auto" w:fill="BFCED6"/>
          </w:tcPr>
          <w:p w14:paraId="02E77FEC" w14:textId="6A9A8083"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Peninsula Health</w:t>
            </w:r>
          </w:p>
        </w:tc>
        <w:tc>
          <w:tcPr>
            <w:tcW w:w="1701" w:type="dxa"/>
            <w:shd w:val="clear" w:color="auto" w:fill="BFCED6"/>
          </w:tcPr>
          <w:p w14:paraId="062343A6" w14:textId="10306C24"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Peninsula</w:t>
            </w:r>
          </w:p>
        </w:tc>
        <w:tc>
          <w:tcPr>
            <w:tcW w:w="1074" w:type="dxa"/>
            <w:shd w:val="clear" w:color="auto" w:fill="BFCED6"/>
          </w:tcPr>
          <w:p w14:paraId="11E6F2A7" w14:textId="2CB1493E" w:rsidR="0065124E" w:rsidRPr="00BF031D" w:rsidRDefault="0065124E" w:rsidP="0065124E">
            <w:pPr>
              <w:jc w:val="center"/>
              <w:rPr>
                <w:rFonts w:ascii="VIC" w:hAnsi="VIC"/>
                <w:sz w:val="18"/>
                <w:szCs w:val="18"/>
              </w:rPr>
            </w:pPr>
            <w:r w:rsidRPr="00BF7527">
              <w:rPr>
                <w:rFonts w:ascii="VIC" w:eastAsia="Verdana" w:hAnsi="VIC"/>
                <w:color w:val="000000"/>
                <w:sz w:val="18"/>
                <w:szCs w:val="18"/>
              </w:rPr>
              <w:t>2.3</w:t>
            </w:r>
          </w:p>
        </w:tc>
        <w:tc>
          <w:tcPr>
            <w:tcW w:w="1075" w:type="dxa"/>
            <w:shd w:val="clear" w:color="auto" w:fill="BFCED6"/>
          </w:tcPr>
          <w:p w14:paraId="63F7B5BE" w14:textId="285390CA" w:rsidR="0065124E" w:rsidRPr="00BF031D" w:rsidRDefault="0065124E" w:rsidP="0065124E">
            <w:pPr>
              <w:jc w:val="center"/>
              <w:rPr>
                <w:rFonts w:ascii="VIC" w:hAnsi="VIC"/>
                <w:sz w:val="18"/>
                <w:szCs w:val="18"/>
              </w:rPr>
            </w:pPr>
            <w:r w:rsidRPr="00BF7527">
              <w:rPr>
                <w:rFonts w:ascii="VIC" w:eastAsia="Verdana" w:hAnsi="VIC"/>
                <w:color w:val="000000"/>
                <w:sz w:val="18"/>
                <w:szCs w:val="18"/>
              </w:rPr>
              <w:t>93 %</w:t>
            </w:r>
          </w:p>
        </w:tc>
        <w:tc>
          <w:tcPr>
            <w:tcW w:w="1075" w:type="dxa"/>
            <w:shd w:val="clear" w:color="auto" w:fill="BFCED6"/>
          </w:tcPr>
          <w:p w14:paraId="310416C0" w14:textId="28E650E1" w:rsidR="0065124E" w:rsidRPr="00BF031D" w:rsidRDefault="0065124E" w:rsidP="0065124E">
            <w:pPr>
              <w:jc w:val="center"/>
              <w:rPr>
                <w:rFonts w:ascii="VIC" w:hAnsi="VIC"/>
                <w:sz w:val="18"/>
                <w:szCs w:val="18"/>
              </w:rPr>
            </w:pPr>
            <w:r w:rsidRPr="00BF7527">
              <w:rPr>
                <w:rFonts w:ascii="VIC" w:eastAsia="Verdana" w:hAnsi="VIC"/>
                <w:color w:val="000000"/>
                <w:sz w:val="18"/>
                <w:szCs w:val="18"/>
              </w:rPr>
              <w:t>17.7</w:t>
            </w:r>
          </w:p>
        </w:tc>
        <w:tc>
          <w:tcPr>
            <w:tcW w:w="1075" w:type="dxa"/>
            <w:shd w:val="clear" w:color="auto" w:fill="BFCED6"/>
          </w:tcPr>
          <w:p w14:paraId="04E981F2" w14:textId="26B983C2" w:rsidR="0065124E" w:rsidRPr="00BF031D" w:rsidRDefault="0065124E" w:rsidP="0065124E">
            <w:pPr>
              <w:jc w:val="center"/>
              <w:rPr>
                <w:rFonts w:ascii="VIC" w:hAnsi="VIC"/>
                <w:sz w:val="18"/>
                <w:szCs w:val="18"/>
              </w:rPr>
            </w:pPr>
            <w:r w:rsidRPr="00BF7527">
              <w:rPr>
                <w:rFonts w:ascii="VIC" w:eastAsia="Verdana" w:hAnsi="VIC"/>
                <w:color w:val="000000"/>
                <w:sz w:val="18"/>
                <w:szCs w:val="18"/>
              </w:rPr>
              <w:t>7 %</w:t>
            </w:r>
          </w:p>
        </w:tc>
        <w:tc>
          <w:tcPr>
            <w:tcW w:w="1087" w:type="dxa"/>
            <w:shd w:val="clear" w:color="auto" w:fill="BFCED6"/>
          </w:tcPr>
          <w:p w14:paraId="0D2ACB41" w14:textId="36006FE9" w:rsidR="0065124E" w:rsidRPr="00BF031D" w:rsidRDefault="0065124E" w:rsidP="0065124E">
            <w:pPr>
              <w:jc w:val="center"/>
              <w:rPr>
                <w:rFonts w:ascii="VIC" w:hAnsi="VIC"/>
                <w:sz w:val="18"/>
                <w:szCs w:val="18"/>
              </w:rPr>
            </w:pPr>
            <w:r w:rsidRPr="00BF7527">
              <w:rPr>
                <w:rFonts w:ascii="VIC" w:eastAsia="Verdana" w:hAnsi="VIC"/>
                <w:color w:val="000000"/>
                <w:sz w:val="18"/>
                <w:szCs w:val="18"/>
              </w:rPr>
              <w:t>11 %</w:t>
            </w:r>
          </w:p>
        </w:tc>
        <w:tc>
          <w:tcPr>
            <w:tcW w:w="1063" w:type="dxa"/>
            <w:shd w:val="clear" w:color="auto" w:fill="BFCED6"/>
          </w:tcPr>
          <w:p w14:paraId="3DC421C7" w14:textId="49D20D98" w:rsidR="0065124E" w:rsidRPr="00BF031D" w:rsidRDefault="0065124E" w:rsidP="0065124E">
            <w:pPr>
              <w:jc w:val="center"/>
              <w:rPr>
                <w:rFonts w:ascii="VIC" w:hAnsi="VIC"/>
                <w:sz w:val="18"/>
                <w:szCs w:val="18"/>
              </w:rPr>
            </w:pPr>
            <w:r w:rsidRPr="00BF7527">
              <w:rPr>
                <w:rFonts w:ascii="VIC" w:eastAsia="Verdana" w:hAnsi="VIC"/>
                <w:color w:val="000000"/>
                <w:sz w:val="18"/>
                <w:szCs w:val="18"/>
              </w:rPr>
              <w:t>38 %</w:t>
            </w:r>
          </w:p>
        </w:tc>
        <w:tc>
          <w:tcPr>
            <w:tcW w:w="1075" w:type="dxa"/>
            <w:shd w:val="clear" w:color="auto" w:fill="BFCED6"/>
          </w:tcPr>
          <w:p w14:paraId="2850ACBB" w14:textId="1A6052CB" w:rsidR="0065124E" w:rsidRPr="00BF031D" w:rsidRDefault="0065124E" w:rsidP="0065124E">
            <w:pPr>
              <w:jc w:val="center"/>
              <w:rPr>
                <w:rFonts w:ascii="VIC" w:hAnsi="VIC"/>
                <w:sz w:val="18"/>
                <w:szCs w:val="18"/>
              </w:rPr>
            </w:pPr>
            <w:r w:rsidRPr="00BF7527">
              <w:rPr>
                <w:rFonts w:ascii="VIC" w:eastAsia="Verdana" w:hAnsi="VIC"/>
                <w:color w:val="000000"/>
                <w:sz w:val="18"/>
                <w:szCs w:val="18"/>
              </w:rPr>
              <w:t>96 %</w:t>
            </w:r>
          </w:p>
        </w:tc>
        <w:tc>
          <w:tcPr>
            <w:tcW w:w="1075" w:type="dxa"/>
            <w:shd w:val="clear" w:color="auto" w:fill="BFCED6"/>
          </w:tcPr>
          <w:p w14:paraId="39FF48D1" w14:textId="7C54EFAA" w:rsidR="0065124E" w:rsidRPr="00BF031D" w:rsidRDefault="0065124E" w:rsidP="0065124E">
            <w:pPr>
              <w:jc w:val="center"/>
              <w:rPr>
                <w:rFonts w:ascii="VIC" w:hAnsi="VIC"/>
                <w:sz w:val="18"/>
                <w:szCs w:val="18"/>
              </w:rPr>
            </w:pPr>
            <w:r w:rsidRPr="00BF7527">
              <w:rPr>
                <w:rFonts w:ascii="VIC" w:eastAsia="Verdana" w:hAnsi="VIC"/>
                <w:color w:val="000000"/>
                <w:sz w:val="18"/>
                <w:szCs w:val="18"/>
              </w:rPr>
              <w:t>39.4</w:t>
            </w:r>
          </w:p>
        </w:tc>
        <w:tc>
          <w:tcPr>
            <w:tcW w:w="1075" w:type="dxa"/>
            <w:shd w:val="clear" w:color="auto" w:fill="BFCED6"/>
          </w:tcPr>
          <w:p w14:paraId="11994D53" w14:textId="617B3641" w:rsidR="0065124E" w:rsidRPr="00BF031D"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shd w:val="clear" w:color="auto" w:fill="BFCED6"/>
          </w:tcPr>
          <w:p w14:paraId="413822FF" w14:textId="4EDD5239" w:rsidR="0065124E" w:rsidRPr="00BF031D" w:rsidRDefault="0065124E" w:rsidP="0065124E">
            <w:pPr>
              <w:jc w:val="center"/>
              <w:rPr>
                <w:rFonts w:ascii="VIC" w:hAnsi="VIC"/>
                <w:sz w:val="18"/>
                <w:szCs w:val="18"/>
              </w:rPr>
            </w:pPr>
            <w:r w:rsidRPr="00BF7527">
              <w:rPr>
                <w:rFonts w:ascii="VIC" w:eastAsia="Verdana" w:hAnsi="VIC"/>
                <w:color w:val="000000"/>
                <w:sz w:val="18"/>
                <w:szCs w:val="18"/>
              </w:rPr>
              <w:t>72 %</w:t>
            </w:r>
          </w:p>
        </w:tc>
        <w:tc>
          <w:tcPr>
            <w:tcW w:w="1075" w:type="dxa"/>
            <w:shd w:val="clear" w:color="auto" w:fill="BFCED6"/>
          </w:tcPr>
          <w:p w14:paraId="21A3732B" w14:textId="1BA84327" w:rsidR="0065124E" w:rsidRPr="00BF031D"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BFCED6"/>
          </w:tcPr>
          <w:p w14:paraId="16860CFE" w14:textId="2124FEF8" w:rsidR="0065124E" w:rsidRPr="00BF031D" w:rsidRDefault="0065124E" w:rsidP="0065124E">
            <w:pPr>
              <w:jc w:val="center"/>
              <w:rPr>
                <w:rFonts w:ascii="VIC" w:hAnsi="VIC"/>
                <w:sz w:val="18"/>
                <w:szCs w:val="18"/>
              </w:rPr>
            </w:pPr>
            <w:r w:rsidRPr="00BF7527">
              <w:rPr>
                <w:rFonts w:ascii="VIC" w:eastAsia="Verdana" w:hAnsi="VIC"/>
                <w:color w:val="000000"/>
                <w:sz w:val="18"/>
                <w:szCs w:val="18"/>
              </w:rPr>
              <w:t>93 %</w:t>
            </w:r>
          </w:p>
        </w:tc>
      </w:tr>
      <w:tr w:rsidR="0065124E" w:rsidRPr="00BF031D" w14:paraId="4F7C8E42" w14:textId="77777777" w:rsidTr="00BF031D">
        <w:trPr>
          <w:trHeight w:val="454"/>
        </w:trPr>
        <w:tc>
          <w:tcPr>
            <w:tcW w:w="1145" w:type="dxa"/>
            <w:shd w:val="clear" w:color="auto" w:fill="auto"/>
          </w:tcPr>
          <w:p w14:paraId="53B6E91A" w14:textId="3D31AC19" w:rsidR="0065124E" w:rsidRPr="00BF031D" w:rsidRDefault="0065124E" w:rsidP="0065124E">
            <w:pPr>
              <w:pStyle w:val="DHHStabletext"/>
              <w:spacing w:before="0" w:after="0"/>
              <w:rPr>
                <w:rFonts w:ascii="VIC" w:hAnsi="VIC"/>
                <w:sz w:val="18"/>
                <w:szCs w:val="18"/>
              </w:rPr>
            </w:pPr>
            <w:r w:rsidRPr="00BF7527">
              <w:rPr>
                <w:rFonts w:ascii="VIC" w:eastAsia="Verdana" w:hAnsi="VIC"/>
                <w:color w:val="000000"/>
                <w:sz w:val="18"/>
                <w:szCs w:val="18"/>
              </w:rPr>
              <w:t>St Vincent's Hospital</w:t>
            </w:r>
          </w:p>
        </w:tc>
        <w:tc>
          <w:tcPr>
            <w:tcW w:w="1701" w:type="dxa"/>
            <w:shd w:val="clear" w:color="auto" w:fill="auto"/>
          </w:tcPr>
          <w:p w14:paraId="2B197119" w14:textId="6F3FBBE2"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Inner &amp; North East (St. George's)</w:t>
            </w:r>
          </w:p>
        </w:tc>
        <w:tc>
          <w:tcPr>
            <w:tcW w:w="1074" w:type="dxa"/>
            <w:shd w:val="clear" w:color="auto" w:fill="auto"/>
          </w:tcPr>
          <w:p w14:paraId="0A14A015" w14:textId="7B17BE64" w:rsidR="0065124E" w:rsidRPr="00BF031D" w:rsidRDefault="0065124E" w:rsidP="0065124E">
            <w:pPr>
              <w:jc w:val="center"/>
              <w:rPr>
                <w:rFonts w:ascii="VIC" w:hAnsi="VIC"/>
                <w:sz w:val="18"/>
                <w:szCs w:val="18"/>
              </w:rPr>
            </w:pPr>
            <w:r w:rsidRPr="00BF7527">
              <w:rPr>
                <w:rFonts w:ascii="VIC" w:eastAsia="Verdana" w:hAnsi="VIC"/>
                <w:color w:val="000000"/>
                <w:sz w:val="18"/>
                <w:szCs w:val="18"/>
              </w:rPr>
              <w:t>4.0</w:t>
            </w:r>
          </w:p>
        </w:tc>
        <w:tc>
          <w:tcPr>
            <w:tcW w:w="1075" w:type="dxa"/>
            <w:shd w:val="clear" w:color="auto" w:fill="auto"/>
          </w:tcPr>
          <w:p w14:paraId="544DEA7E" w14:textId="58EFF4BE" w:rsidR="0065124E" w:rsidRPr="00BF031D" w:rsidRDefault="0065124E" w:rsidP="0065124E">
            <w:pPr>
              <w:jc w:val="center"/>
              <w:rPr>
                <w:rFonts w:ascii="VIC" w:hAnsi="VIC"/>
                <w:sz w:val="18"/>
                <w:szCs w:val="18"/>
              </w:rPr>
            </w:pPr>
            <w:r w:rsidRPr="00BF7527">
              <w:rPr>
                <w:rFonts w:ascii="VIC" w:eastAsia="Verdana" w:hAnsi="VIC"/>
                <w:color w:val="000000"/>
                <w:sz w:val="18"/>
                <w:szCs w:val="18"/>
              </w:rPr>
              <w:t>88 %</w:t>
            </w:r>
          </w:p>
        </w:tc>
        <w:tc>
          <w:tcPr>
            <w:tcW w:w="1075" w:type="dxa"/>
            <w:shd w:val="clear" w:color="auto" w:fill="auto"/>
          </w:tcPr>
          <w:p w14:paraId="4C29CBB3" w14:textId="088D04F4" w:rsidR="0065124E" w:rsidRPr="00BF031D" w:rsidRDefault="0065124E" w:rsidP="0065124E">
            <w:pPr>
              <w:jc w:val="center"/>
              <w:rPr>
                <w:rFonts w:ascii="VIC" w:hAnsi="VIC"/>
                <w:sz w:val="18"/>
                <w:szCs w:val="18"/>
              </w:rPr>
            </w:pPr>
            <w:r w:rsidRPr="00BF7527">
              <w:rPr>
                <w:rFonts w:ascii="VIC" w:eastAsia="Verdana" w:hAnsi="VIC"/>
                <w:color w:val="000000"/>
                <w:sz w:val="18"/>
                <w:szCs w:val="18"/>
              </w:rPr>
              <w:t>26.6</w:t>
            </w:r>
          </w:p>
        </w:tc>
        <w:tc>
          <w:tcPr>
            <w:tcW w:w="1075" w:type="dxa"/>
            <w:shd w:val="clear" w:color="auto" w:fill="auto"/>
          </w:tcPr>
          <w:p w14:paraId="7A786964" w14:textId="2503B5A5" w:rsidR="0065124E" w:rsidRPr="00BF031D" w:rsidRDefault="0065124E" w:rsidP="0065124E">
            <w:pPr>
              <w:jc w:val="center"/>
              <w:rPr>
                <w:rFonts w:ascii="VIC" w:hAnsi="VIC"/>
                <w:sz w:val="18"/>
                <w:szCs w:val="18"/>
              </w:rPr>
            </w:pPr>
            <w:r w:rsidRPr="00BF7527">
              <w:rPr>
                <w:rFonts w:ascii="VIC" w:eastAsia="Verdana" w:hAnsi="VIC"/>
                <w:color w:val="000000"/>
                <w:sz w:val="18"/>
                <w:szCs w:val="18"/>
              </w:rPr>
              <w:t>20 %</w:t>
            </w:r>
          </w:p>
        </w:tc>
        <w:tc>
          <w:tcPr>
            <w:tcW w:w="1087" w:type="dxa"/>
            <w:shd w:val="clear" w:color="auto" w:fill="auto"/>
          </w:tcPr>
          <w:p w14:paraId="78701996" w14:textId="1A5C4CD7" w:rsidR="0065124E" w:rsidRPr="00BF031D" w:rsidRDefault="0065124E" w:rsidP="0065124E">
            <w:pPr>
              <w:jc w:val="center"/>
              <w:rPr>
                <w:rFonts w:ascii="VIC" w:hAnsi="VIC"/>
                <w:sz w:val="18"/>
                <w:szCs w:val="18"/>
              </w:rPr>
            </w:pPr>
            <w:r w:rsidRPr="00BF7527">
              <w:rPr>
                <w:rFonts w:ascii="VIC" w:eastAsia="Verdana" w:hAnsi="VIC"/>
                <w:color w:val="000000"/>
                <w:sz w:val="18"/>
                <w:szCs w:val="18"/>
              </w:rPr>
              <w:t>21 %</w:t>
            </w:r>
          </w:p>
        </w:tc>
        <w:tc>
          <w:tcPr>
            <w:tcW w:w="1063" w:type="dxa"/>
            <w:shd w:val="clear" w:color="auto" w:fill="auto"/>
          </w:tcPr>
          <w:p w14:paraId="7F927DDC" w14:textId="61FC9C09" w:rsidR="0065124E" w:rsidRPr="00BF031D" w:rsidRDefault="0065124E" w:rsidP="0065124E">
            <w:pPr>
              <w:jc w:val="center"/>
              <w:rPr>
                <w:rFonts w:ascii="VIC" w:hAnsi="VIC"/>
                <w:sz w:val="18"/>
                <w:szCs w:val="18"/>
              </w:rPr>
            </w:pPr>
            <w:r w:rsidRPr="00BF7527">
              <w:rPr>
                <w:rFonts w:ascii="VIC" w:eastAsia="Verdana" w:hAnsi="VIC"/>
                <w:color w:val="000000"/>
                <w:sz w:val="18"/>
                <w:szCs w:val="18"/>
              </w:rPr>
              <w:t>25 %</w:t>
            </w:r>
          </w:p>
        </w:tc>
        <w:tc>
          <w:tcPr>
            <w:tcW w:w="1075" w:type="dxa"/>
            <w:shd w:val="clear" w:color="auto" w:fill="auto"/>
          </w:tcPr>
          <w:p w14:paraId="31F35031" w14:textId="32FAED7F" w:rsidR="0065124E" w:rsidRPr="00BF031D"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auto"/>
          </w:tcPr>
          <w:p w14:paraId="5E583799" w14:textId="5F75EE03" w:rsidR="0065124E" w:rsidRPr="00BF031D" w:rsidRDefault="0065124E" w:rsidP="0065124E">
            <w:pPr>
              <w:jc w:val="center"/>
              <w:rPr>
                <w:rFonts w:ascii="VIC" w:hAnsi="VIC"/>
                <w:sz w:val="18"/>
                <w:szCs w:val="18"/>
              </w:rPr>
            </w:pPr>
            <w:r w:rsidRPr="00BF7527">
              <w:rPr>
                <w:rFonts w:ascii="VIC" w:eastAsia="Verdana" w:hAnsi="VIC"/>
                <w:color w:val="000000"/>
                <w:sz w:val="18"/>
                <w:szCs w:val="18"/>
              </w:rPr>
              <w:t>10.0</w:t>
            </w:r>
          </w:p>
        </w:tc>
        <w:tc>
          <w:tcPr>
            <w:tcW w:w="1075" w:type="dxa"/>
            <w:shd w:val="clear" w:color="auto" w:fill="auto"/>
          </w:tcPr>
          <w:p w14:paraId="7959D394" w14:textId="4A38D0DD" w:rsidR="0065124E" w:rsidRPr="00BF031D"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shd w:val="clear" w:color="auto" w:fill="auto"/>
          </w:tcPr>
          <w:p w14:paraId="0616BD4B" w14:textId="00B19E15" w:rsidR="0065124E" w:rsidRPr="00BF031D" w:rsidRDefault="0065124E" w:rsidP="0065124E">
            <w:pPr>
              <w:jc w:val="center"/>
              <w:rPr>
                <w:rFonts w:ascii="VIC" w:hAnsi="VIC"/>
                <w:sz w:val="18"/>
                <w:szCs w:val="18"/>
              </w:rPr>
            </w:pPr>
            <w:r w:rsidRPr="00BF7527">
              <w:rPr>
                <w:rFonts w:ascii="VIC" w:eastAsia="Verdana" w:hAnsi="VIC"/>
                <w:color w:val="000000"/>
                <w:sz w:val="18"/>
                <w:szCs w:val="18"/>
              </w:rPr>
              <w:t>53 %</w:t>
            </w:r>
          </w:p>
        </w:tc>
        <w:tc>
          <w:tcPr>
            <w:tcW w:w="1075" w:type="dxa"/>
            <w:shd w:val="clear" w:color="auto" w:fill="auto"/>
          </w:tcPr>
          <w:p w14:paraId="3168A8B5" w14:textId="390A3F68" w:rsidR="0065124E" w:rsidRPr="00BF031D" w:rsidRDefault="0065124E" w:rsidP="0065124E">
            <w:pPr>
              <w:jc w:val="center"/>
              <w:rPr>
                <w:rFonts w:ascii="VIC" w:hAnsi="VIC"/>
                <w:sz w:val="18"/>
                <w:szCs w:val="18"/>
              </w:rPr>
            </w:pPr>
            <w:r w:rsidRPr="00BF7527">
              <w:rPr>
                <w:rFonts w:ascii="VIC" w:eastAsia="Verdana" w:hAnsi="VIC"/>
                <w:color w:val="000000"/>
                <w:sz w:val="18"/>
                <w:szCs w:val="18"/>
              </w:rPr>
              <w:t>95 %</w:t>
            </w:r>
          </w:p>
        </w:tc>
        <w:tc>
          <w:tcPr>
            <w:tcW w:w="1075" w:type="dxa"/>
            <w:shd w:val="clear" w:color="auto" w:fill="auto"/>
          </w:tcPr>
          <w:p w14:paraId="171D0604" w14:textId="592F3FF7" w:rsidR="0065124E" w:rsidRPr="00BF031D" w:rsidRDefault="0065124E" w:rsidP="0065124E">
            <w:pPr>
              <w:jc w:val="center"/>
              <w:rPr>
                <w:rFonts w:ascii="VIC" w:hAnsi="VIC"/>
                <w:sz w:val="18"/>
                <w:szCs w:val="18"/>
              </w:rPr>
            </w:pPr>
            <w:r w:rsidRPr="00BF7527">
              <w:rPr>
                <w:rFonts w:ascii="VIC" w:eastAsia="Verdana" w:hAnsi="VIC"/>
                <w:color w:val="000000"/>
                <w:sz w:val="18"/>
                <w:szCs w:val="18"/>
              </w:rPr>
              <w:t>97 %</w:t>
            </w:r>
          </w:p>
        </w:tc>
      </w:tr>
      <w:tr w:rsidR="0065124E" w:rsidRPr="0065124E" w14:paraId="02C2EFA4" w14:textId="77777777" w:rsidTr="00BF031D">
        <w:trPr>
          <w:trHeight w:val="454"/>
        </w:trPr>
        <w:tc>
          <w:tcPr>
            <w:tcW w:w="1145" w:type="dxa"/>
            <w:shd w:val="clear" w:color="auto" w:fill="B1C9E8"/>
          </w:tcPr>
          <w:p w14:paraId="2ED99B79" w14:textId="4AD79C27" w:rsidR="0065124E" w:rsidRPr="0065124E" w:rsidRDefault="0065124E" w:rsidP="0065124E">
            <w:pPr>
              <w:pStyle w:val="DHHStabletext"/>
              <w:spacing w:before="0" w:after="0"/>
              <w:rPr>
                <w:rFonts w:ascii="VIC SemiBold" w:eastAsia="Verdana" w:hAnsi="VIC SemiBold" w:cs="Verdana"/>
                <w:color w:val="000000" w:themeColor="text1"/>
                <w:sz w:val="18"/>
                <w:szCs w:val="18"/>
              </w:rPr>
            </w:pPr>
            <w:r w:rsidRPr="0065124E">
              <w:rPr>
                <w:rFonts w:ascii="VIC" w:eastAsia="Verdana" w:hAnsi="VIC"/>
                <w:color w:val="000000" w:themeColor="text1"/>
                <w:sz w:val="18"/>
                <w:szCs w:val="18"/>
              </w:rPr>
              <w:t>TOTAL METRO</w:t>
            </w:r>
          </w:p>
        </w:tc>
        <w:tc>
          <w:tcPr>
            <w:tcW w:w="1701" w:type="dxa"/>
            <w:shd w:val="clear" w:color="auto" w:fill="B1C9E8"/>
          </w:tcPr>
          <w:p w14:paraId="6D2E482C" w14:textId="0BBF2FA7" w:rsidR="0065124E" w:rsidRPr="0065124E" w:rsidRDefault="0065124E" w:rsidP="0065124E">
            <w:pPr>
              <w:pStyle w:val="DHHStabletext"/>
              <w:spacing w:before="0" w:after="0"/>
              <w:rPr>
                <w:rFonts w:ascii="VIC SemiBold" w:eastAsia="Verdana" w:hAnsi="VIC SemiBold" w:cs="Verdana"/>
                <w:color w:val="000000" w:themeColor="text1"/>
                <w:sz w:val="18"/>
                <w:szCs w:val="18"/>
              </w:rPr>
            </w:pPr>
            <w:r w:rsidRPr="0065124E">
              <w:rPr>
                <w:rFonts w:ascii="VIC" w:eastAsia="Verdana" w:hAnsi="VIC"/>
                <w:color w:val="000000" w:themeColor="text1"/>
                <w:sz w:val="18"/>
                <w:szCs w:val="18"/>
              </w:rPr>
              <w:t xml:space="preserve"> </w:t>
            </w:r>
          </w:p>
        </w:tc>
        <w:tc>
          <w:tcPr>
            <w:tcW w:w="1074" w:type="dxa"/>
            <w:shd w:val="clear" w:color="auto" w:fill="B1C9E8"/>
          </w:tcPr>
          <w:p w14:paraId="2393AA4F" w14:textId="4093D9F5"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2.2</w:t>
            </w:r>
          </w:p>
        </w:tc>
        <w:tc>
          <w:tcPr>
            <w:tcW w:w="1075" w:type="dxa"/>
            <w:shd w:val="clear" w:color="auto" w:fill="B1C9E8"/>
          </w:tcPr>
          <w:p w14:paraId="72F968F2" w14:textId="031D6001"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85 %</w:t>
            </w:r>
          </w:p>
        </w:tc>
        <w:tc>
          <w:tcPr>
            <w:tcW w:w="1075" w:type="dxa"/>
            <w:shd w:val="clear" w:color="auto" w:fill="B1C9E8"/>
          </w:tcPr>
          <w:p w14:paraId="653BFA5B" w14:textId="18F8AB3B"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20.3</w:t>
            </w:r>
          </w:p>
        </w:tc>
        <w:tc>
          <w:tcPr>
            <w:tcW w:w="1075" w:type="dxa"/>
            <w:shd w:val="clear" w:color="auto" w:fill="B1C9E8"/>
          </w:tcPr>
          <w:p w14:paraId="49006B5F" w14:textId="16CDB800"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17 %</w:t>
            </w:r>
          </w:p>
        </w:tc>
        <w:tc>
          <w:tcPr>
            <w:tcW w:w="1087" w:type="dxa"/>
            <w:shd w:val="clear" w:color="auto" w:fill="B1C9E8"/>
          </w:tcPr>
          <w:p w14:paraId="3023EE16" w14:textId="6D18A001"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11 %</w:t>
            </w:r>
          </w:p>
        </w:tc>
        <w:tc>
          <w:tcPr>
            <w:tcW w:w="1063" w:type="dxa"/>
            <w:shd w:val="clear" w:color="auto" w:fill="B1C9E8"/>
          </w:tcPr>
          <w:p w14:paraId="6D717BE9" w14:textId="64BF358E"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27 %</w:t>
            </w:r>
          </w:p>
        </w:tc>
        <w:tc>
          <w:tcPr>
            <w:tcW w:w="1075" w:type="dxa"/>
            <w:shd w:val="clear" w:color="auto" w:fill="B1C9E8"/>
          </w:tcPr>
          <w:p w14:paraId="35AB8325" w14:textId="167677B5"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100 %</w:t>
            </w:r>
          </w:p>
        </w:tc>
        <w:tc>
          <w:tcPr>
            <w:tcW w:w="1075" w:type="dxa"/>
            <w:shd w:val="clear" w:color="auto" w:fill="B1C9E8"/>
          </w:tcPr>
          <w:p w14:paraId="0FD2F2B1" w14:textId="59DB1C8A"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9.2</w:t>
            </w:r>
          </w:p>
        </w:tc>
        <w:tc>
          <w:tcPr>
            <w:tcW w:w="1075" w:type="dxa"/>
            <w:shd w:val="clear" w:color="auto" w:fill="B1C9E8"/>
          </w:tcPr>
          <w:p w14:paraId="2AB53862" w14:textId="45E2C667"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0.2</w:t>
            </w:r>
          </w:p>
        </w:tc>
        <w:tc>
          <w:tcPr>
            <w:tcW w:w="1075" w:type="dxa"/>
            <w:shd w:val="clear" w:color="auto" w:fill="B1C9E8"/>
          </w:tcPr>
          <w:p w14:paraId="0540D767" w14:textId="27E24951"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60 %</w:t>
            </w:r>
          </w:p>
        </w:tc>
        <w:tc>
          <w:tcPr>
            <w:tcW w:w="1075" w:type="dxa"/>
            <w:shd w:val="clear" w:color="auto" w:fill="B1C9E8"/>
          </w:tcPr>
          <w:p w14:paraId="23944F0E" w14:textId="2F23717B"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94 %</w:t>
            </w:r>
          </w:p>
        </w:tc>
        <w:tc>
          <w:tcPr>
            <w:tcW w:w="1075" w:type="dxa"/>
            <w:shd w:val="clear" w:color="auto" w:fill="B1C9E8"/>
          </w:tcPr>
          <w:p w14:paraId="0BA98E40" w14:textId="7DC55957"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95 %</w:t>
            </w:r>
          </w:p>
        </w:tc>
      </w:tr>
      <w:tr w:rsidR="0065124E" w:rsidRPr="00592F37" w14:paraId="07231BF9" w14:textId="77777777" w:rsidTr="00BF031D">
        <w:trPr>
          <w:trHeight w:val="454"/>
        </w:trPr>
        <w:tc>
          <w:tcPr>
            <w:tcW w:w="1145" w:type="dxa"/>
            <w:shd w:val="clear" w:color="auto" w:fill="244C5A"/>
          </w:tcPr>
          <w:p w14:paraId="0B701783" w14:textId="6F8B6C6D" w:rsidR="0065124E" w:rsidRPr="00592F37" w:rsidRDefault="0065124E" w:rsidP="0065124E">
            <w:pPr>
              <w:pStyle w:val="DHHStabletext"/>
              <w:spacing w:before="0" w:after="0"/>
              <w:rPr>
                <w:rFonts w:ascii="VIC SemiBold" w:eastAsia="Verdana" w:hAnsi="VIC SemiBold" w:cs="Verdana"/>
                <w:color w:val="FFFFFF" w:themeColor="background1"/>
                <w:sz w:val="18"/>
                <w:szCs w:val="18"/>
              </w:rPr>
            </w:pPr>
            <w:r w:rsidRPr="00BF7527">
              <w:rPr>
                <w:rFonts w:ascii="VIC" w:eastAsia="Verdana" w:hAnsi="VIC"/>
                <w:color w:val="FFFFFF"/>
                <w:sz w:val="18"/>
                <w:szCs w:val="18"/>
              </w:rPr>
              <w:t>TOTAL STATEWIDE</w:t>
            </w:r>
          </w:p>
        </w:tc>
        <w:tc>
          <w:tcPr>
            <w:tcW w:w="1701" w:type="dxa"/>
            <w:shd w:val="clear" w:color="auto" w:fill="244C5A"/>
          </w:tcPr>
          <w:p w14:paraId="6642A128" w14:textId="66465B8F" w:rsidR="0065124E" w:rsidRPr="00592F37" w:rsidRDefault="0065124E" w:rsidP="0065124E">
            <w:pPr>
              <w:pStyle w:val="DHHStabletext"/>
              <w:spacing w:before="0" w:after="0"/>
              <w:rPr>
                <w:rFonts w:ascii="VIC SemiBold" w:eastAsia="Verdana" w:hAnsi="VIC SemiBold" w:cs="Verdana"/>
                <w:color w:val="FFFFFF" w:themeColor="background1"/>
                <w:sz w:val="18"/>
                <w:szCs w:val="18"/>
              </w:rPr>
            </w:pPr>
            <w:r w:rsidRPr="00BF7527">
              <w:rPr>
                <w:rFonts w:ascii="VIC" w:eastAsia="Verdana" w:hAnsi="VIC"/>
                <w:color w:val="FFFFFF"/>
                <w:sz w:val="18"/>
                <w:szCs w:val="18"/>
              </w:rPr>
              <w:t xml:space="preserve"> </w:t>
            </w:r>
          </w:p>
        </w:tc>
        <w:tc>
          <w:tcPr>
            <w:tcW w:w="1074" w:type="dxa"/>
            <w:shd w:val="clear" w:color="auto" w:fill="244C5A"/>
          </w:tcPr>
          <w:p w14:paraId="252D5E94" w14:textId="3433792E"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2.1</w:t>
            </w:r>
          </w:p>
        </w:tc>
        <w:tc>
          <w:tcPr>
            <w:tcW w:w="1075" w:type="dxa"/>
            <w:shd w:val="clear" w:color="auto" w:fill="244C5A"/>
          </w:tcPr>
          <w:p w14:paraId="58922343" w14:textId="35BCB9B2"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81 %</w:t>
            </w:r>
          </w:p>
        </w:tc>
        <w:tc>
          <w:tcPr>
            <w:tcW w:w="1075" w:type="dxa"/>
            <w:shd w:val="clear" w:color="auto" w:fill="244C5A"/>
          </w:tcPr>
          <w:p w14:paraId="795FB6D3" w14:textId="242CAF4B"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19.7</w:t>
            </w:r>
          </w:p>
        </w:tc>
        <w:tc>
          <w:tcPr>
            <w:tcW w:w="1075" w:type="dxa"/>
            <w:shd w:val="clear" w:color="auto" w:fill="244C5A"/>
          </w:tcPr>
          <w:p w14:paraId="67F5B5A9" w14:textId="614D8A9D"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17 %</w:t>
            </w:r>
          </w:p>
        </w:tc>
        <w:tc>
          <w:tcPr>
            <w:tcW w:w="1087" w:type="dxa"/>
            <w:shd w:val="clear" w:color="auto" w:fill="244C5A"/>
          </w:tcPr>
          <w:p w14:paraId="5846FBB8" w14:textId="76CB95FA"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10 %</w:t>
            </w:r>
          </w:p>
        </w:tc>
        <w:tc>
          <w:tcPr>
            <w:tcW w:w="1063" w:type="dxa"/>
            <w:shd w:val="clear" w:color="auto" w:fill="244C5A"/>
          </w:tcPr>
          <w:p w14:paraId="3633AE31" w14:textId="7B459C11"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24 %</w:t>
            </w:r>
          </w:p>
        </w:tc>
        <w:tc>
          <w:tcPr>
            <w:tcW w:w="1075" w:type="dxa"/>
            <w:shd w:val="clear" w:color="auto" w:fill="244C5A"/>
          </w:tcPr>
          <w:p w14:paraId="77AE5A4D" w14:textId="388128F2"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99 %</w:t>
            </w:r>
          </w:p>
        </w:tc>
        <w:tc>
          <w:tcPr>
            <w:tcW w:w="1075" w:type="dxa"/>
            <w:shd w:val="clear" w:color="auto" w:fill="244C5A"/>
          </w:tcPr>
          <w:p w14:paraId="76CB2744" w14:textId="4E0C8DA0"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7.8</w:t>
            </w:r>
          </w:p>
        </w:tc>
        <w:tc>
          <w:tcPr>
            <w:tcW w:w="1075" w:type="dxa"/>
            <w:shd w:val="clear" w:color="auto" w:fill="244C5A"/>
          </w:tcPr>
          <w:p w14:paraId="6AAE6019" w14:textId="52A2186D"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0.2</w:t>
            </w:r>
          </w:p>
        </w:tc>
        <w:tc>
          <w:tcPr>
            <w:tcW w:w="1075" w:type="dxa"/>
            <w:shd w:val="clear" w:color="auto" w:fill="244C5A"/>
          </w:tcPr>
          <w:p w14:paraId="3EA99DC9" w14:textId="2F8FFD9E"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64 %</w:t>
            </w:r>
          </w:p>
        </w:tc>
        <w:tc>
          <w:tcPr>
            <w:tcW w:w="1075" w:type="dxa"/>
            <w:shd w:val="clear" w:color="auto" w:fill="244C5A"/>
          </w:tcPr>
          <w:p w14:paraId="0C1707C8" w14:textId="42015F14"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93 %</w:t>
            </w:r>
          </w:p>
        </w:tc>
        <w:tc>
          <w:tcPr>
            <w:tcW w:w="1075" w:type="dxa"/>
            <w:shd w:val="clear" w:color="auto" w:fill="244C5A"/>
          </w:tcPr>
          <w:p w14:paraId="6A923C60" w14:textId="49A96373"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94 %</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BF031D" w:rsidRPr="00A6366B" w14:paraId="60D8252E" w14:textId="77777777" w:rsidTr="00D067E7">
        <w:trPr>
          <w:trHeight w:val="1062"/>
          <w:tblHeader/>
        </w:trPr>
        <w:tc>
          <w:tcPr>
            <w:tcW w:w="2846" w:type="dxa"/>
            <w:gridSpan w:val="2"/>
            <w:shd w:val="clear" w:color="auto" w:fill="FFFFFF"/>
            <w:vAlign w:val="bottom"/>
          </w:tcPr>
          <w:p w14:paraId="15FECD76" w14:textId="0417E5CB" w:rsidR="00BF031D" w:rsidRPr="00592F37" w:rsidRDefault="00BF031D" w:rsidP="00BF031D">
            <w:pPr>
              <w:pStyle w:val="Heading1"/>
              <w:spacing w:before="0" w:line="240" w:lineRule="auto"/>
              <w:rPr>
                <w:color w:val="244C5A"/>
                <w:sz w:val="28"/>
                <w:szCs w:val="28"/>
              </w:rPr>
            </w:pPr>
            <w:bookmarkStart w:id="6" w:name="_Toc37865450"/>
            <w:r w:rsidRPr="00052DAD">
              <w:rPr>
                <w:color w:val="244C5A"/>
                <w:sz w:val="22"/>
                <w:szCs w:val="28"/>
              </w:rPr>
              <w:t>Inpatient</w:t>
            </w:r>
            <w:r w:rsidRPr="00052DAD">
              <w:rPr>
                <w:color w:val="244C5A"/>
                <w:sz w:val="22"/>
                <w:szCs w:val="28"/>
              </w:rPr>
              <w:br w:type="textWrapping" w:clear="all"/>
            </w:r>
            <w:r>
              <w:rPr>
                <w:color w:val="244C5A"/>
                <w:sz w:val="22"/>
                <w:szCs w:val="28"/>
              </w:rPr>
              <w:t>2019</w:t>
            </w:r>
            <w:r w:rsidR="00F91472">
              <w:rPr>
                <w:color w:val="244C5A"/>
                <w:sz w:val="22"/>
                <w:szCs w:val="28"/>
              </w:rPr>
              <w:t>–</w:t>
            </w:r>
            <w:r>
              <w:rPr>
                <w:color w:val="244C5A"/>
                <w:sz w:val="22"/>
                <w:szCs w:val="28"/>
              </w:rPr>
              <w:t>20 Q</w:t>
            </w:r>
            <w:r w:rsidR="004A1C0F">
              <w:rPr>
                <w:color w:val="244C5A"/>
                <w:sz w:val="22"/>
                <w:szCs w:val="28"/>
              </w:rPr>
              <w:t>3</w:t>
            </w:r>
            <w:r w:rsidRPr="00052DAD">
              <w:rPr>
                <w:color w:val="244C5A"/>
                <w:sz w:val="22"/>
                <w:szCs w:val="28"/>
              </w:rPr>
              <w:t xml:space="preserve"> Rural</w:t>
            </w:r>
            <w:bookmarkEnd w:id="6"/>
          </w:p>
        </w:tc>
        <w:tc>
          <w:tcPr>
            <w:tcW w:w="1074" w:type="dxa"/>
            <w:shd w:val="clear" w:color="auto" w:fill="FFFFFF"/>
            <w:vAlign w:val="bottom"/>
          </w:tcPr>
          <w:p w14:paraId="6B1CE348" w14:textId="7647E199" w:rsidR="00BF031D" w:rsidRPr="00592F37" w:rsidRDefault="00BF031D" w:rsidP="00BF031D">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4E4842EE" w14:textId="1A5499CF" w:rsidR="00BF031D" w:rsidRPr="00592F37" w:rsidRDefault="00BF031D" w:rsidP="00BF031D">
            <w:pPr>
              <w:pStyle w:val="VAHItablecolhead"/>
              <w:rPr>
                <w:rFonts w:eastAsia="Verdana"/>
                <w:color w:val="244C5A"/>
              </w:rPr>
            </w:pPr>
            <w:r w:rsidRPr="00C41C2E">
              <w:rPr>
                <w:sz w:val="16"/>
              </w:rPr>
              <w:t>Bed occupancy (excl leave)</w:t>
            </w:r>
          </w:p>
        </w:tc>
        <w:tc>
          <w:tcPr>
            <w:tcW w:w="1075" w:type="dxa"/>
            <w:shd w:val="clear" w:color="auto" w:fill="FFFFFF"/>
            <w:vAlign w:val="bottom"/>
          </w:tcPr>
          <w:p w14:paraId="453C9561" w14:textId="3F215E60" w:rsidR="00BF031D" w:rsidRPr="00592F37" w:rsidRDefault="00BF031D" w:rsidP="00BF031D">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403B79D0" w14:textId="52B94D3B" w:rsidR="00BF031D" w:rsidRPr="00592F37" w:rsidRDefault="00BF031D" w:rsidP="00BF031D">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44BCF6A8" w14:textId="6174EFFE" w:rsidR="00BF031D" w:rsidRPr="00592F37" w:rsidRDefault="00BF031D" w:rsidP="00BF031D">
            <w:pPr>
              <w:pStyle w:val="VAHItablecolhead"/>
              <w:rPr>
                <w:rFonts w:eastAsia="Verdana"/>
                <w:color w:val="244C5A"/>
              </w:rPr>
            </w:pPr>
            <w:r w:rsidRPr="00C41C2E">
              <w:rPr>
                <w:sz w:val="16"/>
              </w:rPr>
              <w:t>28 day readmission</w:t>
            </w:r>
          </w:p>
        </w:tc>
        <w:tc>
          <w:tcPr>
            <w:tcW w:w="1063" w:type="dxa"/>
            <w:shd w:val="clear" w:color="auto" w:fill="FFFFFF"/>
            <w:vAlign w:val="bottom"/>
          </w:tcPr>
          <w:p w14:paraId="204F598F" w14:textId="385D72E0" w:rsidR="00BF031D" w:rsidRPr="00592F37" w:rsidRDefault="00BF031D" w:rsidP="00BF031D">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1F2B8437" w14:textId="2C1FE7DC" w:rsidR="00BF031D" w:rsidRPr="00592F37" w:rsidRDefault="00BF031D" w:rsidP="00BF031D">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637BED79" w14:textId="51A06B34" w:rsidR="00BF031D" w:rsidRPr="00592F37" w:rsidRDefault="00BF031D" w:rsidP="00BF031D">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24521D57" w14:textId="5DF622F7" w:rsidR="00BF031D" w:rsidRPr="00592F37" w:rsidRDefault="00BF031D" w:rsidP="00BF031D">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D3C5909" w14:textId="4F8C2ED5" w:rsidR="00BF031D" w:rsidRPr="00592F37" w:rsidRDefault="00BF031D" w:rsidP="00BF031D">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0F30A496" w14:textId="6519C2B4" w:rsidR="00BF031D" w:rsidRPr="00592F37" w:rsidRDefault="00BF031D" w:rsidP="00BF031D">
            <w:pPr>
              <w:pStyle w:val="VAHItablecolhead"/>
              <w:rPr>
                <w:rFonts w:eastAsia="Verdana"/>
                <w:color w:val="244C5A"/>
              </w:rPr>
            </w:pPr>
            <w:r w:rsidRPr="00C41C2E">
              <w:rPr>
                <w:sz w:val="16"/>
              </w:rPr>
              <w:t>7 day post discharge follow up</w:t>
            </w:r>
          </w:p>
        </w:tc>
        <w:tc>
          <w:tcPr>
            <w:tcW w:w="1075" w:type="dxa"/>
            <w:shd w:val="clear" w:color="auto" w:fill="FFFFFF"/>
            <w:vAlign w:val="bottom"/>
          </w:tcPr>
          <w:p w14:paraId="5826BAC6" w14:textId="08A57BD4" w:rsidR="00BF031D" w:rsidRPr="00592F37" w:rsidRDefault="00BF031D" w:rsidP="00BF031D">
            <w:pPr>
              <w:pStyle w:val="VAHItablecolhead"/>
              <w:rPr>
                <w:rFonts w:eastAsia="Verdana"/>
                <w:color w:val="244C5A"/>
              </w:rPr>
            </w:pPr>
            <w:r w:rsidRPr="00C41C2E">
              <w:rPr>
                <w:sz w:val="16"/>
              </w:rPr>
              <w:t>HoNOS compliance</w:t>
            </w:r>
          </w:p>
        </w:tc>
      </w:tr>
      <w:tr w:rsidR="0065124E" w:rsidRPr="007B08C1" w14:paraId="2E497341" w14:textId="77777777" w:rsidTr="00D067E7">
        <w:tc>
          <w:tcPr>
            <w:tcW w:w="1145" w:type="dxa"/>
            <w:shd w:val="clear" w:color="auto" w:fill="BFCED6"/>
          </w:tcPr>
          <w:p w14:paraId="5F173B16" w14:textId="08F1A4F2" w:rsidR="0065124E" w:rsidRPr="007B08C1" w:rsidRDefault="0065124E" w:rsidP="0065124E">
            <w:pPr>
              <w:rPr>
                <w:rFonts w:ascii="VIC" w:hAnsi="VIC"/>
                <w:sz w:val="18"/>
                <w:szCs w:val="18"/>
              </w:rPr>
            </w:pPr>
            <w:r w:rsidRPr="00BF7527">
              <w:rPr>
                <w:rFonts w:ascii="VIC" w:eastAsia="Verdana" w:hAnsi="VIC"/>
                <w:color w:val="000000"/>
                <w:sz w:val="18"/>
                <w:szCs w:val="18"/>
              </w:rPr>
              <w:t>Ballarat Health</w:t>
            </w:r>
          </w:p>
        </w:tc>
        <w:tc>
          <w:tcPr>
            <w:tcW w:w="1701" w:type="dxa"/>
            <w:shd w:val="clear" w:color="auto" w:fill="BFCED6"/>
          </w:tcPr>
          <w:p w14:paraId="1942B1FB" w14:textId="078E5651" w:rsidR="0065124E" w:rsidRPr="007B08C1" w:rsidRDefault="0065124E" w:rsidP="0065124E">
            <w:pPr>
              <w:rPr>
                <w:rFonts w:ascii="VIC" w:hAnsi="VIC"/>
                <w:sz w:val="18"/>
                <w:szCs w:val="18"/>
              </w:rPr>
            </w:pPr>
            <w:r w:rsidRPr="00BF7527">
              <w:rPr>
                <w:rFonts w:ascii="VIC" w:eastAsia="Verdana" w:hAnsi="VIC"/>
                <w:color w:val="000000"/>
                <w:sz w:val="18"/>
                <w:szCs w:val="18"/>
              </w:rPr>
              <w:t>Grampians</w:t>
            </w:r>
          </w:p>
        </w:tc>
        <w:tc>
          <w:tcPr>
            <w:tcW w:w="1074" w:type="dxa"/>
            <w:shd w:val="clear" w:color="auto" w:fill="BFCED6"/>
          </w:tcPr>
          <w:p w14:paraId="2EB2AEBF" w14:textId="7A920A42" w:rsidR="0065124E" w:rsidRPr="007B08C1" w:rsidRDefault="0065124E" w:rsidP="0065124E">
            <w:pPr>
              <w:jc w:val="center"/>
              <w:rPr>
                <w:rFonts w:ascii="VIC" w:hAnsi="VIC"/>
                <w:sz w:val="18"/>
                <w:szCs w:val="18"/>
              </w:rPr>
            </w:pPr>
            <w:r w:rsidRPr="00BF7527">
              <w:rPr>
                <w:rFonts w:ascii="VIC" w:eastAsia="Verdana" w:hAnsi="VIC"/>
                <w:color w:val="000000"/>
                <w:sz w:val="18"/>
                <w:szCs w:val="18"/>
              </w:rPr>
              <w:t>2.2</w:t>
            </w:r>
          </w:p>
        </w:tc>
        <w:tc>
          <w:tcPr>
            <w:tcW w:w="1075" w:type="dxa"/>
            <w:shd w:val="clear" w:color="auto" w:fill="BFCED6"/>
          </w:tcPr>
          <w:p w14:paraId="17E69095" w14:textId="4FA085F4" w:rsidR="0065124E" w:rsidRPr="007B08C1" w:rsidRDefault="0065124E" w:rsidP="0065124E">
            <w:pPr>
              <w:jc w:val="center"/>
              <w:rPr>
                <w:rFonts w:ascii="VIC" w:hAnsi="VIC"/>
                <w:sz w:val="18"/>
                <w:szCs w:val="18"/>
              </w:rPr>
            </w:pPr>
            <w:r w:rsidRPr="00BF7527">
              <w:rPr>
                <w:rFonts w:ascii="VIC" w:eastAsia="Verdana" w:hAnsi="VIC"/>
                <w:color w:val="000000"/>
                <w:sz w:val="18"/>
                <w:szCs w:val="18"/>
              </w:rPr>
              <w:t>49 %</w:t>
            </w:r>
          </w:p>
        </w:tc>
        <w:tc>
          <w:tcPr>
            <w:tcW w:w="1075" w:type="dxa"/>
            <w:shd w:val="clear" w:color="auto" w:fill="BFCED6"/>
          </w:tcPr>
          <w:p w14:paraId="03456AA4" w14:textId="5C3FC4C5" w:rsidR="0065124E" w:rsidRPr="007B08C1" w:rsidRDefault="0065124E" w:rsidP="0065124E">
            <w:pPr>
              <w:jc w:val="center"/>
              <w:rPr>
                <w:rFonts w:ascii="VIC" w:hAnsi="VIC"/>
                <w:sz w:val="18"/>
                <w:szCs w:val="18"/>
              </w:rPr>
            </w:pPr>
            <w:r w:rsidRPr="00BF7527">
              <w:rPr>
                <w:rFonts w:ascii="VIC" w:eastAsia="Verdana" w:hAnsi="VIC"/>
                <w:color w:val="000000"/>
                <w:sz w:val="18"/>
                <w:szCs w:val="18"/>
              </w:rPr>
              <w:t>20.3</w:t>
            </w:r>
          </w:p>
        </w:tc>
        <w:tc>
          <w:tcPr>
            <w:tcW w:w="1075" w:type="dxa"/>
            <w:shd w:val="clear" w:color="auto" w:fill="BFCED6"/>
          </w:tcPr>
          <w:p w14:paraId="1918C622" w14:textId="156C9F52" w:rsidR="0065124E" w:rsidRPr="007B08C1" w:rsidRDefault="0065124E" w:rsidP="0065124E">
            <w:pPr>
              <w:jc w:val="center"/>
              <w:rPr>
                <w:rFonts w:ascii="VIC" w:hAnsi="VIC"/>
                <w:sz w:val="18"/>
                <w:szCs w:val="18"/>
              </w:rPr>
            </w:pPr>
            <w:r w:rsidRPr="00BF7527">
              <w:rPr>
                <w:rFonts w:ascii="VIC" w:eastAsia="Verdana" w:hAnsi="VIC"/>
                <w:color w:val="000000"/>
                <w:sz w:val="18"/>
                <w:szCs w:val="18"/>
              </w:rPr>
              <w:t>11 %</w:t>
            </w:r>
          </w:p>
        </w:tc>
        <w:tc>
          <w:tcPr>
            <w:tcW w:w="1087" w:type="dxa"/>
            <w:shd w:val="clear" w:color="auto" w:fill="BFCED6"/>
          </w:tcPr>
          <w:p w14:paraId="6675D4CD" w14:textId="0328D9E5" w:rsidR="0065124E" w:rsidRPr="007B08C1" w:rsidRDefault="0065124E" w:rsidP="0065124E">
            <w:pPr>
              <w:jc w:val="center"/>
              <w:rPr>
                <w:rFonts w:ascii="VIC" w:hAnsi="VIC"/>
                <w:sz w:val="18"/>
                <w:szCs w:val="18"/>
              </w:rPr>
            </w:pPr>
            <w:r w:rsidRPr="00BF7527">
              <w:rPr>
                <w:rFonts w:ascii="VIC" w:eastAsia="Verdana" w:hAnsi="VIC"/>
                <w:color w:val="000000"/>
                <w:sz w:val="18"/>
                <w:szCs w:val="18"/>
              </w:rPr>
              <w:t>0 %</w:t>
            </w:r>
          </w:p>
        </w:tc>
        <w:tc>
          <w:tcPr>
            <w:tcW w:w="1063" w:type="dxa"/>
            <w:shd w:val="clear" w:color="auto" w:fill="BFCED6"/>
          </w:tcPr>
          <w:p w14:paraId="5171B422" w14:textId="513BD625" w:rsidR="0065124E" w:rsidRPr="007B08C1" w:rsidRDefault="0065124E" w:rsidP="0065124E">
            <w:pPr>
              <w:jc w:val="center"/>
              <w:rPr>
                <w:rFonts w:ascii="VIC" w:hAnsi="VIC"/>
                <w:sz w:val="18"/>
                <w:szCs w:val="18"/>
              </w:rPr>
            </w:pPr>
            <w:r w:rsidRPr="00BF7527">
              <w:rPr>
                <w:rFonts w:ascii="VIC" w:eastAsia="Verdana" w:hAnsi="VIC"/>
                <w:color w:val="000000"/>
                <w:sz w:val="18"/>
                <w:szCs w:val="18"/>
              </w:rPr>
              <w:t>5 %</w:t>
            </w:r>
          </w:p>
        </w:tc>
        <w:tc>
          <w:tcPr>
            <w:tcW w:w="1075" w:type="dxa"/>
            <w:shd w:val="clear" w:color="auto" w:fill="BFCED6"/>
          </w:tcPr>
          <w:p w14:paraId="12185944" w14:textId="7F932CDF" w:rsidR="0065124E" w:rsidRPr="007B08C1"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BFCED6"/>
          </w:tcPr>
          <w:p w14:paraId="4B25422B" w14:textId="4C2D5947" w:rsidR="0065124E" w:rsidRPr="007B08C1"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shd w:val="clear" w:color="auto" w:fill="BFCED6"/>
          </w:tcPr>
          <w:p w14:paraId="6F685BDC" w14:textId="02C6D2C9" w:rsidR="0065124E" w:rsidRPr="007B08C1" w:rsidRDefault="0065124E" w:rsidP="0065124E">
            <w:pPr>
              <w:jc w:val="center"/>
              <w:rPr>
                <w:rFonts w:ascii="VIC" w:hAnsi="VIC"/>
                <w:sz w:val="18"/>
                <w:szCs w:val="18"/>
              </w:rPr>
            </w:pPr>
            <w:r w:rsidRPr="00BF7527">
              <w:rPr>
                <w:rFonts w:ascii="VIC" w:eastAsia="Verdana" w:hAnsi="VIC"/>
                <w:color w:val="000000"/>
                <w:sz w:val="18"/>
                <w:szCs w:val="18"/>
              </w:rPr>
              <w:t>2.2</w:t>
            </w:r>
          </w:p>
        </w:tc>
        <w:tc>
          <w:tcPr>
            <w:tcW w:w="1075" w:type="dxa"/>
            <w:shd w:val="clear" w:color="auto" w:fill="BFCED6"/>
          </w:tcPr>
          <w:p w14:paraId="11990AE0" w14:textId="20912244" w:rsidR="0065124E" w:rsidRPr="007B08C1" w:rsidRDefault="0065124E" w:rsidP="0065124E">
            <w:pPr>
              <w:jc w:val="center"/>
              <w:rPr>
                <w:rFonts w:ascii="VIC" w:hAnsi="VIC"/>
                <w:sz w:val="18"/>
                <w:szCs w:val="18"/>
              </w:rPr>
            </w:pPr>
            <w:r w:rsidRPr="00BF7527">
              <w:rPr>
                <w:rFonts w:ascii="VIC" w:eastAsia="Verdana" w:hAnsi="VIC"/>
                <w:color w:val="000000"/>
                <w:sz w:val="18"/>
                <w:szCs w:val="18"/>
              </w:rPr>
              <w:t>73 %</w:t>
            </w:r>
          </w:p>
        </w:tc>
        <w:tc>
          <w:tcPr>
            <w:tcW w:w="1075" w:type="dxa"/>
            <w:shd w:val="clear" w:color="auto" w:fill="BFCED6"/>
          </w:tcPr>
          <w:p w14:paraId="3742E1E8" w14:textId="7ADC5BD9" w:rsidR="0065124E" w:rsidRPr="007B08C1"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BFCED6"/>
          </w:tcPr>
          <w:p w14:paraId="1BE15368" w14:textId="72BCA02C" w:rsidR="0065124E" w:rsidRPr="007B08C1" w:rsidRDefault="0065124E" w:rsidP="0065124E">
            <w:pPr>
              <w:jc w:val="center"/>
              <w:rPr>
                <w:rFonts w:ascii="VIC" w:hAnsi="VIC"/>
                <w:sz w:val="18"/>
                <w:szCs w:val="18"/>
              </w:rPr>
            </w:pPr>
            <w:r w:rsidRPr="00BF7527">
              <w:rPr>
                <w:rFonts w:ascii="VIC" w:eastAsia="Verdana" w:hAnsi="VIC"/>
                <w:color w:val="000000"/>
                <w:sz w:val="18"/>
                <w:szCs w:val="18"/>
              </w:rPr>
              <w:t>90 %</w:t>
            </w:r>
          </w:p>
        </w:tc>
      </w:tr>
      <w:tr w:rsidR="0065124E" w:rsidRPr="007B08C1" w14:paraId="21DB9E80" w14:textId="77777777" w:rsidTr="00D067E7">
        <w:tc>
          <w:tcPr>
            <w:tcW w:w="1145" w:type="dxa"/>
          </w:tcPr>
          <w:p w14:paraId="52D76079" w14:textId="0D784F2D" w:rsidR="0065124E" w:rsidRPr="007B08C1" w:rsidRDefault="0065124E" w:rsidP="0065124E">
            <w:pPr>
              <w:rPr>
                <w:rFonts w:ascii="VIC" w:hAnsi="VIC"/>
                <w:sz w:val="18"/>
                <w:szCs w:val="18"/>
              </w:rPr>
            </w:pPr>
            <w:r w:rsidRPr="00BF7527">
              <w:rPr>
                <w:rFonts w:ascii="VIC" w:eastAsia="Verdana" w:hAnsi="VIC"/>
                <w:color w:val="000000"/>
                <w:sz w:val="18"/>
                <w:szCs w:val="18"/>
              </w:rPr>
              <w:t>Barwon Health</w:t>
            </w:r>
          </w:p>
        </w:tc>
        <w:tc>
          <w:tcPr>
            <w:tcW w:w="1701" w:type="dxa"/>
          </w:tcPr>
          <w:p w14:paraId="2B9CF652" w14:textId="2CD3CCEB" w:rsidR="0065124E" w:rsidRPr="007B08C1" w:rsidRDefault="0065124E" w:rsidP="0065124E">
            <w:pPr>
              <w:rPr>
                <w:rFonts w:ascii="VIC" w:hAnsi="VIC"/>
                <w:sz w:val="18"/>
                <w:szCs w:val="18"/>
              </w:rPr>
            </w:pPr>
            <w:r w:rsidRPr="00BF7527">
              <w:rPr>
                <w:rFonts w:ascii="VIC" w:eastAsia="Verdana" w:hAnsi="VIC"/>
                <w:color w:val="000000"/>
                <w:sz w:val="18"/>
                <w:szCs w:val="18"/>
              </w:rPr>
              <w:t>Barwon</w:t>
            </w:r>
          </w:p>
        </w:tc>
        <w:tc>
          <w:tcPr>
            <w:tcW w:w="1074" w:type="dxa"/>
          </w:tcPr>
          <w:p w14:paraId="3FA28500" w14:textId="54691BC0" w:rsidR="0065124E" w:rsidRPr="007B08C1" w:rsidRDefault="0065124E" w:rsidP="0065124E">
            <w:pPr>
              <w:jc w:val="center"/>
              <w:rPr>
                <w:rFonts w:ascii="VIC" w:hAnsi="VIC"/>
                <w:sz w:val="18"/>
                <w:szCs w:val="18"/>
              </w:rPr>
            </w:pPr>
            <w:r w:rsidRPr="00BF7527">
              <w:rPr>
                <w:rFonts w:ascii="VIC" w:eastAsia="Verdana" w:hAnsi="VIC"/>
                <w:color w:val="000000"/>
                <w:sz w:val="18"/>
                <w:szCs w:val="18"/>
              </w:rPr>
              <w:t>1.0</w:t>
            </w:r>
          </w:p>
        </w:tc>
        <w:tc>
          <w:tcPr>
            <w:tcW w:w="1075" w:type="dxa"/>
          </w:tcPr>
          <w:p w14:paraId="58D52957" w14:textId="5F5A806C" w:rsidR="0065124E" w:rsidRPr="007B08C1" w:rsidRDefault="0065124E" w:rsidP="0065124E">
            <w:pPr>
              <w:jc w:val="center"/>
              <w:rPr>
                <w:rFonts w:ascii="VIC" w:hAnsi="VIC"/>
                <w:sz w:val="18"/>
                <w:szCs w:val="18"/>
              </w:rPr>
            </w:pPr>
            <w:r w:rsidRPr="00BF7527">
              <w:rPr>
                <w:rFonts w:ascii="VIC" w:eastAsia="Verdana" w:hAnsi="VIC"/>
                <w:color w:val="000000"/>
                <w:sz w:val="18"/>
                <w:szCs w:val="18"/>
              </w:rPr>
              <w:t>61 %</w:t>
            </w:r>
          </w:p>
        </w:tc>
        <w:tc>
          <w:tcPr>
            <w:tcW w:w="1075" w:type="dxa"/>
          </w:tcPr>
          <w:p w14:paraId="049FCE5E" w14:textId="2DFD89C0" w:rsidR="0065124E" w:rsidRPr="007B08C1" w:rsidRDefault="0065124E" w:rsidP="0065124E">
            <w:pPr>
              <w:jc w:val="center"/>
              <w:rPr>
                <w:rFonts w:ascii="VIC" w:hAnsi="VIC"/>
                <w:sz w:val="18"/>
                <w:szCs w:val="18"/>
              </w:rPr>
            </w:pPr>
            <w:r w:rsidRPr="00BF7527">
              <w:rPr>
                <w:rFonts w:ascii="VIC" w:eastAsia="Verdana" w:hAnsi="VIC"/>
                <w:color w:val="000000"/>
                <w:sz w:val="18"/>
                <w:szCs w:val="18"/>
              </w:rPr>
              <w:t>19.3</w:t>
            </w:r>
          </w:p>
        </w:tc>
        <w:tc>
          <w:tcPr>
            <w:tcW w:w="1075" w:type="dxa"/>
          </w:tcPr>
          <w:p w14:paraId="01BCA4E0" w14:textId="729A4E68" w:rsidR="0065124E" w:rsidRPr="007B08C1" w:rsidRDefault="0065124E" w:rsidP="0065124E">
            <w:pPr>
              <w:jc w:val="center"/>
              <w:rPr>
                <w:rFonts w:ascii="VIC" w:hAnsi="VIC"/>
                <w:sz w:val="18"/>
                <w:szCs w:val="18"/>
              </w:rPr>
            </w:pPr>
            <w:r w:rsidRPr="00BF7527">
              <w:rPr>
                <w:rFonts w:ascii="VIC" w:eastAsia="Verdana" w:hAnsi="VIC"/>
                <w:color w:val="000000"/>
                <w:sz w:val="18"/>
                <w:szCs w:val="18"/>
              </w:rPr>
              <w:t>5 %</w:t>
            </w:r>
          </w:p>
        </w:tc>
        <w:tc>
          <w:tcPr>
            <w:tcW w:w="1087" w:type="dxa"/>
          </w:tcPr>
          <w:p w14:paraId="3D0DC5BF" w14:textId="24BEECCF" w:rsidR="0065124E" w:rsidRPr="007B08C1" w:rsidRDefault="0065124E" w:rsidP="0065124E">
            <w:pPr>
              <w:jc w:val="center"/>
              <w:rPr>
                <w:rFonts w:ascii="VIC" w:hAnsi="VIC"/>
                <w:sz w:val="18"/>
                <w:szCs w:val="18"/>
              </w:rPr>
            </w:pPr>
            <w:r w:rsidRPr="00BF7527">
              <w:rPr>
                <w:rFonts w:ascii="VIC" w:eastAsia="Verdana" w:hAnsi="VIC"/>
                <w:color w:val="000000"/>
                <w:sz w:val="18"/>
                <w:szCs w:val="18"/>
              </w:rPr>
              <w:t>25 %</w:t>
            </w:r>
          </w:p>
        </w:tc>
        <w:tc>
          <w:tcPr>
            <w:tcW w:w="1063" w:type="dxa"/>
          </w:tcPr>
          <w:p w14:paraId="5467F5D9" w14:textId="4B8F92F2" w:rsidR="0065124E" w:rsidRPr="007B08C1" w:rsidRDefault="0065124E" w:rsidP="0065124E">
            <w:pPr>
              <w:jc w:val="center"/>
              <w:rPr>
                <w:rFonts w:ascii="VIC" w:hAnsi="VIC"/>
                <w:sz w:val="18"/>
                <w:szCs w:val="18"/>
              </w:rPr>
            </w:pPr>
            <w:r w:rsidRPr="00BF7527">
              <w:rPr>
                <w:rFonts w:ascii="VIC" w:eastAsia="Verdana" w:hAnsi="VIC"/>
                <w:color w:val="000000"/>
                <w:sz w:val="18"/>
                <w:szCs w:val="18"/>
              </w:rPr>
              <w:t>0 %</w:t>
            </w:r>
          </w:p>
        </w:tc>
        <w:tc>
          <w:tcPr>
            <w:tcW w:w="1075" w:type="dxa"/>
          </w:tcPr>
          <w:p w14:paraId="334F5EEC" w14:textId="5E052E45" w:rsidR="0065124E" w:rsidRPr="007B08C1"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tcPr>
          <w:p w14:paraId="06F95C74" w14:textId="07CCFD8A" w:rsidR="0065124E" w:rsidRPr="007B08C1"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tcPr>
          <w:p w14:paraId="275C8404" w14:textId="5E273CE5" w:rsidR="0065124E" w:rsidRPr="007B08C1"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tcPr>
          <w:p w14:paraId="234157EF" w14:textId="22580C03" w:rsidR="0065124E" w:rsidRPr="007B08C1" w:rsidRDefault="0065124E" w:rsidP="0065124E">
            <w:pPr>
              <w:jc w:val="center"/>
              <w:rPr>
                <w:rFonts w:ascii="VIC" w:hAnsi="VIC"/>
                <w:sz w:val="18"/>
                <w:szCs w:val="18"/>
              </w:rPr>
            </w:pPr>
            <w:r w:rsidRPr="00BF7527">
              <w:rPr>
                <w:rFonts w:ascii="VIC" w:eastAsia="Verdana" w:hAnsi="VIC"/>
                <w:color w:val="000000"/>
                <w:sz w:val="18"/>
                <w:szCs w:val="18"/>
              </w:rPr>
              <w:t>69 %</w:t>
            </w:r>
          </w:p>
        </w:tc>
        <w:tc>
          <w:tcPr>
            <w:tcW w:w="1075" w:type="dxa"/>
          </w:tcPr>
          <w:p w14:paraId="1CD7346F" w14:textId="26D19B5E" w:rsidR="0065124E" w:rsidRPr="007B08C1"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tcPr>
          <w:p w14:paraId="07033A2E" w14:textId="52423B8A" w:rsidR="0065124E" w:rsidRPr="007B08C1" w:rsidRDefault="0065124E" w:rsidP="0065124E">
            <w:pPr>
              <w:jc w:val="center"/>
              <w:rPr>
                <w:rFonts w:ascii="VIC" w:hAnsi="VIC"/>
                <w:sz w:val="18"/>
                <w:szCs w:val="18"/>
              </w:rPr>
            </w:pPr>
            <w:r w:rsidRPr="00BF7527">
              <w:rPr>
                <w:rFonts w:ascii="VIC" w:eastAsia="Verdana" w:hAnsi="VIC"/>
                <w:color w:val="000000"/>
                <w:sz w:val="18"/>
                <w:szCs w:val="18"/>
              </w:rPr>
              <w:t>75 %</w:t>
            </w:r>
          </w:p>
        </w:tc>
      </w:tr>
      <w:tr w:rsidR="0065124E" w:rsidRPr="007B08C1" w14:paraId="49481F64" w14:textId="77777777" w:rsidTr="00D067E7">
        <w:tc>
          <w:tcPr>
            <w:tcW w:w="1145" w:type="dxa"/>
            <w:shd w:val="clear" w:color="auto" w:fill="BFCED6"/>
          </w:tcPr>
          <w:p w14:paraId="015C594A" w14:textId="7374C38C" w:rsidR="0065124E" w:rsidRPr="007B08C1" w:rsidRDefault="0065124E" w:rsidP="0065124E">
            <w:pPr>
              <w:rPr>
                <w:rFonts w:ascii="VIC" w:hAnsi="VIC"/>
                <w:sz w:val="18"/>
                <w:szCs w:val="18"/>
              </w:rPr>
            </w:pPr>
            <w:r w:rsidRPr="00BF7527">
              <w:rPr>
                <w:rFonts w:ascii="VIC" w:eastAsia="Verdana" w:hAnsi="VIC"/>
                <w:color w:val="000000"/>
                <w:sz w:val="18"/>
                <w:szCs w:val="18"/>
              </w:rPr>
              <w:t>Bendigo Health</w:t>
            </w:r>
          </w:p>
        </w:tc>
        <w:tc>
          <w:tcPr>
            <w:tcW w:w="1701" w:type="dxa"/>
            <w:shd w:val="clear" w:color="auto" w:fill="BFCED6"/>
          </w:tcPr>
          <w:p w14:paraId="4EDA159E" w14:textId="54FAD36C" w:rsidR="0065124E" w:rsidRPr="007B08C1" w:rsidRDefault="0065124E" w:rsidP="0065124E">
            <w:pPr>
              <w:rPr>
                <w:rFonts w:ascii="VIC" w:hAnsi="VIC"/>
                <w:sz w:val="18"/>
                <w:szCs w:val="18"/>
              </w:rPr>
            </w:pPr>
            <w:r w:rsidRPr="00BF7527">
              <w:rPr>
                <w:rFonts w:ascii="VIC" w:eastAsia="Verdana" w:hAnsi="VIC"/>
                <w:color w:val="000000"/>
                <w:sz w:val="18"/>
                <w:szCs w:val="18"/>
              </w:rPr>
              <w:t>Loddon/Southern Mallee</w:t>
            </w:r>
          </w:p>
        </w:tc>
        <w:tc>
          <w:tcPr>
            <w:tcW w:w="1074" w:type="dxa"/>
            <w:shd w:val="clear" w:color="auto" w:fill="BFCED6"/>
          </w:tcPr>
          <w:p w14:paraId="1F7C2EE9" w14:textId="358DCB46" w:rsidR="0065124E" w:rsidRPr="007B08C1" w:rsidRDefault="0065124E" w:rsidP="0065124E">
            <w:pPr>
              <w:jc w:val="center"/>
              <w:rPr>
                <w:rFonts w:ascii="VIC" w:hAnsi="VIC"/>
                <w:sz w:val="18"/>
                <w:szCs w:val="18"/>
              </w:rPr>
            </w:pPr>
            <w:r w:rsidRPr="00BF7527">
              <w:rPr>
                <w:rFonts w:ascii="VIC" w:eastAsia="Verdana" w:hAnsi="VIC"/>
                <w:color w:val="000000"/>
                <w:sz w:val="18"/>
                <w:szCs w:val="18"/>
              </w:rPr>
              <w:t>3.4</w:t>
            </w:r>
          </w:p>
        </w:tc>
        <w:tc>
          <w:tcPr>
            <w:tcW w:w="1075" w:type="dxa"/>
            <w:shd w:val="clear" w:color="auto" w:fill="BFCED6"/>
          </w:tcPr>
          <w:p w14:paraId="7A205DC8" w14:textId="1BBC0BA2" w:rsidR="0065124E" w:rsidRPr="007B08C1" w:rsidRDefault="0065124E" w:rsidP="0065124E">
            <w:pPr>
              <w:jc w:val="center"/>
              <w:rPr>
                <w:rFonts w:ascii="VIC" w:hAnsi="VIC"/>
                <w:sz w:val="18"/>
                <w:szCs w:val="18"/>
              </w:rPr>
            </w:pPr>
            <w:r w:rsidRPr="00BF7527">
              <w:rPr>
                <w:rFonts w:ascii="VIC" w:eastAsia="Verdana" w:hAnsi="VIC"/>
                <w:color w:val="000000"/>
                <w:sz w:val="18"/>
                <w:szCs w:val="18"/>
              </w:rPr>
              <w:t>89 %</w:t>
            </w:r>
          </w:p>
        </w:tc>
        <w:tc>
          <w:tcPr>
            <w:tcW w:w="1075" w:type="dxa"/>
            <w:shd w:val="clear" w:color="auto" w:fill="BFCED6"/>
          </w:tcPr>
          <w:p w14:paraId="46BACA40" w14:textId="1816F91B" w:rsidR="0065124E" w:rsidRPr="007B08C1" w:rsidRDefault="0065124E" w:rsidP="0065124E">
            <w:pPr>
              <w:jc w:val="center"/>
              <w:rPr>
                <w:rFonts w:ascii="VIC" w:hAnsi="VIC"/>
                <w:sz w:val="18"/>
                <w:szCs w:val="18"/>
              </w:rPr>
            </w:pPr>
            <w:r w:rsidRPr="00BF7527">
              <w:rPr>
                <w:rFonts w:ascii="VIC" w:eastAsia="Verdana" w:hAnsi="VIC"/>
                <w:color w:val="000000"/>
                <w:sz w:val="18"/>
                <w:szCs w:val="18"/>
              </w:rPr>
              <w:t>20.3</w:t>
            </w:r>
          </w:p>
        </w:tc>
        <w:tc>
          <w:tcPr>
            <w:tcW w:w="1075" w:type="dxa"/>
            <w:shd w:val="clear" w:color="auto" w:fill="BFCED6"/>
          </w:tcPr>
          <w:p w14:paraId="06EDD830" w14:textId="445F3D93" w:rsidR="0065124E" w:rsidRPr="007B08C1" w:rsidRDefault="0065124E" w:rsidP="0065124E">
            <w:pPr>
              <w:jc w:val="center"/>
              <w:rPr>
                <w:rFonts w:ascii="VIC" w:hAnsi="VIC"/>
                <w:sz w:val="18"/>
                <w:szCs w:val="18"/>
              </w:rPr>
            </w:pPr>
            <w:r w:rsidRPr="00BF7527">
              <w:rPr>
                <w:rFonts w:ascii="VIC" w:eastAsia="Verdana" w:hAnsi="VIC"/>
                <w:color w:val="000000"/>
                <w:sz w:val="18"/>
                <w:szCs w:val="18"/>
              </w:rPr>
              <w:t>33 %</w:t>
            </w:r>
          </w:p>
        </w:tc>
        <w:tc>
          <w:tcPr>
            <w:tcW w:w="1087" w:type="dxa"/>
            <w:shd w:val="clear" w:color="auto" w:fill="BFCED6"/>
          </w:tcPr>
          <w:p w14:paraId="6D8B623B" w14:textId="14CA1628" w:rsidR="0065124E" w:rsidRPr="007B08C1" w:rsidRDefault="0065124E" w:rsidP="0065124E">
            <w:pPr>
              <w:jc w:val="center"/>
              <w:rPr>
                <w:rFonts w:ascii="VIC" w:hAnsi="VIC"/>
                <w:sz w:val="18"/>
                <w:szCs w:val="18"/>
              </w:rPr>
            </w:pPr>
            <w:r w:rsidRPr="00BF7527">
              <w:rPr>
                <w:rFonts w:ascii="VIC" w:eastAsia="Verdana" w:hAnsi="VIC"/>
                <w:color w:val="000000"/>
                <w:sz w:val="18"/>
                <w:szCs w:val="18"/>
              </w:rPr>
              <w:t>0 %</w:t>
            </w:r>
          </w:p>
        </w:tc>
        <w:tc>
          <w:tcPr>
            <w:tcW w:w="1063" w:type="dxa"/>
            <w:shd w:val="clear" w:color="auto" w:fill="BFCED6"/>
          </w:tcPr>
          <w:p w14:paraId="17446580" w14:textId="27C0C9A2" w:rsidR="0065124E" w:rsidRPr="007B08C1" w:rsidRDefault="0065124E" w:rsidP="0065124E">
            <w:pPr>
              <w:jc w:val="center"/>
              <w:rPr>
                <w:rFonts w:ascii="VIC" w:hAnsi="VIC"/>
                <w:sz w:val="18"/>
                <w:szCs w:val="18"/>
              </w:rPr>
            </w:pPr>
            <w:r w:rsidRPr="00BF7527">
              <w:rPr>
                <w:rFonts w:ascii="VIC" w:eastAsia="Verdana" w:hAnsi="VIC"/>
                <w:color w:val="000000"/>
                <w:sz w:val="18"/>
                <w:szCs w:val="18"/>
              </w:rPr>
              <w:t>10 %</w:t>
            </w:r>
          </w:p>
        </w:tc>
        <w:tc>
          <w:tcPr>
            <w:tcW w:w="1075" w:type="dxa"/>
            <w:shd w:val="clear" w:color="auto" w:fill="BFCED6"/>
          </w:tcPr>
          <w:p w14:paraId="35F6A0EA" w14:textId="2A04222C" w:rsidR="0065124E" w:rsidRPr="007B08C1"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BFCED6"/>
          </w:tcPr>
          <w:p w14:paraId="5187FA70" w14:textId="7B9FAF0C" w:rsidR="0065124E" w:rsidRPr="007B08C1" w:rsidRDefault="0065124E" w:rsidP="0065124E">
            <w:pPr>
              <w:jc w:val="center"/>
              <w:rPr>
                <w:rFonts w:ascii="VIC" w:hAnsi="VIC"/>
                <w:sz w:val="18"/>
                <w:szCs w:val="18"/>
              </w:rPr>
            </w:pPr>
            <w:r w:rsidRPr="00BF7527">
              <w:rPr>
                <w:rFonts w:ascii="VIC" w:eastAsia="Verdana" w:hAnsi="VIC"/>
                <w:color w:val="000000"/>
                <w:sz w:val="18"/>
                <w:szCs w:val="18"/>
              </w:rPr>
              <w:t>3.7</w:t>
            </w:r>
          </w:p>
        </w:tc>
        <w:tc>
          <w:tcPr>
            <w:tcW w:w="1075" w:type="dxa"/>
            <w:shd w:val="clear" w:color="auto" w:fill="BFCED6"/>
          </w:tcPr>
          <w:p w14:paraId="689F74D3" w14:textId="380B60FC" w:rsidR="0065124E" w:rsidRPr="007B08C1"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shd w:val="clear" w:color="auto" w:fill="BFCED6"/>
          </w:tcPr>
          <w:p w14:paraId="4851B033" w14:textId="279486AE" w:rsidR="0065124E" w:rsidRPr="007B08C1" w:rsidRDefault="0065124E" w:rsidP="0065124E">
            <w:pPr>
              <w:jc w:val="center"/>
              <w:rPr>
                <w:rFonts w:ascii="VIC" w:hAnsi="VIC"/>
                <w:sz w:val="18"/>
                <w:szCs w:val="18"/>
              </w:rPr>
            </w:pPr>
            <w:r w:rsidRPr="00BF7527">
              <w:rPr>
                <w:rFonts w:ascii="VIC" w:eastAsia="Verdana" w:hAnsi="VIC"/>
                <w:color w:val="000000"/>
                <w:sz w:val="18"/>
                <w:szCs w:val="18"/>
              </w:rPr>
              <w:t>70 %</w:t>
            </w:r>
          </w:p>
        </w:tc>
        <w:tc>
          <w:tcPr>
            <w:tcW w:w="1075" w:type="dxa"/>
            <w:shd w:val="clear" w:color="auto" w:fill="BFCED6"/>
          </w:tcPr>
          <w:p w14:paraId="00E15D70" w14:textId="07FF809B" w:rsidR="0065124E" w:rsidRPr="007B08C1" w:rsidRDefault="0065124E" w:rsidP="0065124E">
            <w:pPr>
              <w:jc w:val="center"/>
              <w:rPr>
                <w:rFonts w:ascii="VIC" w:hAnsi="VIC"/>
                <w:sz w:val="18"/>
                <w:szCs w:val="18"/>
              </w:rPr>
            </w:pPr>
            <w:r w:rsidRPr="00BF7527">
              <w:rPr>
                <w:rFonts w:ascii="VIC" w:eastAsia="Verdana" w:hAnsi="VIC"/>
                <w:color w:val="000000"/>
                <w:sz w:val="18"/>
                <w:szCs w:val="18"/>
              </w:rPr>
              <w:t>89 %</w:t>
            </w:r>
          </w:p>
        </w:tc>
        <w:tc>
          <w:tcPr>
            <w:tcW w:w="1075" w:type="dxa"/>
            <w:shd w:val="clear" w:color="auto" w:fill="BFCED6"/>
          </w:tcPr>
          <w:p w14:paraId="60CA3B0C" w14:textId="6FF5610B" w:rsidR="0065124E" w:rsidRPr="007B08C1" w:rsidRDefault="0065124E" w:rsidP="0065124E">
            <w:pPr>
              <w:jc w:val="center"/>
              <w:rPr>
                <w:rFonts w:ascii="VIC" w:hAnsi="VIC"/>
                <w:sz w:val="18"/>
                <w:szCs w:val="18"/>
              </w:rPr>
            </w:pPr>
            <w:r w:rsidRPr="00BF7527">
              <w:rPr>
                <w:rFonts w:ascii="VIC" w:eastAsia="Verdana" w:hAnsi="VIC"/>
                <w:color w:val="000000"/>
                <w:sz w:val="18"/>
                <w:szCs w:val="18"/>
              </w:rPr>
              <w:t>98 %</w:t>
            </w:r>
          </w:p>
        </w:tc>
      </w:tr>
      <w:tr w:rsidR="0065124E" w:rsidRPr="007B08C1" w14:paraId="7B3D67BC" w14:textId="77777777" w:rsidTr="00D067E7">
        <w:tc>
          <w:tcPr>
            <w:tcW w:w="1145" w:type="dxa"/>
          </w:tcPr>
          <w:p w14:paraId="6EE91113" w14:textId="0AC9D348" w:rsidR="0065124E" w:rsidRPr="007B08C1" w:rsidRDefault="0065124E" w:rsidP="0065124E">
            <w:pPr>
              <w:rPr>
                <w:rFonts w:ascii="VIC" w:hAnsi="VIC"/>
                <w:sz w:val="18"/>
                <w:szCs w:val="18"/>
              </w:rPr>
            </w:pPr>
            <w:r w:rsidRPr="00BF7527">
              <w:rPr>
                <w:rFonts w:ascii="VIC" w:eastAsia="Verdana" w:hAnsi="VIC"/>
                <w:color w:val="000000"/>
                <w:sz w:val="18"/>
                <w:szCs w:val="18"/>
              </w:rPr>
              <w:t>Goulburn Valley Health</w:t>
            </w:r>
          </w:p>
        </w:tc>
        <w:tc>
          <w:tcPr>
            <w:tcW w:w="1701" w:type="dxa"/>
          </w:tcPr>
          <w:p w14:paraId="7E40E642" w14:textId="55AFCA11" w:rsidR="0065124E" w:rsidRPr="007B08C1" w:rsidRDefault="0065124E" w:rsidP="0065124E">
            <w:pPr>
              <w:rPr>
                <w:rFonts w:ascii="VIC" w:hAnsi="VIC"/>
                <w:sz w:val="18"/>
                <w:szCs w:val="18"/>
              </w:rPr>
            </w:pPr>
            <w:r w:rsidRPr="00BF7527">
              <w:rPr>
                <w:rFonts w:ascii="VIC" w:eastAsia="Verdana" w:hAnsi="VIC"/>
                <w:color w:val="000000"/>
                <w:sz w:val="18"/>
                <w:szCs w:val="18"/>
              </w:rPr>
              <w:t>Goulburn &amp; Southern</w:t>
            </w:r>
          </w:p>
        </w:tc>
        <w:tc>
          <w:tcPr>
            <w:tcW w:w="1074" w:type="dxa"/>
          </w:tcPr>
          <w:p w14:paraId="1ACE6299" w14:textId="53E7C611" w:rsidR="0065124E" w:rsidRPr="007B08C1" w:rsidRDefault="0065124E" w:rsidP="0065124E">
            <w:pPr>
              <w:jc w:val="center"/>
              <w:rPr>
                <w:rFonts w:ascii="VIC" w:hAnsi="VIC"/>
                <w:sz w:val="18"/>
                <w:szCs w:val="18"/>
              </w:rPr>
            </w:pPr>
            <w:r w:rsidRPr="00BF7527">
              <w:rPr>
                <w:rFonts w:ascii="VIC" w:eastAsia="Verdana" w:hAnsi="VIC"/>
                <w:color w:val="000000"/>
                <w:sz w:val="18"/>
                <w:szCs w:val="18"/>
              </w:rPr>
              <w:t>1.7</w:t>
            </w:r>
          </w:p>
        </w:tc>
        <w:tc>
          <w:tcPr>
            <w:tcW w:w="1075" w:type="dxa"/>
          </w:tcPr>
          <w:p w14:paraId="7AA93B5B" w14:textId="7DA6567C" w:rsidR="0065124E" w:rsidRPr="007B08C1" w:rsidRDefault="0065124E" w:rsidP="0065124E">
            <w:pPr>
              <w:jc w:val="center"/>
              <w:rPr>
                <w:rFonts w:ascii="VIC" w:hAnsi="VIC"/>
                <w:sz w:val="18"/>
                <w:szCs w:val="18"/>
              </w:rPr>
            </w:pPr>
            <w:r w:rsidRPr="00BF7527">
              <w:rPr>
                <w:rFonts w:ascii="VIC" w:eastAsia="Verdana" w:hAnsi="VIC"/>
                <w:color w:val="000000"/>
                <w:sz w:val="18"/>
                <w:szCs w:val="18"/>
              </w:rPr>
              <w:t>89 %</w:t>
            </w:r>
          </w:p>
        </w:tc>
        <w:tc>
          <w:tcPr>
            <w:tcW w:w="1075" w:type="dxa"/>
          </w:tcPr>
          <w:p w14:paraId="4956FF9B" w14:textId="7150CADB" w:rsidR="0065124E" w:rsidRPr="007B08C1" w:rsidRDefault="0065124E" w:rsidP="0065124E">
            <w:pPr>
              <w:jc w:val="center"/>
              <w:rPr>
                <w:rFonts w:ascii="VIC" w:hAnsi="VIC"/>
                <w:sz w:val="18"/>
                <w:szCs w:val="18"/>
              </w:rPr>
            </w:pPr>
            <w:r w:rsidRPr="00BF7527">
              <w:rPr>
                <w:rFonts w:ascii="VIC" w:eastAsia="Verdana" w:hAnsi="VIC"/>
                <w:color w:val="000000"/>
                <w:sz w:val="18"/>
                <w:szCs w:val="18"/>
              </w:rPr>
              <w:t>19.6</w:t>
            </w:r>
          </w:p>
        </w:tc>
        <w:tc>
          <w:tcPr>
            <w:tcW w:w="1075" w:type="dxa"/>
          </w:tcPr>
          <w:p w14:paraId="2998A65E" w14:textId="43831E7B" w:rsidR="0065124E" w:rsidRPr="007B08C1" w:rsidRDefault="0065124E" w:rsidP="0065124E">
            <w:pPr>
              <w:jc w:val="center"/>
              <w:rPr>
                <w:rFonts w:ascii="VIC" w:hAnsi="VIC"/>
                <w:sz w:val="18"/>
                <w:szCs w:val="18"/>
              </w:rPr>
            </w:pPr>
            <w:r w:rsidRPr="00BF7527">
              <w:rPr>
                <w:rFonts w:ascii="VIC" w:eastAsia="Verdana" w:hAnsi="VIC"/>
                <w:color w:val="000000"/>
                <w:sz w:val="18"/>
                <w:szCs w:val="18"/>
              </w:rPr>
              <w:t>12 %</w:t>
            </w:r>
          </w:p>
        </w:tc>
        <w:tc>
          <w:tcPr>
            <w:tcW w:w="1087" w:type="dxa"/>
          </w:tcPr>
          <w:p w14:paraId="60331B72" w14:textId="18353651" w:rsidR="0065124E" w:rsidRPr="007B08C1" w:rsidRDefault="0065124E" w:rsidP="0065124E">
            <w:pPr>
              <w:jc w:val="center"/>
              <w:rPr>
                <w:rFonts w:ascii="VIC" w:hAnsi="VIC"/>
                <w:sz w:val="18"/>
                <w:szCs w:val="18"/>
              </w:rPr>
            </w:pPr>
            <w:r w:rsidRPr="00BF7527">
              <w:rPr>
                <w:rFonts w:ascii="VIC" w:eastAsia="Verdana" w:hAnsi="VIC"/>
                <w:color w:val="000000"/>
                <w:sz w:val="18"/>
                <w:szCs w:val="18"/>
              </w:rPr>
              <w:t>0 %</w:t>
            </w:r>
          </w:p>
        </w:tc>
        <w:tc>
          <w:tcPr>
            <w:tcW w:w="1063" w:type="dxa"/>
          </w:tcPr>
          <w:p w14:paraId="23B0C034" w14:textId="4C718EE7" w:rsidR="0065124E" w:rsidRPr="007B08C1" w:rsidRDefault="0065124E" w:rsidP="0065124E">
            <w:pPr>
              <w:jc w:val="center"/>
              <w:rPr>
                <w:rFonts w:ascii="VIC" w:hAnsi="VIC"/>
                <w:sz w:val="18"/>
                <w:szCs w:val="18"/>
              </w:rPr>
            </w:pPr>
            <w:r w:rsidRPr="00BF7527">
              <w:rPr>
                <w:rFonts w:ascii="VIC" w:eastAsia="Verdana" w:hAnsi="VIC"/>
                <w:color w:val="000000"/>
                <w:sz w:val="18"/>
                <w:szCs w:val="18"/>
              </w:rPr>
              <w:t>12 %</w:t>
            </w:r>
          </w:p>
        </w:tc>
        <w:tc>
          <w:tcPr>
            <w:tcW w:w="1075" w:type="dxa"/>
          </w:tcPr>
          <w:p w14:paraId="4ECA51EC" w14:textId="3B8406B7" w:rsidR="0065124E" w:rsidRPr="007B08C1" w:rsidRDefault="0065124E" w:rsidP="0065124E">
            <w:pPr>
              <w:jc w:val="center"/>
              <w:rPr>
                <w:rFonts w:ascii="VIC" w:hAnsi="VIC"/>
                <w:sz w:val="18"/>
                <w:szCs w:val="18"/>
              </w:rPr>
            </w:pPr>
            <w:r w:rsidRPr="00BF7527">
              <w:rPr>
                <w:rFonts w:ascii="VIC" w:eastAsia="Verdana" w:hAnsi="VIC"/>
                <w:color w:val="000000"/>
                <w:sz w:val="18"/>
                <w:szCs w:val="18"/>
              </w:rPr>
              <w:t>94 %</w:t>
            </w:r>
          </w:p>
        </w:tc>
        <w:tc>
          <w:tcPr>
            <w:tcW w:w="1075" w:type="dxa"/>
          </w:tcPr>
          <w:p w14:paraId="42B5AC11" w14:textId="5302694E" w:rsidR="0065124E" w:rsidRPr="007B08C1" w:rsidRDefault="0065124E" w:rsidP="0065124E">
            <w:pPr>
              <w:jc w:val="center"/>
              <w:rPr>
                <w:rFonts w:ascii="VIC" w:hAnsi="VIC"/>
                <w:sz w:val="18"/>
                <w:szCs w:val="18"/>
              </w:rPr>
            </w:pPr>
            <w:r w:rsidRPr="00BF7527">
              <w:rPr>
                <w:rFonts w:ascii="VIC" w:eastAsia="Verdana" w:hAnsi="VIC"/>
                <w:color w:val="000000"/>
                <w:sz w:val="18"/>
                <w:szCs w:val="18"/>
              </w:rPr>
              <w:t>7.4</w:t>
            </w:r>
          </w:p>
        </w:tc>
        <w:tc>
          <w:tcPr>
            <w:tcW w:w="1075" w:type="dxa"/>
          </w:tcPr>
          <w:p w14:paraId="4E96E024" w14:textId="1E8EB279" w:rsidR="0065124E" w:rsidRPr="007B08C1"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tcPr>
          <w:p w14:paraId="0D21A85D" w14:textId="63619D54" w:rsidR="0065124E" w:rsidRPr="007B08C1" w:rsidRDefault="0065124E" w:rsidP="0065124E">
            <w:pPr>
              <w:jc w:val="center"/>
              <w:rPr>
                <w:rFonts w:ascii="VIC" w:hAnsi="VIC"/>
                <w:sz w:val="18"/>
                <w:szCs w:val="18"/>
              </w:rPr>
            </w:pPr>
            <w:r w:rsidRPr="00BF7527">
              <w:rPr>
                <w:rFonts w:ascii="VIC" w:eastAsia="Verdana" w:hAnsi="VIC"/>
                <w:color w:val="000000"/>
                <w:sz w:val="18"/>
                <w:szCs w:val="18"/>
              </w:rPr>
              <w:t>60 %</w:t>
            </w:r>
          </w:p>
        </w:tc>
        <w:tc>
          <w:tcPr>
            <w:tcW w:w="1075" w:type="dxa"/>
          </w:tcPr>
          <w:p w14:paraId="5F449EBF" w14:textId="32DD8365" w:rsidR="0065124E" w:rsidRPr="007B08C1" w:rsidRDefault="0065124E" w:rsidP="0065124E">
            <w:pPr>
              <w:jc w:val="center"/>
              <w:rPr>
                <w:rFonts w:ascii="VIC" w:hAnsi="VIC"/>
                <w:sz w:val="18"/>
                <w:szCs w:val="18"/>
              </w:rPr>
            </w:pPr>
            <w:r w:rsidRPr="00BF7527">
              <w:rPr>
                <w:rFonts w:ascii="VIC" w:eastAsia="Verdana" w:hAnsi="VIC"/>
                <w:color w:val="000000"/>
                <w:sz w:val="18"/>
                <w:szCs w:val="18"/>
              </w:rPr>
              <w:t>88 %</w:t>
            </w:r>
          </w:p>
        </w:tc>
        <w:tc>
          <w:tcPr>
            <w:tcW w:w="1075" w:type="dxa"/>
          </w:tcPr>
          <w:p w14:paraId="668AF09B" w14:textId="77069866" w:rsidR="0065124E" w:rsidRPr="007B08C1" w:rsidRDefault="0065124E" w:rsidP="0065124E">
            <w:pPr>
              <w:jc w:val="center"/>
              <w:rPr>
                <w:rFonts w:ascii="VIC" w:hAnsi="VIC"/>
                <w:sz w:val="18"/>
                <w:szCs w:val="18"/>
              </w:rPr>
            </w:pPr>
            <w:r w:rsidRPr="00BF7527">
              <w:rPr>
                <w:rFonts w:ascii="VIC" w:eastAsia="Verdana" w:hAnsi="VIC"/>
                <w:color w:val="000000"/>
                <w:sz w:val="18"/>
                <w:szCs w:val="18"/>
              </w:rPr>
              <w:t>100 %</w:t>
            </w:r>
          </w:p>
        </w:tc>
      </w:tr>
      <w:tr w:rsidR="0065124E" w:rsidRPr="007B08C1" w14:paraId="634A9237" w14:textId="77777777" w:rsidTr="00D067E7">
        <w:tc>
          <w:tcPr>
            <w:tcW w:w="1145" w:type="dxa"/>
            <w:shd w:val="clear" w:color="auto" w:fill="BFCED6"/>
          </w:tcPr>
          <w:p w14:paraId="7DC19A0B" w14:textId="5F42AD9F" w:rsidR="0065124E" w:rsidRPr="007B08C1" w:rsidRDefault="0065124E" w:rsidP="0065124E">
            <w:pPr>
              <w:rPr>
                <w:rFonts w:ascii="VIC" w:hAnsi="VIC"/>
                <w:sz w:val="18"/>
                <w:szCs w:val="18"/>
              </w:rPr>
            </w:pPr>
            <w:r w:rsidRPr="00BF7527">
              <w:rPr>
                <w:rFonts w:ascii="VIC" w:eastAsia="Verdana" w:hAnsi="VIC"/>
                <w:color w:val="000000"/>
                <w:sz w:val="18"/>
                <w:szCs w:val="18"/>
              </w:rPr>
              <w:t>Latrobe Regional</w:t>
            </w:r>
          </w:p>
        </w:tc>
        <w:tc>
          <w:tcPr>
            <w:tcW w:w="1701" w:type="dxa"/>
            <w:shd w:val="clear" w:color="auto" w:fill="BFCED6"/>
          </w:tcPr>
          <w:p w14:paraId="073F96DA" w14:textId="042B919C" w:rsidR="0065124E" w:rsidRPr="007B08C1" w:rsidRDefault="0065124E" w:rsidP="0065124E">
            <w:pPr>
              <w:rPr>
                <w:rFonts w:ascii="VIC" w:hAnsi="VIC"/>
                <w:sz w:val="18"/>
                <w:szCs w:val="18"/>
              </w:rPr>
            </w:pPr>
            <w:r w:rsidRPr="00BF7527">
              <w:rPr>
                <w:rFonts w:ascii="VIC" w:eastAsia="Verdana" w:hAnsi="VIC"/>
                <w:color w:val="000000"/>
                <w:sz w:val="18"/>
                <w:szCs w:val="18"/>
              </w:rPr>
              <w:t>Gippsland</w:t>
            </w:r>
          </w:p>
        </w:tc>
        <w:tc>
          <w:tcPr>
            <w:tcW w:w="1074" w:type="dxa"/>
            <w:shd w:val="clear" w:color="auto" w:fill="BFCED6"/>
          </w:tcPr>
          <w:p w14:paraId="2D8AF09A" w14:textId="167DB709" w:rsidR="0065124E" w:rsidRPr="007B08C1" w:rsidRDefault="0065124E" w:rsidP="0065124E">
            <w:pPr>
              <w:jc w:val="center"/>
              <w:rPr>
                <w:rFonts w:ascii="VIC" w:hAnsi="VIC"/>
                <w:sz w:val="18"/>
                <w:szCs w:val="18"/>
              </w:rPr>
            </w:pPr>
            <w:r w:rsidRPr="00BF7527">
              <w:rPr>
                <w:rFonts w:ascii="VIC" w:eastAsia="Verdana" w:hAnsi="VIC"/>
                <w:color w:val="000000"/>
                <w:sz w:val="18"/>
                <w:szCs w:val="18"/>
              </w:rPr>
              <w:t>1.6</w:t>
            </w:r>
          </w:p>
        </w:tc>
        <w:tc>
          <w:tcPr>
            <w:tcW w:w="1075" w:type="dxa"/>
            <w:shd w:val="clear" w:color="auto" w:fill="BFCED6"/>
          </w:tcPr>
          <w:p w14:paraId="463D21C1" w14:textId="6FE391EF" w:rsidR="0065124E" w:rsidRPr="007B08C1" w:rsidRDefault="0065124E" w:rsidP="0065124E">
            <w:pPr>
              <w:jc w:val="center"/>
              <w:rPr>
                <w:rFonts w:ascii="VIC" w:hAnsi="VIC"/>
                <w:sz w:val="18"/>
                <w:szCs w:val="18"/>
              </w:rPr>
            </w:pPr>
            <w:r w:rsidRPr="00BF7527">
              <w:rPr>
                <w:rFonts w:ascii="VIC" w:eastAsia="Verdana" w:hAnsi="VIC"/>
                <w:color w:val="000000"/>
                <w:sz w:val="18"/>
                <w:szCs w:val="18"/>
              </w:rPr>
              <w:t>79 %</w:t>
            </w:r>
          </w:p>
        </w:tc>
        <w:tc>
          <w:tcPr>
            <w:tcW w:w="1075" w:type="dxa"/>
            <w:shd w:val="clear" w:color="auto" w:fill="BFCED6"/>
          </w:tcPr>
          <w:p w14:paraId="3244D2D7" w14:textId="08626A79" w:rsidR="0065124E" w:rsidRPr="007B08C1" w:rsidRDefault="0065124E" w:rsidP="0065124E">
            <w:pPr>
              <w:jc w:val="center"/>
              <w:rPr>
                <w:rFonts w:ascii="VIC" w:hAnsi="VIC"/>
                <w:sz w:val="18"/>
                <w:szCs w:val="18"/>
              </w:rPr>
            </w:pPr>
            <w:r w:rsidRPr="00BF7527">
              <w:rPr>
                <w:rFonts w:ascii="VIC" w:eastAsia="Verdana" w:hAnsi="VIC"/>
                <w:color w:val="000000"/>
                <w:sz w:val="18"/>
                <w:szCs w:val="18"/>
              </w:rPr>
              <w:t>17.7</w:t>
            </w:r>
          </w:p>
        </w:tc>
        <w:tc>
          <w:tcPr>
            <w:tcW w:w="1075" w:type="dxa"/>
            <w:shd w:val="clear" w:color="auto" w:fill="BFCED6"/>
          </w:tcPr>
          <w:p w14:paraId="155940E6" w14:textId="429B661E" w:rsidR="0065124E" w:rsidRPr="007B08C1" w:rsidRDefault="0065124E" w:rsidP="0065124E">
            <w:pPr>
              <w:jc w:val="center"/>
              <w:rPr>
                <w:rFonts w:ascii="VIC" w:hAnsi="VIC"/>
                <w:sz w:val="18"/>
                <w:szCs w:val="18"/>
              </w:rPr>
            </w:pPr>
            <w:r w:rsidRPr="00BF7527">
              <w:rPr>
                <w:rFonts w:ascii="VIC" w:eastAsia="Verdana" w:hAnsi="VIC"/>
                <w:color w:val="000000"/>
                <w:sz w:val="18"/>
                <w:szCs w:val="18"/>
              </w:rPr>
              <w:t>3 %</w:t>
            </w:r>
          </w:p>
        </w:tc>
        <w:tc>
          <w:tcPr>
            <w:tcW w:w="1087" w:type="dxa"/>
            <w:shd w:val="clear" w:color="auto" w:fill="BFCED6"/>
          </w:tcPr>
          <w:p w14:paraId="1C1B7346" w14:textId="5EA975A6" w:rsidR="0065124E" w:rsidRPr="007B08C1" w:rsidRDefault="0065124E" w:rsidP="0065124E">
            <w:pPr>
              <w:jc w:val="center"/>
              <w:rPr>
                <w:rFonts w:ascii="VIC" w:hAnsi="VIC"/>
                <w:sz w:val="18"/>
                <w:szCs w:val="18"/>
              </w:rPr>
            </w:pPr>
            <w:r w:rsidRPr="00BF7527">
              <w:rPr>
                <w:rFonts w:ascii="VIC" w:eastAsia="Verdana" w:hAnsi="VIC"/>
                <w:color w:val="000000"/>
                <w:sz w:val="18"/>
                <w:szCs w:val="18"/>
              </w:rPr>
              <w:t>8 %</w:t>
            </w:r>
          </w:p>
        </w:tc>
        <w:tc>
          <w:tcPr>
            <w:tcW w:w="1063" w:type="dxa"/>
            <w:shd w:val="clear" w:color="auto" w:fill="BFCED6"/>
          </w:tcPr>
          <w:p w14:paraId="6422155A" w14:textId="26133899" w:rsidR="0065124E" w:rsidRPr="007B08C1" w:rsidRDefault="0065124E" w:rsidP="0065124E">
            <w:pPr>
              <w:jc w:val="center"/>
              <w:rPr>
                <w:rFonts w:ascii="VIC" w:hAnsi="VIC"/>
                <w:sz w:val="18"/>
                <w:szCs w:val="18"/>
              </w:rPr>
            </w:pPr>
            <w:r w:rsidRPr="00BF7527">
              <w:rPr>
                <w:rFonts w:ascii="VIC" w:eastAsia="Verdana" w:hAnsi="VIC"/>
                <w:color w:val="000000"/>
                <w:sz w:val="18"/>
                <w:szCs w:val="18"/>
              </w:rPr>
              <w:t>44 %</w:t>
            </w:r>
          </w:p>
        </w:tc>
        <w:tc>
          <w:tcPr>
            <w:tcW w:w="1075" w:type="dxa"/>
            <w:shd w:val="clear" w:color="auto" w:fill="BFCED6"/>
          </w:tcPr>
          <w:p w14:paraId="0A99FE22" w14:textId="4A6F1083" w:rsidR="0065124E" w:rsidRPr="007B08C1" w:rsidRDefault="0065124E" w:rsidP="0065124E">
            <w:pPr>
              <w:jc w:val="center"/>
              <w:rPr>
                <w:rFonts w:ascii="VIC" w:hAnsi="VIC"/>
                <w:sz w:val="18"/>
                <w:szCs w:val="18"/>
              </w:rPr>
            </w:pPr>
            <w:r w:rsidRPr="00BF7527">
              <w:rPr>
                <w:rFonts w:ascii="VIC" w:eastAsia="Verdana" w:hAnsi="VIC"/>
                <w:color w:val="000000"/>
                <w:sz w:val="18"/>
                <w:szCs w:val="18"/>
              </w:rPr>
              <w:t>95 %</w:t>
            </w:r>
          </w:p>
        </w:tc>
        <w:tc>
          <w:tcPr>
            <w:tcW w:w="1075" w:type="dxa"/>
            <w:shd w:val="clear" w:color="auto" w:fill="BFCED6"/>
          </w:tcPr>
          <w:p w14:paraId="50B7090F" w14:textId="21D93DA5" w:rsidR="0065124E" w:rsidRPr="007B08C1" w:rsidRDefault="0065124E" w:rsidP="0065124E">
            <w:pPr>
              <w:jc w:val="center"/>
              <w:rPr>
                <w:rFonts w:ascii="VIC" w:hAnsi="VIC"/>
                <w:sz w:val="18"/>
                <w:szCs w:val="18"/>
              </w:rPr>
            </w:pPr>
            <w:r w:rsidRPr="00BF7527">
              <w:rPr>
                <w:rFonts w:ascii="VIC" w:eastAsia="Verdana" w:hAnsi="VIC"/>
                <w:color w:val="000000"/>
                <w:sz w:val="18"/>
                <w:szCs w:val="18"/>
              </w:rPr>
              <w:t>4.2</w:t>
            </w:r>
          </w:p>
        </w:tc>
        <w:tc>
          <w:tcPr>
            <w:tcW w:w="1075" w:type="dxa"/>
            <w:shd w:val="clear" w:color="auto" w:fill="BFCED6"/>
          </w:tcPr>
          <w:p w14:paraId="18E372D2" w14:textId="261EA46E" w:rsidR="0065124E" w:rsidRPr="007B08C1"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shd w:val="clear" w:color="auto" w:fill="BFCED6"/>
          </w:tcPr>
          <w:p w14:paraId="68B8AB1E" w14:textId="0096E05D" w:rsidR="0065124E" w:rsidRPr="007B08C1" w:rsidRDefault="0065124E" w:rsidP="0065124E">
            <w:pPr>
              <w:jc w:val="center"/>
              <w:rPr>
                <w:rFonts w:ascii="VIC" w:hAnsi="VIC"/>
                <w:sz w:val="18"/>
                <w:szCs w:val="18"/>
              </w:rPr>
            </w:pPr>
            <w:r w:rsidRPr="00BF7527">
              <w:rPr>
                <w:rFonts w:ascii="VIC" w:eastAsia="Verdana" w:hAnsi="VIC"/>
                <w:color w:val="000000"/>
                <w:sz w:val="18"/>
                <w:szCs w:val="18"/>
              </w:rPr>
              <w:t>64 %</w:t>
            </w:r>
          </w:p>
        </w:tc>
        <w:tc>
          <w:tcPr>
            <w:tcW w:w="1075" w:type="dxa"/>
            <w:shd w:val="clear" w:color="auto" w:fill="BFCED6"/>
          </w:tcPr>
          <w:p w14:paraId="0F898D05" w14:textId="3729FF71" w:rsidR="0065124E" w:rsidRPr="007B08C1" w:rsidRDefault="0065124E" w:rsidP="0065124E">
            <w:pPr>
              <w:jc w:val="center"/>
              <w:rPr>
                <w:rFonts w:ascii="VIC" w:hAnsi="VIC"/>
                <w:sz w:val="18"/>
                <w:szCs w:val="18"/>
              </w:rPr>
            </w:pPr>
            <w:r w:rsidRPr="00BF7527">
              <w:rPr>
                <w:rFonts w:ascii="VIC" w:eastAsia="Verdana" w:hAnsi="VIC"/>
                <w:color w:val="000000"/>
                <w:sz w:val="18"/>
                <w:szCs w:val="18"/>
              </w:rPr>
              <w:t>87 %</w:t>
            </w:r>
          </w:p>
        </w:tc>
        <w:tc>
          <w:tcPr>
            <w:tcW w:w="1075" w:type="dxa"/>
            <w:shd w:val="clear" w:color="auto" w:fill="BFCED6"/>
          </w:tcPr>
          <w:p w14:paraId="2AF3BA9B" w14:textId="6139599B" w:rsidR="0065124E" w:rsidRPr="007B08C1" w:rsidRDefault="0065124E" w:rsidP="0065124E">
            <w:pPr>
              <w:jc w:val="center"/>
              <w:rPr>
                <w:rFonts w:ascii="VIC" w:hAnsi="VIC"/>
                <w:sz w:val="18"/>
                <w:szCs w:val="18"/>
              </w:rPr>
            </w:pPr>
            <w:r w:rsidRPr="00BF7527">
              <w:rPr>
                <w:rFonts w:ascii="VIC" w:eastAsia="Verdana" w:hAnsi="VIC"/>
                <w:color w:val="000000"/>
                <w:sz w:val="18"/>
                <w:szCs w:val="18"/>
              </w:rPr>
              <w:t>93 %</w:t>
            </w:r>
          </w:p>
        </w:tc>
      </w:tr>
      <w:tr w:rsidR="0065124E" w:rsidRPr="007B08C1" w14:paraId="4C79F929" w14:textId="77777777" w:rsidTr="00D067E7">
        <w:tc>
          <w:tcPr>
            <w:tcW w:w="1145" w:type="dxa"/>
            <w:shd w:val="clear" w:color="auto" w:fill="FFFFFF" w:themeFill="background1"/>
          </w:tcPr>
          <w:p w14:paraId="3ED833E1" w14:textId="6A4875C7" w:rsidR="0065124E" w:rsidRPr="007B08C1" w:rsidRDefault="0065124E" w:rsidP="0065124E">
            <w:pPr>
              <w:rPr>
                <w:rFonts w:ascii="VIC" w:hAnsi="VIC"/>
                <w:sz w:val="18"/>
                <w:szCs w:val="18"/>
              </w:rPr>
            </w:pPr>
            <w:r w:rsidRPr="00BF7527">
              <w:rPr>
                <w:rFonts w:ascii="VIC" w:eastAsia="Verdana" w:hAnsi="VIC"/>
                <w:color w:val="000000"/>
                <w:sz w:val="18"/>
                <w:szCs w:val="18"/>
              </w:rPr>
              <w:t>Mildura Base Hospital</w:t>
            </w:r>
          </w:p>
        </w:tc>
        <w:tc>
          <w:tcPr>
            <w:tcW w:w="1701" w:type="dxa"/>
            <w:shd w:val="clear" w:color="auto" w:fill="FFFFFF" w:themeFill="background1"/>
          </w:tcPr>
          <w:p w14:paraId="074B07CC" w14:textId="10728892" w:rsidR="0065124E" w:rsidRPr="007B08C1" w:rsidRDefault="0065124E" w:rsidP="0065124E">
            <w:pPr>
              <w:rPr>
                <w:rFonts w:ascii="VIC" w:hAnsi="VIC"/>
                <w:sz w:val="18"/>
                <w:szCs w:val="18"/>
              </w:rPr>
            </w:pPr>
            <w:r w:rsidRPr="00BF7527">
              <w:rPr>
                <w:rFonts w:ascii="VIC" w:eastAsia="Verdana" w:hAnsi="VIC"/>
                <w:color w:val="000000"/>
                <w:sz w:val="18"/>
                <w:szCs w:val="18"/>
              </w:rPr>
              <w:t>Northern Mallee</w:t>
            </w:r>
          </w:p>
        </w:tc>
        <w:tc>
          <w:tcPr>
            <w:tcW w:w="1074" w:type="dxa"/>
            <w:shd w:val="clear" w:color="auto" w:fill="FFFFFF" w:themeFill="background1"/>
          </w:tcPr>
          <w:p w14:paraId="6476D468" w14:textId="14EE0D4D" w:rsidR="0065124E" w:rsidRPr="007B08C1" w:rsidRDefault="0065124E" w:rsidP="0065124E">
            <w:pPr>
              <w:jc w:val="center"/>
              <w:rPr>
                <w:rFonts w:ascii="VIC" w:hAnsi="VIC"/>
                <w:sz w:val="18"/>
                <w:szCs w:val="18"/>
              </w:rPr>
            </w:pPr>
            <w:r w:rsidRPr="00BF7527">
              <w:rPr>
                <w:rFonts w:ascii="VIC" w:eastAsia="Verdana" w:hAnsi="VIC"/>
                <w:color w:val="000000"/>
                <w:sz w:val="18"/>
                <w:szCs w:val="18"/>
              </w:rPr>
              <w:t>1.7</w:t>
            </w:r>
          </w:p>
        </w:tc>
        <w:tc>
          <w:tcPr>
            <w:tcW w:w="1075" w:type="dxa"/>
            <w:shd w:val="clear" w:color="auto" w:fill="FFFFFF" w:themeFill="background1"/>
          </w:tcPr>
          <w:p w14:paraId="3DBF7592" w14:textId="0B8108A9" w:rsidR="0065124E" w:rsidRPr="007B08C1" w:rsidRDefault="0065124E" w:rsidP="0065124E">
            <w:pPr>
              <w:jc w:val="center"/>
              <w:rPr>
                <w:rFonts w:ascii="VIC" w:hAnsi="VIC"/>
                <w:sz w:val="18"/>
                <w:szCs w:val="18"/>
              </w:rPr>
            </w:pPr>
            <w:r w:rsidRPr="00BF7527">
              <w:rPr>
                <w:rFonts w:ascii="VIC" w:eastAsia="Verdana" w:hAnsi="VIC"/>
                <w:color w:val="000000"/>
                <w:sz w:val="18"/>
                <w:szCs w:val="18"/>
              </w:rPr>
              <w:t>37 %</w:t>
            </w:r>
          </w:p>
        </w:tc>
        <w:tc>
          <w:tcPr>
            <w:tcW w:w="1075" w:type="dxa"/>
            <w:shd w:val="clear" w:color="auto" w:fill="FFFFFF" w:themeFill="background1"/>
          </w:tcPr>
          <w:p w14:paraId="750E2911" w14:textId="7035EC05" w:rsidR="0065124E" w:rsidRPr="007B08C1" w:rsidRDefault="0065124E" w:rsidP="0065124E">
            <w:pPr>
              <w:jc w:val="center"/>
              <w:rPr>
                <w:rFonts w:ascii="VIC" w:hAnsi="VIC"/>
                <w:sz w:val="18"/>
                <w:szCs w:val="18"/>
              </w:rPr>
            </w:pPr>
            <w:r w:rsidRPr="00BF7527">
              <w:rPr>
                <w:rFonts w:ascii="VIC" w:eastAsia="Verdana" w:hAnsi="VIC"/>
                <w:color w:val="000000"/>
                <w:sz w:val="18"/>
                <w:szCs w:val="18"/>
              </w:rPr>
              <w:t>8.5</w:t>
            </w:r>
          </w:p>
        </w:tc>
        <w:tc>
          <w:tcPr>
            <w:tcW w:w="1075" w:type="dxa"/>
            <w:shd w:val="clear" w:color="auto" w:fill="FFFFFF" w:themeFill="background1"/>
          </w:tcPr>
          <w:p w14:paraId="3B4A78DF" w14:textId="5FAC7799" w:rsidR="0065124E" w:rsidRPr="007B08C1" w:rsidRDefault="0065124E" w:rsidP="0065124E">
            <w:pPr>
              <w:jc w:val="center"/>
              <w:rPr>
                <w:rFonts w:ascii="VIC" w:hAnsi="VIC"/>
                <w:sz w:val="18"/>
                <w:szCs w:val="18"/>
              </w:rPr>
            </w:pPr>
            <w:r w:rsidRPr="00BF7527">
              <w:rPr>
                <w:rFonts w:ascii="VIC" w:eastAsia="Verdana" w:hAnsi="VIC"/>
                <w:color w:val="000000"/>
                <w:sz w:val="18"/>
                <w:szCs w:val="18"/>
              </w:rPr>
              <w:t>0 %</w:t>
            </w:r>
          </w:p>
        </w:tc>
        <w:tc>
          <w:tcPr>
            <w:tcW w:w="1087" w:type="dxa"/>
            <w:shd w:val="clear" w:color="auto" w:fill="FFFFFF" w:themeFill="background1"/>
          </w:tcPr>
          <w:p w14:paraId="330BDB0E" w14:textId="7675051E" w:rsidR="0065124E" w:rsidRPr="007B08C1" w:rsidRDefault="0065124E" w:rsidP="0065124E">
            <w:pPr>
              <w:jc w:val="center"/>
              <w:rPr>
                <w:rFonts w:ascii="VIC" w:hAnsi="VIC"/>
                <w:sz w:val="18"/>
                <w:szCs w:val="18"/>
              </w:rPr>
            </w:pPr>
            <w:r w:rsidRPr="00BF7527">
              <w:rPr>
                <w:rFonts w:ascii="VIC" w:eastAsia="Verdana" w:hAnsi="VIC"/>
                <w:color w:val="000000"/>
                <w:sz w:val="18"/>
                <w:szCs w:val="18"/>
              </w:rPr>
              <w:t>17 %</w:t>
            </w:r>
          </w:p>
        </w:tc>
        <w:tc>
          <w:tcPr>
            <w:tcW w:w="1063" w:type="dxa"/>
            <w:shd w:val="clear" w:color="auto" w:fill="FFFFFF" w:themeFill="background1"/>
          </w:tcPr>
          <w:p w14:paraId="68DF6BF8" w14:textId="02523641" w:rsidR="0065124E" w:rsidRPr="007B08C1" w:rsidRDefault="0065124E" w:rsidP="0065124E">
            <w:pPr>
              <w:jc w:val="center"/>
              <w:rPr>
                <w:rFonts w:ascii="VIC" w:hAnsi="VIC"/>
                <w:sz w:val="18"/>
                <w:szCs w:val="18"/>
              </w:rPr>
            </w:pPr>
            <w:r w:rsidRPr="00BF7527">
              <w:rPr>
                <w:rFonts w:ascii="VIC" w:eastAsia="Verdana" w:hAnsi="VIC"/>
                <w:color w:val="000000"/>
                <w:sz w:val="18"/>
                <w:szCs w:val="18"/>
              </w:rPr>
              <w:t>0 %</w:t>
            </w:r>
          </w:p>
        </w:tc>
        <w:tc>
          <w:tcPr>
            <w:tcW w:w="1075" w:type="dxa"/>
            <w:shd w:val="clear" w:color="auto" w:fill="FFFFFF" w:themeFill="background1"/>
          </w:tcPr>
          <w:p w14:paraId="5E3DF8A9" w14:textId="26F813E3" w:rsidR="0065124E" w:rsidRPr="007B08C1"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FFFFFF" w:themeFill="background1"/>
          </w:tcPr>
          <w:p w14:paraId="0A7956FF" w14:textId="161FAEC1" w:rsidR="0065124E" w:rsidRPr="007B08C1"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shd w:val="clear" w:color="auto" w:fill="FFFFFF" w:themeFill="background1"/>
          </w:tcPr>
          <w:p w14:paraId="6C0B21D1" w14:textId="587FF0F0" w:rsidR="0065124E" w:rsidRPr="007B08C1"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shd w:val="clear" w:color="auto" w:fill="FFFFFF" w:themeFill="background1"/>
          </w:tcPr>
          <w:p w14:paraId="021D3D13" w14:textId="3F4B0453" w:rsidR="0065124E" w:rsidRPr="007B08C1" w:rsidRDefault="0065124E" w:rsidP="0065124E">
            <w:pPr>
              <w:jc w:val="center"/>
              <w:rPr>
                <w:rFonts w:ascii="VIC" w:hAnsi="VIC"/>
                <w:sz w:val="18"/>
                <w:szCs w:val="18"/>
              </w:rPr>
            </w:pPr>
            <w:r w:rsidRPr="00BF7527">
              <w:rPr>
                <w:rFonts w:ascii="VIC" w:eastAsia="Verdana" w:hAnsi="VIC"/>
                <w:color w:val="000000"/>
                <w:sz w:val="18"/>
                <w:szCs w:val="18"/>
              </w:rPr>
              <w:t>86 %</w:t>
            </w:r>
          </w:p>
        </w:tc>
        <w:tc>
          <w:tcPr>
            <w:tcW w:w="1075" w:type="dxa"/>
            <w:shd w:val="clear" w:color="auto" w:fill="FFFFFF" w:themeFill="background1"/>
          </w:tcPr>
          <w:p w14:paraId="36BCB5FA" w14:textId="3BF1B586" w:rsidR="0065124E" w:rsidRPr="007B08C1"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FFFFFF" w:themeFill="background1"/>
          </w:tcPr>
          <w:p w14:paraId="009E1AE2" w14:textId="42CDB98F" w:rsidR="0065124E" w:rsidRPr="007B08C1" w:rsidRDefault="0065124E" w:rsidP="0065124E">
            <w:pPr>
              <w:jc w:val="center"/>
              <w:rPr>
                <w:rFonts w:ascii="VIC" w:hAnsi="VIC"/>
                <w:sz w:val="18"/>
                <w:szCs w:val="18"/>
              </w:rPr>
            </w:pPr>
            <w:r w:rsidRPr="00BF7527">
              <w:rPr>
                <w:rFonts w:ascii="VIC" w:eastAsia="Verdana" w:hAnsi="VIC"/>
                <w:color w:val="000000"/>
                <w:sz w:val="18"/>
                <w:szCs w:val="18"/>
              </w:rPr>
              <w:t>83 %</w:t>
            </w:r>
          </w:p>
        </w:tc>
      </w:tr>
      <w:tr w:rsidR="0065124E" w:rsidRPr="007B08C1" w14:paraId="3A22720C" w14:textId="77777777" w:rsidTr="00D067E7">
        <w:tc>
          <w:tcPr>
            <w:tcW w:w="1145" w:type="dxa"/>
            <w:shd w:val="clear" w:color="auto" w:fill="BFCED6"/>
          </w:tcPr>
          <w:p w14:paraId="7E588869" w14:textId="69FEFAA5" w:rsidR="0065124E" w:rsidRPr="007B08C1" w:rsidRDefault="0065124E" w:rsidP="0065124E">
            <w:pPr>
              <w:rPr>
                <w:rFonts w:ascii="VIC" w:hAnsi="VIC"/>
                <w:sz w:val="18"/>
                <w:szCs w:val="18"/>
              </w:rPr>
            </w:pPr>
            <w:r w:rsidRPr="00BF7527">
              <w:rPr>
                <w:rFonts w:ascii="VIC" w:eastAsia="Verdana" w:hAnsi="VIC"/>
                <w:color w:val="000000"/>
                <w:sz w:val="18"/>
                <w:szCs w:val="18"/>
              </w:rPr>
              <w:t>Albury Wodonga Health</w:t>
            </w:r>
          </w:p>
        </w:tc>
        <w:tc>
          <w:tcPr>
            <w:tcW w:w="1701" w:type="dxa"/>
            <w:shd w:val="clear" w:color="auto" w:fill="BFCED6"/>
          </w:tcPr>
          <w:p w14:paraId="25762CBE" w14:textId="0F2FD8BB" w:rsidR="0065124E" w:rsidRPr="007B08C1" w:rsidRDefault="0065124E" w:rsidP="0065124E">
            <w:pPr>
              <w:rPr>
                <w:rFonts w:ascii="VIC" w:hAnsi="VIC"/>
                <w:sz w:val="18"/>
                <w:szCs w:val="18"/>
              </w:rPr>
            </w:pPr>
            <w:r w:rsidRPr="00BF7527">
              <w:rPr>
                <w:rFonts w:ascii="VIC" w:eastAsia="Verdana" w:hAnsi="VIC"/>
                <w:color w:val="000000"/>
                <w:sz w:val="18"/>
                <w:szCs w:val="18"/>
              </w:rPr>
              <w:t>North East &amp; Border</w:t>
            </w:r>
          </w:p>
        </w:tc>
        <w:tc>
          <w:tcPr>
            <w:tcW w:w="1074" w:type="dxa"/>
            <w:shd w:val="clear" w:color="auto" w:fill="BFCED6"/>
          </w:tcPr>
          <w:p w14:paraId="419F2D98" w14:textId="399A24AC" w:rsidR="0065124E" w:rsidRPr="007B08C1" w:rsidRDefault="0065124E" w:rsidP="0065124E">
            <w:pPr>
              <w:jc w:val="center"/>
              <w:rPr>
                <w:rFonts w:ascii="VIC" w:hAnsi="VIC"/>
                <w:sz w:val="18"/>
                <w:szCs w:val="18"/>
              </w:rPr>
            </w:pPr>
            <w:r w:rsidRPr="00BF7527">
              <w:rPr>
                <w:rFonts w:ascii="VIC" w:eastAsia="Verdana" w:hAnsi="VIC"/>
                <w:color w:val="000000"/>
                <w:sz w:val="18"/>
                <w:szCs w:val="18"/>
              </w:rPr>
              <w:t>1.7</w:t>
            </w:r>
          </w:p>
        </w:tc>
        <w:tc>
          <w:tcPr>
            <w:tcW w:w="1075" w:type="dxa"/>
            <w:shd w:val="clear" w:color="auto" w:fill="BFCED6"/>
          </w:tcPr>
          <w:p w14:paraId="12A4FF61" w14:textId="697DB0CD" w:rsidR="0065124E" w:rsidRPr="007B08C1" w:rsidRDefault="0065124E" w:rsidP="0065124E">
            <w:pPr>
              <w:jc w:val="center"/>
              <w:rPr>
                <w:rFonts w:ascii="VIC" w:hAnsi="VIC"/>
                <w:sz w:val="18"/>
                <w:szCs w:val="18"/>
              </w:rPr>
            </w:pPr>
            <w:r w:rsidRPr="00BF7527">
              <w:rPr>
                <w:rFonts w:ascii="VIC" w:eastAsia="Verdana" w:hAnsi="VIC"/>
                <w:color w:val="000000"/>
                <w:sz w:val="18"/>
                <w:szCs w:val="18"/>
              </w:rPr>
              <w:t>30 %</w:t>
            </w:r>
          </w:p>
        </w:tc>
        <w:tc>
          <w:tcPr>
            <w:tcW w:w="1075" w:type="dxa"/>
            <w:shd w:val="clear" w:color="auto" w:fill="BFCED6"/>
          </w:tcPr>
          <w:p w14:paraId="5EE5F9F0" w14:textId="15F48BE8" w:rsidR="0065124E" w:rsidRPr="007B08C1" w:rsidRDefault="0065124E" w:rsidP="0065124E">
            <w:pPr>
              <w:jc w:val="center"/>
              <w:rPr>
                <w:rFonts w:ascii="VIC" w:hAnsi="VIC"/>
                <w:sz w:val="18"/>
                <w:szCs w:val="18"/>
              </w:rPr>
            </w:pPr>
            <w:r w:rsidRPr="00BF7527">
              <w:rPr>
                <w:rFonts w:ascii="VIC" w:eastAsia="Verdana" w:hAnsi="VIC"/>
                <w:color w:val="000000"/>
                <w:sz w:val="18"/>
                <w:szCs w:val="18"/>
              </w:rPr>
              <w:t>16.5</w:t>
            </w:r>
          </w:p>
        </w:tc>
        <w:tc>
          <w:tcPr>
            <w:tcW w:w="1075" w:type="dxa"/>
            <w:shd w:val="clear" w:color="auto" w:fill="BFCED6"/>
          </w:tcPr>
          <w:p w14:paraId="37B253E4" w14:textId="61A7F82E" w:rsidR="0065124E" w:rsidRPr="007B08C1" w:rsidRDefault="0065124E" w:rsidP="0065124E">
            <w:pPr>
              <w:jc w:val="center"/>
              <w:rPr>
                <w:rFonts w:ascii="VIC" w:hAnsi="VIC"/>
                <w:sz w:val="18"/>
                <w:szCs w:val="18"/>
              </w:rPr>
            </w:pPr>
            <w:r w:rsidRPr="00BF7527">
              <w:rPr>
                <w:rFonts w:ascii="VIC" w:eastAsia="Verdana" w:hAnsi="VIC"/>
                <w:color w:val="000000"/>
                <w:sz w:val="18"/>
                <w:szCs w:val="18"/>
              </w:rPr>
              <w:t>17 %</w:t>
            </w:r>
          </w:p>
        </w:tc>
        <w:tc>
          <w:tcPr>
            <w:tcW w:w="1087" w:type="dxa"/>
            <w:shd w:val="clear" w:color="auto" w:fill="BFCED6"/>
          </w:tcPr>
          <w:p w14:paraId="4F49144A" w14:textId="03E8DFB2" w:rsidR="0065124E" w:rsidRPr="007B08C1" w:rsidRDefault="0065124E" w:rsidP="0065124E">
            <w:pPr>
              <w:jc w:val="center"/>
              <w:rPr>
                <w:rFonts w:ascii="VIC" w:hAnsi="VIC"/>
                <w:sz w:val="18"/>
                <w:szCs w:val="18"/>
              </w:rPr>
            </w:pPr>
            <w:r w:rsidRPr="00BF7527">
              <w:rPr>
                <w:rFonts w:ascii="VIC" w:eastAsia="Verdana" w:hAnsi="VIC"/>
                <w:color w:val="000000"/>
                <w:sz w:val="18"/>
                <w:szCs w:val="18"/>
              </w:rPr>
              <w:t>0 %</w:t>
            </w:r>
          </w:p>
        </w:tc>
        <w:tc>
          <w:tcPr>
            <w:tcW w:w="1063" w:type="dxa"/>
            <w:shd w:val="clear" w:color="auto" w:fill="BFCED6"/>
          </w:tcPr>
          <w:p w14:paraId="419C3925" w14:textId="17DA611F" w:rsidR="0065124E" w:rsidRPr="007B08C1" w:rsidRDefault="0065124E" w:rsidP="0065124E">
            <w:pPr>
              <w:jc w:val="center"/>
              <w:rPr>
                <w:rFonts w:ascii="VIC" w:hAnsi="VIC"/>
                <w:sz w:val="18"/>
                <w:szCs w:val="18"/>
              </w:rPr>
            </w:pPr>
            <w:r w:rsidRPr="00BF7527">
              <w:rPr>
                <w:rFonts w:ascii="VIC" w:eastAsia="Verdana" w:hAnsi="VIC"/>
                <w:color w:val="000000"/>
                <w:sz w:val="18"/>
                <w:szCs w:val="18"/>
              </w:rPr>
              <w:t>0 %</w:t>
            </w:r>
          </w:p>
        </w:tc>
        <w:tc>
          <w:tcPr>
            <w:tcW w:w="1075" w:type="dxa"/>
            <w:shd w:val="clear" w:color="auto" w:fill="BFCED6"/>
          </w:tcPr>
          <w:p w14:paraId="21490740" w14:textId="2FCC913E" w:rsidR="0065124E" w:rsidRPr="007B08C1"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BFCED6"/>
          </w:tcPr>
          <w:p w14:paraId="09A7EEAE" w14:textId="55ECCD17" w:rsidR="0065124E" w:rsidRPr="007B08C1"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shd w:val="clear" w:color="auto" w:fill="BFCED6"/>
          </w:tcPr>
          <w:p w14:paraId="0A7C472E" w14:textId="7884D5D3" w:rsidR="0065124E" w:rsidRPr="007B08C1"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shd w:val="clear" w:color="auto" w:fill="BFCED6"/>
          </w:tcPr>
          <w:p w14:paraId="5CC36B81" w14:textId="1B0C0421" w:rsidR="0065124E" w:rsidRPr="007B08C1"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BFCED6"/>
          </w:tcPr>
          <w:p w14:paraId="50000BC1" w14:textId="37071EDC" w:rsidR="0065124E" w:rsidRPr="007B08C1" w:rsidRDefault="0065124E" w:rsidP="0065124E">
            <w:pPr>
              <w:jc w:val="center"/>
              <w:rPr>
                <w:rFonts w:ascii="VIC" w:hAnsi="VIC"/>
                <w:sz w:val="18"/>
                <w:szCs w:val="18"/>
              </w:rPr>
            </w:pPr>
            <w:r w:rsidRPr="00BF7527">
              <w:rPr>
                <w:rFonts w:ascii="VIC" w:eastAsia="Verdana" w:hAnsi="VIC"/>
                <w:color w:val="000000"/>
                <w:sz w:val="18"/>
                <w:szCs w:val="18"/>
              </w:rPr>
              <w:t>86 %</w:t>
            </w:r>
          </w:p>
        </w:tc>
        <w:tc>
          <w:tcPr>
            <w:tcW w:w="1075" w:type="dxa"/>
            <w:shd w:val="clear" w:color="auto" w:fill="BFCED6"/>
          </w:tcPr>
          <w:p w14:paraId="2CCFC76D" w14:textId="2737B298" w:rsidR="0065124E" w:rsidRPr="007B08C1" w:rsidRDefault="0065124E" w:rsidP="0065124E">
            <w:pPr>
              <w:jc w:val="center"/>
              <w:rPr>
                <w:rFonts w:ascii="VIC" w:hAnsi="VIC"/>
                <w:sz w:val="18"/>
                <w:szCs w:val="18"/>
              </w:rPr>
            </w:pPr>
            <w:r w:rsidRPr="00BF7527">
              <w:rPr>
                <w:rFonts w:ascii="VIC" w:eastAsia="Verdana" w:hAnsi="VIC"/>
                <w:color w:val="000000"/>
                <w:sz w:val="18"/>
                <w:szCs w:val="18"/>
              </w:rPr>
              <w:t>92 %</w:t>
            </w:r>
          </w:p>
        </w:tc>
      </w:tr>
      <w:tr w:rsidR="0065124E" w:rsidRPr="007B08C1" w14:paraId="06A549F7" w14:textId="77777777" w:rsidTr="00D067E7">
        <w:tc>
          <w:tcPr>
            <w:tcW w:w="1145" w:type="dxa"/>
            <w:shd w:val="clear" w:color="auto" w:fill="FFFFFF" w:themeFill="background1"/>
          </w:tcPr>
          <w:p w14:paraId="567DFAD8" w14:textId="73C14185" w:rsidR="0065124E" w:rsidRPr="007B08C1" w:rsidRDefault="0065124E" w:rsidP="0065124E">
            <w:pPr>
              <w:rPr>
                <w:rFonts w:ascii="VIC" w:hAnsi="VIC"/>
                <w:sz w:val="18"/>
                <w:szCs w:val="18"/>
              </w:rPr>
            </w:pPr>
            <w:r w:rsidRPr="00BF7527">
              <w:rPr>
                <w:rFonts w:ascii="VIC" w:eastAsia="Verdana" w:hAnsi="VIC"/>
                <w:color w:val="000000"/>
                <w:sz w:val="18"/>
                <w:szCs w:val="18"/>
              </w:rPr>
              <w:t>South West Health</w:t>
            </w:r>
          </w:p>
        </w:tc>
        <w:tc>
          <w:tcPr>
            <w:tcW w:w="1701" w:type="dxa"/>
            <w:shd w:val="clear" w:color="auto" w:fill="FFFFFF" w:themeFill="background1"/>
          </w:tcPr>
          <w:p w14:paraId="3A0D0B0F" w14:textId="6846BD82" w:rsidR="0065124E" w:rsidRPr="007B08C1" w:rsidRDefault="0065124E" w:rsidP="0065124E">
            <w:pPr>
              <w:rPr>
                <w:rFonts w:ascii="VIC" w:hAnsi="VIC"/>
                <w:sz w:val="18"/>
                <w:szCs w:val="18"/>
              </w:rPr>
            </w:pPr>
            <w:r w:rsidRPr="00BF7527">
              <w:rPr>
                <w:rFonts w:ascii="VIC" w:eastAsia="Verdana" w:hAnsi="VIC"/>
                <w:color w:val="000000"/>
                <w:sz w:val="18"/>
                <w:szCs w:val="18"/>
              </w:rPr>
              <w:t>South West Health Care</w:t>
            </w:r>
          </w:p>
        </w:tc>
        <w:tc>
          <w:tcPr>
            <w:tcW w:w="1074" w:type="dxa"/>
            <w:shd w:val="clear" w:color="auto" w:fill="FFFFFF" w:themeFill="background1"/>
          </w:tcPr>
          <w:p w14:paraId="216E0914" w14:textId="7CE11FDB" w:rsidR="0065124E" w:rsidRPr="007B08C1" w:rsidRDefault="0065124E" w:rsidP="0065124E">
            <w:pPr>
              <w:jc w:val="center"/>
              <w:rPr>
                <w:rFonts w:ascii="VIC" w:hAnsi="VIC"/>
                <w:sz w:val="18"/>
                <w:szCs w:val="18"/>
              </w:rPr>
            </w:pPr>
            <w:r w:rsidRPr="00BF7527">
              <w:rPr>
                <w:rFonts w:ascii="VIC" w:eastAsia="Verdana" w:hAnsi="VIC"/>
                <w:color w:val="000000"/>
                <w:sz w:val="18"/>
                <w:szCs w:val="18"/>
              </w:rPr>
              <w:t>2.3</w:t>
            </w:r>
          </w:p>
        </w:tc>
        <w:tc>
          <w:tcPr>
            <w:tcW w:w="1075" w:type="dxa"/>
            <w:shd w:val="clear" w:color="auto" w:fill="FFFFFF" w:themeFill="background1"/>
          </w:tcPr>
          <w:p w14:paraId="155F1AD0" w14:textId="63900985" w:rsidR="0065124E" w:rsidRPr="007B08C1" w:rsidRDefault="0065124E" w:rsidP="0065124E">
            <w:pPr>
              <w:jc w:val="center"/>
              <w:rPr>
                <w:rFonts w:ascii="VIC" w:hAnsi="VIC"/>
                <w:sz w:val="18"/>
                <w:szCs w:val="18"/>
              </w:rPr>
            </w:pPr>
            <w:r w:rsidRPr="00BF7527">
              <w:rPr>
                <w:rFonts w:ascii="VIC" w:eastAsia="Verdana" w:hAnsi="VIC"/>
                <w:color w:val="000000"/>
                <w:sz w:val="18"/>
                <w:szCs w:val="18"/>
              </w:rPr>
              <w:t>32 %</w:t>
            </w:r>
          </w:p>
        </w:tc>
        <w:tc>
          <w:tcPr>
            <w:tcW w:w="1075" w:type="dxa"/>
            <w:shd w:val="clear" w:color="auto" w:fill="FFFFFF" w:themeFill="background1"/>
          </w:tcPr>
          <w:p w14:paraId="7C94492B" w14:textId="27CA21FD" w:rsidR="0065124E" w:rsidRPr="007B08C1" w:rsidRDefault="0065124E" w:rsidP="0065124E">
            <w:pPr>
              <w:jc w:val="center"/>
              <w:rPr>
                <w:rFonts w:ascii="VIC" w:hAnsi="VIC"/>
                <w:sz w:val="18"/>
                <w:szCs w:val="18"/>
              </w:rPr>
            </w:pPr>
            <w:r w:rsidRPr="00BF7527">
              <w:rPr>
                <w:rFonts w:ascii="VIC" w:eastAsia="Verdana" w:hAnsi="VIC"/>
                <w:color w:val="000000"/>
                <w:sz w:val="18"/>
                <w:szCs w:val="18"/>
              </w:rPr>
              <w:t>11.0</w:t>
            </w:r>
          </w:p>
        </w:tc>
        <w:tc>
          <w:tcPr>
            <w:tcW w:w="1075" w:type="dxa"/>
            <w:shd w:val="clear" w:color="auto" w:fill="FFFFFF" w:themeFill="background1"/>
          </w:tcPr>
          <w:p w14:paraId="5FC7EBE2" w14:textId="1086A541" w:rsidR="0065124E" w:rsidRPr="007B08C1" w:rsidRDefault="0065124E" w:rsidP="0065124E">
            <w:pPr>
              <w:jc w:val="center"/>
              <w:rPr>
                <w:rFonts w:ascii="VIC" w:hAnsi="VIC"/>
                <w:sz w:val="18"/>
                <w:szCs w:val="18"/>
              </w:rPr>
            </w:pPr>
            <w:r w:rsidRPr="00BF7527">
              <w:rPr>
                <w:rFonts w:ascii="VIC" w:eastAsia="Verdana" w:hAnsi="VIC"/>
                <w:color w:val="000000"/>
                <w:sz w:val="18"/>
                <w:szCs w:val="18"/>
              </w:rPr>
              <w:t>1 %</w:t>
            </w:r>
          </w:p>
        </w:tc>
        <w:tc>
          <w:tcPr>
            <w:tcW w:w="1087" w:type="dxa"/>
            <w:shd w:val="clear" w:color="auto" w:fill="FFFFFF" w:themeFill="background1"/>
          </w:tcPr>
          <w:p w14:paraId="13B12149" w14:textId="187E66E3" w:rsidR="0065124E" w:rsidRPr="007B08C1" w:rsidRDefault="0065124E" w:rsidP="0065124E">
            <w:pPr>
              <w:jc w:val="center"/>
              <w:rPr>
                <w:rFonts w:ascii="VIC" w:hAnsi="VIC"/>
                <w:sz w:val="18"/>
                <w:szCs w:val="18"/>
              </w:rPr>
            </w:pPr>
            <w:r w:rsidRPr="00BF7527">
              <w:rPr>
                <w:rFonts w:ascii="VIC" w:eastAsia="Verdana" w:hAnsi="VIC"/>
                <w:color w:val="000000"/>
                <w:sz w:val="18"/>
                <w:szCs w:val="18"/>
              </w:rPr>
              <w:t>14 %</w:t>
            </w:r>
          </w:p>
        </w:tc>
        <w:tc>
          <w:tcPr>
            <w:tcW w:w="1063" w:type="dxa"/>
            <w:shd w:val="clear" w:color="auto" w:fill="FFFFFF" w:themeFill="background1"/>
          </w:tcPr>
          <w:p w14:paraId="0D569B61" w14:textId="443DD5C0" w:rsidR="0065124E" w:rsidRPr="007B08C1" w:rsidRDefault="0065124E" w:rsidP="0065124E">
            <w:pPr>
              <w:jc w:val="center"/>
              <w:rPr>
                <w:rFonts w:ascii="VIC" w:hAnsi="VIC"/>
                <w:sz w:val="18"/>
                <w:szCs w:val="18"/>
              </w:rPr>
            </w:pPr>
            <w:r w:rsidRPr="00BF7527">
              <w:rPr>
                <w:rFonts w:ascii="VIC" w:eastAsia="Verdana" w:hAnsi="VIC"/>
                <w:color w:val="000000"/>
                <w:sz w:val="18"/>
                <w:szCs w:val="18"/>
              </w:rPr>
              <w:t>13 %</w:t>
            </w:r>
          </w:p>
        </w:tc>
        <w:tc>
          <w:tcPr>
            <w:tcW w:w="1075" w:type="dxa"/>
            <w:shd w:val="clear" w:color="auto" w:fill="FFFFFF" w:themeFill="background1"/>
          </w:tcPr>
          <w:p w14:paraId="4E939202" w14:textId="133E04F0" w:rsidR="0065124E" w:rsidRPr="007B08C1"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FFFFFF" w:themeFill="background1"/>
          </w:tcPr>
          <w:p w14:paraId="0E55324B" w14:textId="4D502B07" w:rsidR="0065124E" w:rsidRPr="007B08C1"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shd w:val="clear" w:color="auto" w:fill="FFFFFF" w:themeFill="background1"/>
          </w:tcPr>
          <w:p w14:paraId="7577195F" w14:textId="178F7C18" w:rsidR="0065124E" w:rsidRPr="007B08C1"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shd w:val="clear" w:color="auto" w:fill="FFFFFF" w:themeFill="background1"/>
          </w:tcPr>
          <w:p w14:paraId="75153F34" w14:textId="7698624F" w:rsidR="0065124E" w:rsidRPr="007B08C1" w:rsidRDefault="0065124E" w:rsidP="0065124E">
            <w:pPr>
              <w:jc w:val="center"/>
              <w:rPr>
                <w:rFonts w:ascii="VIC" w:hAnsi="VIC"/>
                <w:sz w:val="18"/>
                <w:szCs w:val="18"/>
              </w:rPr>
            </w:pPr>
            <w:r w:rsidRPr="00BF7527">
              <w:rPr>
                <w:rFonts w:ascii="VIC" w:eastAsia="Verdana" w:hAnsi="VIC"/>
                <w:color w:val="000000"/>
                <w:sz w:val="18"/>
                <w:szCs w:val="18"/>
              </w:rPr>
              <w:t>88 %</w:t>
            </w:r>
          </w:p>
        </w:tc>
        <w:tc>
          <w:tcPr>
            <w:tcW w:w="1075" w:type="dxa"/>
            <w:shd w:val="clear" w:color="auto" w:fill="FFFFFF" w:themeFill="background1"/>
          </w:tcPr>
          <w:p w14:paraId="4B26AB18" w14:textId="4F005660" w:rsidR="0065124E" w:rsidRPr="007B08C1"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FFFFFF" w:themeFill="background1"/>
          </w:tcPr>
          <w:p w14:paraId="257EA5A4" w14:textId="5AFE8D72" w:rsidR="0065124E" w:rsidRPr="007B08C1" w:rsidRDefault="0065124E" w:rsidP="0065124E">
            <w:pPr>
              <w:jc w:val="center"/>
              <w:rPr>
                <w:rFonts w:ascii="VIC" w:hAnsi="VIC"/>
                <w:sz w:val="18"/>
                <w:szCs w:val="18"/>
              </w:rPr>
            </w:pPr>
            <w:r w:rsidRPr="00BF7527">
              <w:rPr>
                <w:rFonts w:ascii="VIC" w:eastAsia="Verdana" w:hAnsi="VIC"/>
                <w:color w:val="000000"/>
                <w:sz w:val="18"/>
                <w:szCs w:val="18"/>
              </w:rPr>
              <w:t>50 %</w:t>
            </w:r>
          </w:p>
        </w:tc>
      </w:tr>
      <w:tr w:rsidR="0065124E" w:rsidRPr="0065124E" w14:paraId="2E92207F" w14:textId="77777777" w:rsidTr="00D067E7">
        <w:tc>
          <w:tcPr>
            <w:tcW w:w="1145" w:type="dxa"/>
            <w:shd w:val="clear" w:color="auto" w:fill="B1C9E8"/>
          </w:tcPr>
          <w:p w14:paraId="0E1343DA" w14:textId="7A886A38" w:rsidR="0065124E" w:rsidRPr="0065124E" w:rsidRDefault="0065124E" w:rsidP="0065124E">
            <w:pPr>
              <w:rPr>
                <w:rFonts w:ascii="VIC SemiBold" w:hAnsi="VIC SemiBold"/>
                <w:color w:val="000000" w:themeColor="text1"/>
                <w:sz w:val="18"/>
                <w:szCs w:val="18"/>
              </w:rPr>
            </w:pPr>
            <w:r w:rsidRPr="0065124E">
              <w:rPr>
                <w:rFonts w:ascii="VIC" w:eastAsia="Verdana" w:hAnsi="VIC"/>
                <w:color w:val="000000" w:themeColor="text1"/>
                <w:sz w:val="18"/>
                <w:szCs w:val="18"/>
              </w:rPr>
              <w:t>TOTAL RURAL</w:t>
            </w:r>
          </w:p>
        </w:tc>
        <w:tc>
          <w:tcPr>
            <w:tcW w:w="1701" w:type="dxa"/>
            <w:shd w:val="clear" w:color="auto" w:fill="B1C9E8"/>
          </w:tcPr>
          <w:p w14:paraId="141EC1BD" w14:textId="20EB514C" w:rsidR="0065124E" w:rsidRPr="0065124E" w:rsidRDefault="0065124E" w:rsidP="0065124E">
            <w:pPr>
              <w:rPr>
                <w:rFonts w:ascii="VIC SemiBold" w:hAnsi="VIC SemiBold"/>
                <w:color w:val="000000" w:themeColor="text1"/>
                <w:sz w:val="18"/>
                <w:szCs w:val="18"/>
              </w:rPr>
            </w:pPr>
            <w:r w:rsidRPr="0065124E">
              <w:rPr>
                <w:rFonts w:ascii="VIC" w:eastAsia="Verdana" w:hAnsi="VIC"/>
                <w:color w:val="000000" w:themeColor="text1"/>
                <w:sz w:val="18"/>
                <w:szCs w:val="18"/>
              </w:rPr>
              <w:t xml:space="preserve"> </w:t>
            </w:r>
          </w:p>
        </w:tc>
        <w:tc>
          <w:tcPr>
            <w:tcW w:w="1074" w:type="dxa"/>
            <w:shd w:val="clear" w:color="auto" w:fill="B1C9E8"/>
          </w:tcPr>
          <w:p w14:paraId="7AFB2455" w14:textId="7E9A94CA"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2.0</w:t>
            </w:r>
          </w:p>
        </w:tc>
        <w:tc>
          <w:tcPr>
            <w:tcW w:w="1075" w:type="dxa"/>
            <w:shd w:val="clear" w:color="auto" w:fill="B1C9E8"/>
          </w:tcPr>
          <w:p w14:paraId="0FADC552" w14:textId="0B4B14D4"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68 %</w:t>
            </w:r>
          </w:p>
        </w:tc>
        <w:tc>
          <w:tcPr>
            <w:tcW w:w="1075" w:type="dxa"/>
            <w:shd w:val="clear" w:color="auto" w:fill="B1C9E8"/>
          </w:tcPr>
          <w:p w14:paraId="187798C2" w14:textId="5A6ABDD7"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18.1</w:t>
            </w:r>
          </w:p>
        </w:tc>
        <w:tc>
          <w:tcPr>
            <w:tcW w:w="1075" w:type="dxa"/>
            <w:shd w:val="clear" w:color="auto" w:fill="B1C9E8"/>
          </w:tcPr>
          <w:p w14:paraId="3F2C0645" w14:textId="4C01BD1E"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16 %</w:t>
            </w:r>
          </w:p>
        </w:tc>
        <w:tc>
          <w:tcPr>
            <w:tcW w:w="1087" w:type="dxa"/>
            <w:shd w:val="clear" w:color="auto" w:fill="B1C9E8"/>
          </w:tcPr>
          <w:p w14:paraId="16F95CF6" w14:textId="79C103D5"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6 %</w:t>
            </w:r>
          </w:p>
        </w:tc>
        <w:tc>
          <w:tcPr>
            <w:tcW w:w="1063" w:type="dxa"/>
            <w:shd w:val="clear" w:color="auto" w:fill="B1C9E8"/>
          </w:tcPr>
          <w:p w14:paraId="776FFF50" w14:textId="7CBCFDB5"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17 %</w:t>
            </w:r>
          </w:p>
        </w:tc>
        <w:tc>
          <w:tcPr>
            <w:tcW w:w="1075" w:type="dxa"/>
            <w:shd w:val="clear" w:color="auto" w:fill="B1C9E8"/>
          </w:tcPr>
          <w:p w14:paraId="1EA297E0" w14:textId="795E085B"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98 %</w:t>
            </w:r>
          </w:p>
        </w:tc>
        <w:tc>
          <w:tcPr>
            <w:tcW w:w="1075" w:type="dxa"/>
            <w:shd w:val="clear" w:color="auto" w:fill="B1C9E8"/>
          </w:tcPr>
          <w:p w14:paraId="5EA930EF" w14:textId="277371CA"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3.1</w:t>
            </w:r>
          </w:p>
        </w:tc>
        <w:tc>
          <w:tcPr>
            <w:tcW w:w="1075" w:type="dxa"/>
            <w:shd w:val="clear" w:color="auto" w:fill="B1C9E8"/>
          </w:tcPr>
          <w:p w14:paraId="1BC72262" w14:textId="12E1070F"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0.3</w:t>
            </w:r>
          </w:p>
        </w:tc>
        <w:tc>
          <w:tcPr>
            <w:tcW w:w="1075" w:type="dxa"/>
            <w:shd w:val="clear" w:color="auto" w:fill="B1C9E8"/>
          </w:tcPr>
          <w:p w14:paraId="417ED01C" w14:textId="5DD89886"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71 %</w:t>
            </w:r>
          </w:p>
        </w:tc>
        <w:tc>
          <w:tcPr>
            <w:tcW w:w="1075" w:type="dxa"/>
            <w:shd w:val="clear" w:color="auto" w:fill="B1C9E8"/>
          </w:tcPr>
          <w:p w14:paraId="39029917" w14:textId="596030DC"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93 %</w:t>
            </w:r>
          </w:p>
        </w:tc>
        <w:tc>
          <w:tcPr>
            <w:tcW w:w="1075" w:type="dxa"/>
            <w:shd w:val="clear" w:color="auto" w:fill="B1C9E8"/>
          </w:tcPr>
          <w:p w14:paraId="33B7D5CE" w14:textId="5A3F3C24"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90 %</w:t>
            </w:r>
          </w:p>
        </w:tc>
      </w:tr>
      <w:tr w:rsidR="0065124E" w:rsidRPr="007B08C1" w14:paraId="5A36BEDC" w14:textId="77777777" w:rsidTr="00D067E7">
        <w:tc>
          <w:tcPr>
            <w:tcW w:w="1145" w:type="dxa"/>
            <w:shd w:val="clear" w:color="auto" w:fill="244C5A"/>
          </w:tcPr>
          <w:p w14:paraId="36F567C0" w14:textId="75E8202D" w:rsidR="0065124E" w:rsidRPr="007B08C1" w:rsidRDefault="0065124E" w:rsidP="0065124E">
            <w:pPr>
              <w:rPr>
                <w:rFonts w:ascii="VIC SemiBold" w:hAnsi="VIC SemiBold"/>
                <w:color w:val="FFFFFF" w:themeColor="background1"/>
                <w:sz w:val="18"/>
                <w:szCs w:val="18"/>
              </w:rPr>
            </w:pPr>
            <w:r w:rsidRPr="00BF7527">
              <w:rPr>
                <w:rFonts w:ascii="VIC" w:eastAsia="Verdana" w:hAnsi="VIC"/>
                <w:color w:val="FFFFFF"/>
                <w:sz w:val="18"/>
                <w:szCs w:val="18"/>
              </w:rPr>
              <w:t>TOTAL STATEWIDE</w:t>
            </w:r>
          </w:p>
        </w:tc>
        <w:tc>
          <w:tcPr>
            <w:tcW w:w="1701" w:type="dxa"/>
            <w:shd w:val="clear" w:color="auto" w:fill="244C5A"/>
          </w:tcPr>
          <w:p w14:paraId="7F9A12C1" w14:textId="322F5B4C" w:rsidR="0065124E" w:rsidRPr="00592F37" w:rsidRDefault="0065124E" w:rsidP="0065124E">
            <w:pPr>
              <w:pStyle w:val="DHHStabletext"/>
              <w:spacing w:before="0" w:after="0"/>
              <w:rPr>
                <w:rFonts w:ascii="VIC SemiBold" w:eastAsia="Verdana" w:hAnsi="VIC SemiBold" w:cs="Verdana"/>
                <w:color w:val="FFFFFF" w:themeColor="background1"/>
                <w:sz w:val="18"/>
                <w:szCs w:val="18"/>
              </w:rPr>
            </w:pPr>
            <w:r w:rsidRPr="00BF7527">
              <w:rPr>
                <w:rFonts w:ascii="VIC" w:eastAsia="Verdana" w:hAnsi="VIC"/>
                <w:color w:val="FFFFFF"/>
                <w:sz w:val="18"/>
                <w:szCs w:val="18"/>
              </w:rPr>
              <w:t xml:space="preserve"> </w:t>
            </w:r>
          </w:p>
        </w:tc>
        <w:tc>
          <w:tcPr>
            <w:tcW w:w="1074" w:type="dxa"/>
            <w:shd w:val="clear" w:color="auto" w:fill="244C5A"/>
          </w:tcPr>
          <w:p w14:paraId="54CE666E" w14:textId="5DCE506B"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2.1</w:t>
            </w:r>
          </w:p>
        </w:tc>
        <w:tc>
          <w:tcPr>
            <w:tcW w:w="1075" w:type="dxa"/>
            <w:shd w:val="clear" w:color="auto" w:fill="244C5A"/>
          </w:tcPr>
          <w:p w14:paraId="0D3C6E98" w14:textId="4EF00298"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81 %</w:t>
            </w:r>
          </w:p>
        </w:tc>
        <w:tc>
          <w:tcPr>
            <w:tcW w:w="1075" w:type="dxa"/>
            <w:shd w:val="clear" w:color="auto" w:fill="244C5A"/>
          </w:tcPr>
          <w:p w14:paraId="626B6E85" w14:textId="68A0665F"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19.7</w:t>
            </w:r>
          </w:p>
        </w:tc>
        <w:tc>
          <w:tcPr>
            <w:tcW w:w="1075" w:type="dxa"/>
            <w:shd w:val="clear" w:color="auto" w:fill="244C5A"/>
          </w:tcPr>
          <w:p w14:paraId="4E7BD216" w14:textId="6C842C97"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17 %</w:t>
            </w:r>
          </w:p>
        </w:tc>
        <w:tc>
          <w:tcPr>
            <w:tcW w:w="1087" w:type="dxa"/>
            <w:shd w:val="clear" w:color="auto" w:fill="244C5A"/>
          </w:tcPr>
          <w:p w14:paraId="7F3773CD" w14:textId="25AF9425"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10 %</w:t>
            </w:r>
          </w:p>
        </w:tc>
        <w:tc>
          <w:tcPr>
            <w:tcW w:w="1063" w:type="dxa"/>
            <w:shd w:val="clear" w:color="auto" w:fill="244C5A"/>
          </w:tcPr>
          <w:p w14:paraId="0D626933" w14:textId="5BD30982"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24 %</w:t>
            </w:r>
          </w:p>
        </w:tc>
        <w:tc>
          <w:tcPr>
            <w:tcW w:w="1075" w:type="dxa"/>
            <w:shd w:val="clear" w:color="auto" w:fill="244C5A"/>
          </w:tcPr>
          <w:p w14:paraId="136A8865" w14:textId="4A20B7A9"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99 %</w:t>
            </w:r>
          </w:p>
        </w:tc>
        <w:tc>
          <w:tcPr>
            <w:tcW w:w="1075" w:type="dxa"/>
            <w:shd w:val="clear" w:color="auto" w:fill="244C5A"/>
          </w:tcPr>
          <w:p w14:paraId="78FF4D60" w14:textId="6432BCC3"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7.8</w:t>
            </w:r>
          </w:p>
        </w:tc>
        <w:tc>
          <w:tcPr>
            <w:tcW w:w="1075" w:type="dxa"/>
            <w:shd w:val="clear" w:color="auto" w:fill="244C5A"/>
          </w:tcPr>
          <w:p w14:paraId="75484F09" w14:textId="09807409"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0.2</w:t>
            </w:r>
          </w:p>
        </w:tc>
        <w:tc>
          <w:tcPr>
            <w:tcW w:w="1075" w:type="dxa"/>
            <w:shd w:val="clear" w:color="auto" w:fill="244C5A"/>
          </w:tcPr>
          <w:p w14:paraId="720D1383" w14:textId="1FF04607"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64 %</w:t>
            </w:r>
          </w:p>
        </w:tc>
        <w:tc>
          <w:tcPr>
            <w:tcW w:w="1075" w:type="dxa"/>
            <w:shd w:val="clear" w:color="auto" w:fill="244C5A"/>
          </w:tcPr>
          <w:p w14:paraId="7AB2838B" w14:textId="5FBB3C54"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93 %</w:t>
            </w:r>
          </w:p>
        </w:tc>
        <w:tc>
          <w:tcPr>
            <w:tcW w:w="1075" w:type="dxa"/>
            <w:shd w:val="clear" w:color="auto" w:fill="244C5A"/>
          </w:tcPr>
          <w:p w14:paraId="2D6D6E8C" w14:textId="2D064ECA"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94 %</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7" w:name="_Toc410762196"/>
    </w:p>
    <w:p w14:paraId="3338EF00" w14:textId="77777777" w:rsidR="00BD730B" w:rsidRDefault="00BD730B" w:rsidP="00BD730B">
      <w:pPr>
        <w:pStyle w:val="VAHIbody"/>
      </w:pPr>
    </w:p>
    <w:p w14:paraId="1C6C5681" w14:textId="77777777" w:rsidR="00BD730B" w:rsidRPr="00BD730B" w:rsidRDefault="00BD730B">
      <w:pPr>
        <w:rPr>
          <w:sz w:val="8"/>
        </w:rPr>
      </w:pPr>
    </w:p>
    <w:p w14:paraId="4C75E662" w14:textId="495D05C4" w:rsidR="00BD730B" w:rsidRDefault="00BD730B" w:rsidP="00BD730B">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BF031D" w:rsidRPr="00A6366B" w14:paraId="5D9A8EFA" w14:textId="77777777" w:rsidTr="00BF031D">
        <w:trPr>
          <w:trHeight w:val="1062"/>
          <w:tblHeader/>
        </w:trPr>
        <w:tc>
          <w:tcPr>
            <w:tcW w:w="3555" w:type="dxa"/>
            <w:gridSpan w:val="2"/>
            <w:shd w:val="clear" w:color="auto" w:fill="FFFFFF"/>
            <w:vAlign w:val="bottom"/>
          </w:tcPr>
          <w:p w14:paraId="5C4215A3" w14:textId="180D76C9" w:rsidR="00BF031D" w:rsidRPr="00592F37" w:rsidRDefault="00BF031D" w:rsidP="00BF031D">
            <w:pPr>
              <w:pStyle w:val="Heading1"/>
              <w:spacing w:before="0" w:line="240" w:lineRule="auto"/>
              <w:rPr>
                <w:color w:val="244C5A"/>
                <w:sz w:val="28"/>
                <w:szCs w:val="28"/>
              </w:rPr>
            </w:pPr>
            <w:bookmarkStart w:id="8" w:name="_Toc37865451"/>
            <w:bookmarkEnd w:id="7"/>
            <w:r>
              <w:rPr>
                <w:color w:val="244C5A"/>
                <w:sz w:val="22"/>
                <w:szCs w:val="28"/>
              </w:rPr>
              <w:lastRenderedPageBreak/>
              <w:t>Community</w:t>
            </w:r>
            <w:r w:rsidRPr="00052DAD">
              <w:rPr>
                <w:color w:val="244C5A"/>
                <w:sz w:val="22"/>
                <w:szCs w:val="28"/>
              </w:rPr>
              <w:br w:type="textWrapping" w:clear="all"/>
            </w:r>
            <w:r>
              <w:rPr>
                <w:color w:val="244C5A"/>
                <w:sz w:val="22"/>
                <w:szCs w:val="28"/>
              </w:rPr>
              <w:t>2019</w:t>
            </w:r>
            <w:r w:rsidR="00F91472">
              <w:rPr>
                <w:color w:val="244C5A"/>
                <w:sz w:val="22"/>
                <w:szCs w:val="28"/>
              </w:rPr>
              <w:t>–</w:t>
            </w:r>
            <w:r>
              <w:rPr>
                <w:color w:val="244C5A"/>
                <w:sz w:val="22"/>
                <w:szCs w:val="28"/>
              </w:rPr>
              <w:t>20 Q</w:t>
            </w:r>
            <w:r w:rsidR="004A1C0F">
              <w:rPr>
                <w:color w:val="244C5A"/>
                <w:sz w:val="22"/>
                <w:szCs w:val="28"/>
              </w:rPr>
              <w:t>3</w:t>
            </w:r>
            <w:r w:rsidRPr="00052DAD">
              <w:rPr>
                <w:color w:val="244C5A"/>
                <w:sz w:val="22"/>
                <w:szCs w:val="28"/>
              </w:rPr>
              <w:t xml:space="preserve"> Metro</w:t>
            </w:r>
            <w:bookmarkEnd w:id="8"/>
          </w:p>
        </w:tc>
        <w:tc>
          <w:tcPr>
            <w:tcW w:w="1523" w:type="dxa"/>
            <w:shd w:val="clear" w:color="auto" w:fill="FFFFFF"/>
            <w:vAlign w:val="bottom"/>
          </w:tcPr>
          <w:p w14:paraId="6E4502BA" w14:textId="29027F81" w:rsidR="00BF031D" w:rsidRPr="003B4630" w:rsidRDefault="00BF031D" w:rsidP="00BF031D">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688684B7" w14:textId="583A9F6B" w:rsidR="00BF031D" w:rsidRPr="003B4630" w:rsidRDefault="00BF031D" w:rsidP="00BF031D">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0B9E5718" w14:textId="6E931228" w:rsidR="00BF031D" w:rsidRPr="003B4630" w:rsidRDefault="00BF031D" w:rsidP="00BF031D">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547FFBCD" w14:textId="0CDF1A6B" w:rsidR="00BF031D" w:rsidRPr="003B4630" w:rsidRDefault="00BF031D" w:rsidP="00BF031D">
            <w:pPr>
              <w:pStyle w:val="VAHItablecolhead"/>
              <w:rPr>
                <w:rFonts w:eastAsia="Verdana"/>
                <w:color w:val="244C5A"/>
                <w:sz w:val="16"/>
              </w:rPr>
            </w:pPr>
            <w:r w:rsidRPr="003B4630">
              <w:rPr>
                <w:sz w:val="16"/>
              </w:rPr>
              <w:t xml:space="preserve">HoNOS </w:t>
            </w:r>
            <w:r w:rsidR="00D948FE">
              <w:rPr>
                <w:sz w:val="16"/>
              </w:rPr>
              <w:br w:type="textWrapping" w:clear="all"/>
            </w:r>
            <w:r w:rsidRPr="003B4630">
              <w:rPr>
                <w:sz w:val="16"/>
              </w:rPr>
              <w:t>compliance</w:t>
            </w:r>
          </w:p>
        </w:tc>
        <w:tc>
          <w:tcPr>
            <w:tcW w:w="1523" w:type="dxa"/>
            <w:shd w:val="clear" w:color="auto" w:fill="FFFFFF"/>
            <w:vAlign w:val="bottom"/>
          </w:tcPr>
          <w:p w14:paraId="4CEBB745" w14:textId="531CC320" w:rsidR="00BF031D" w:rsidRPr="003B4630" w:rsidRDefault="00BF031D" w:rsidP="00BF031D">
            <w:pPr>
              <w:pStyle w:val="VAHItablecolhead"/>
              <w:rPr>
                <w:rFonts w:eastAsia="Verdana"/>
                <w:color w:val="244C5A"/>
                <w:sz w:val="16"/>
              </w:rPr>
            </w:pPr>
            <w:r w:rsidRPr="003B4630">
              <w:rPr>
                <w:sz w:val="16"/>
              </w:rPr>
              <w:t>Average HoNOS at case start</w:t>
            </w:r>
          </w:p>
        </w:tc>
        <w:tc>
          <w:tcPr>
            <w:tcW w:w="1524" w:type="dxa"/>
            <w:shd w:val="clear" w:color="auto" w:fill="FFFFFF"/>
            <w:vAlign w:val="bottom"/>
          </w:tcPr>
          <w:p w14:paraId="09E2BD11" w14:textId="080504C1" w:rsidR="00BF031D" w:rsidRPr="003B4630" w:rsidRDefault="00BF031D" w:rsidP="00BF031D">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5A7BF756" w14:textId="21AC65F2" w:rsidR="00BF031D" w:rsidRPr="003B4630" w:rsidRDefault="00BF031D" w:rsidP="00BF031D">
            <w:pPr>
              <w:pStyle w:val="VAHItablecolhead"/>
              <w:rPr>
                <w:rFonts w:eastAsia="Verdana"/>
                <w:color w:val="244C5A"/>
                <w:sz w:val="16"/>
              </w:rPr>
            </w:pPr>
            <w:r w:rsidRPr="003B4630">
              <w:rPr>
                <w:sz w:val="16"/>
              </w:rPr>
              <w:t>Self rated measures completed</w:t>
            </w:r>
          </w:p>
        </w:tc>
        <w:tc>
          <w:tcPr>
            <w:tcW w:w="1524" w:type="dxa"/>
            <w:shd w:val="clear" w:color="auto" w:fill="FFFFFF"/>
            <w:vAlign w:val="bottom"/>
          </w:tcPr>
          <w:p w14:paraId="60CC86FE" w14:textId="4E5DDFD7" w:rsidR="00BF031D" w:rsidRPr="003B4630" w:rsidRDefault="00BF031D" w:rsidP="00BF031D">
            <w:pPr>
              <w:pStyle w:val="VAHItablecolhead"/>
              <w:rPr>
                <w:rFonts w:eastAsia="Verdana"/>
                <w:color w:val="244C5A"/>
                <w:sz w:val="16"/>
              </w:rPr>
            </w:pPr>
            <w:r w:rsidRPr="003B4630">
              <w:rPr>
                <w:sz w:val="16"/>
              </w:rPr>
              <w:t>Average change in clinically significant HoNOS items</w:t>
            </w:r>
          </w:p>
        </w:tc>
      </w:tr>
      <w:tr w:rsidR="0065124E" w:rsidRPr="00BF031D" w14:paraId="17FC2E71" w14:textId="77777777" w:rsidTr="00BF031D">
        <w:trPr>
          <w:trHeight w:val="454"/>
        </w:trPr>
        <w:tc>
          <w:tcPr>
            <w:tcW w:w="1570" w:type="dxa"/>
            <w:shd w:val="clear" w:color="auto" w:fill="BFCED6"/>
          </w:tcPr>
          <w:p w14:paraId="0D6BF0C7" w14:textId="7FDA8D89"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Alfred Health</w:t>
            </w:r>
          </w:p>
        </w:tc>
        <w:tc>
          <w:tcPr>
            <w:tcW w:w="1985" w:type="dxa"/>
            <w:shd w:val="clear" w:color="auto" w:fill="BFCED6"/>
          </w:tcPr>
          <w:p w14:paraId="0100C19D" w14:textId="60D999AB"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Inner South East (Caulfield)</w:t>
            </w:r>
          </w:p>
        </w:tc>
        <w:tc>
          <w:tcPr>
            <w:tcW w:w="1523" w:type="dxa"/>
            <w:shd w:val="clear" w:color="auto" w:fill="BFCED6"/>
          </w:tcPr>
          <w:p w14:paraId="151043CF" w14:textId="16E9121C" w:rsidR="0065124E" w:rsidRPr="00BF031D" w:rsidRDefault="0065124E" w:rsidP="0065124E">
            <w:pPr>
              <w:jc w:val="center"/>
              <w:rPr>
                <w:rFonts w:ascii="VIC" w:hAnsi="VIC"/>
                <w:sz w:val="18"/>
                <w:szCs w:val="18"/>
              </w:rPr>
            </w:pPr>
            <w:r w:rsidRPr="00BF7527">
              <w:rPr>
                <w:rFonts w:ascii="VIC" w:eastAsia="Verdana" w:hAnsi="VIC"/>
                <w:color w:val="000000"/>
                <w:sz w:val="18"/>
                <w:szCs w:val="18"/>
              </w:rPr>
              <w:t>26 %</w:t>
            </w:r>
          </w:p>
        </w:tc>
        <w:tc>
          <w:tcPr>
            <w:tcW w:w="1524" w:type="dxa"/>
            <w:shd w:val="clear" w:color="auto" w:fill="BFCED6"/>
          </w:tcPr>
          <w:p w14:paraId="2C061047" w14:textId="06687F9C" w:rsidR="0065124E" w:rsidRPr="00BF031D" w:rsidRDefault="0065124E" w:rsidP="0065124E">
            <w:pPr>
              <w:jc w:val="center"/>
              <w:rPr>
                <w:rFonts w:ascii="VIC" w:hAnsi="VIC"/>
                <w:sz w:val="18"/>
                <w:szCs w:val="18"/>
              </w:rPr>
            </w:pPr>
            <w:r w:rsidRPr="00BF7527">
              <w:rPr>
                <w:rFonts w:ascii="VIC" w:eastAsia="Verdana" w:hAnsi="VIC"/>
                <w:color w:val="000000"/>
                <w:sz w:val="18"/>
                <w:szCs w:val="18"/>
              </w:rPr>
              <w:t>6.4</w:t>
            </w:r>
          </w:p>
        </w:tc>
        <w:tc>
          <w:tcPr>
            <w:tcW w:w="1524" w:type="dxa"/>
            <w:shd w:val="clear" w:color="auto" w:fill="BFCED6"/>
          </w:tcPr>
          <w:p w14:paraId="7FAB3BFC" w14:textId="71F4496D" w:rsidR="0065124E" w:rsidRPr="00BF031D" w:rsidRDefault="0065124E" w:rsidP="0065124E">
            <w:pPr>
              <w:jc w:val="center"/>
              <w:rPr>
                <w:rFonts w:ascii="VIC" w:hAnsi="VIC"/>
                <w:sz w:val="18"/>
                <w:szCs w:val="18"/>
              </w:rPr>
            </w:pPr>
            <w:r w:rsidRPr="00BF7527">
              <w:rPr>
                <w:rFonts w:ascii="VIC" w:eastAsia="Verdana" w:hAnsi="VIC"/>
                <w:color w:val="000000"/>
                <w:sz w:val="18"/>
                <w:szCs w:val="18"/>
              </w:rPr>
              <w:t>6 %</w:t>
            </w:r>
          </w:p>
        </w:tc>
        <w:tc>
          <w:tcPr>
            <w:tcW w:w="1524" w:type="dxa"/>
            <w:shd w:val="clear" w:color="auto" w:fill="BFCED6"/>
          </w:tcPr>
          <w:p w14:paraId="67291FFA" w14:textId="43B1DEEC" w:rsidR="0065124E" w:rsidRPr="00BF031D" w:rsidRDefault="0065124E" w:rsidP="0065124E">
            <w:pPr>
              <w:jc w:val="center"/>
              <w:rPr>
                <w:rFonts w:ascii="VIC" w:hAnsi="VIC"/>
                <w:sz w:val="18"/>
                <w:szCs w:val="18"/>
              </w:rPr>
            </w:pPr>
            <w:r w:rsidRPr="00BF7527">
              <w:rPr>
                <w:rFonts w:ascii="VIC" w:eastAsia="Verdana" w:hAnsi="VIC"/>
                <w:color w:val="000000"/>
                <w:sz w:val="18"/>
                <w:szCs w:val="18"/>
              </w:rPr>
              <w:t>92 %</w:t>
            </w:r>
          </w:p>
        </w:tc>
        <w:tc>
          <w:tcPr>
            <w:tcW w:w="1523" w:type="dxa"/>
            <w:shd w:val="clear" w:color="auto" w:fill="BFCED6"/>
          </w:tcPr>
          <w:p w14:paraId="2FBCB1EF" w14:textId="19C1D52F" w:rsidR="0065124E" w:rsidRPr="00BF031D" w:rsidRDefault="0065124E" w:rsidP="0065124E">
            <w:pPr>
              <w:jc w:val="center"/>
              <w:rPr>
                <w:rFonts w:ascii="VIC" w:hAnsi="VIC"/>
                <w:sz w:val="18"/>
                <w:szCs w:val="18"/>
              </w:rPr>
            </w:pPr>
            <w:r w:rsidRPr="00BF7527">
              <w:rPr>
                <w:rFonts w:ascii="VIC" w:eastAsia="Verdana" w:hAnsi="VIC"/>
                <w:color w:val="000000"/>
                <w:sz w:val="18"/>
                <w:szCs w:val="18"/>
              </w:rPr>
              <w:t>14.0</w:t>
            </w:r>
          </w:p>
        </w:tc>
        <w:tc>
          <w:tcPr>
            <w:tcW w:w="1524" w:type="dxa"/>
            <w:shd w:val="clear" w:color="auto" w:fill="BFCED6"/>
          </w:tcPr>
          <w:p w14:paraId="7502D7D1" w14:textId="3C1C308F" w:rsidR="0065124E" w:rsidRPr="00BF031D" w:rsidRDefault="0065124E" w:rsidP="0065124E">
            <w:pPr>
              <w:jc w:val="center"/>
              <w:rPr>
                <w:rFonts w:ascii="VIC" w:hAnsi="VIC"/>
                <w:sz w:val="18"/>
                <w:szCs w:val="18"/>
              </w:rPr>
            </w:pPr>
            <w:r w:rsidRPr="00BF7527">
              <w:rPr>
                <w:rFonts w:ascii="VIC" w:eastAsia="Verdana" w:hAnsi="VIC"/>
                <w:color w:val="000000"/>
                <w:sz w:val="18"/>
                <w:szCs w:val="18"/>
              </w:rPr>
              <w:t>51 %</w:t>
            </w:r>
          </w:p>
        </w:tc>
        <w:tc>
          <w:tcPr>
            <w:tcW w:w="1524" w:type="dxa"/>
            <w:shd w:val="clear" w:color="auto" w:fill="BFCED6"/>
          </w:tcPr>
          <w:p w14:paraId="091E5D66" w14:textId="207FB88A" w:rsidR="0065124E" w:rsidRPr="00BF031D" w:rsidRDefault="0065124E" w:rsidP="0065124E">
            <w:pPr>
              <w:jc w:val="center"/>
              <w:rPr>
                <w:rFonts w:ascii="VIC" w:hAnsi="VIC"/>
                <w:sz w:val="18"/>
                <w:szCs w:val="18"/>
              </w:rPr>
            </w:pPr>
            <w:r w:rsidRPr="00BF7527">
              <w:rPr>
                <w:rFonts w:ascii="VIC" w:eastAsia="Verdana" w:hAnsi="VIC"/>
                <w:color w:val="000000"/>
                <w:sz w:val="18"/>
                <w:szCs w:val="18"/>
              </w:rPr>
              <w:t>0 %</w:t>
            </w:r>
          </w:p>
        </w:tc>
        <w:tc>
          <w:tcPr>
            <w:tcW w:w="1524" w:type="dxa"/>
            <w:shd w:val="clear" w:color="auto" w:fill="BFCED6"/>
          </w:tcPr>
          <w:p w14:paraId="6CF1B7E4" w14:textId="5ED750C3" w:rsidR="0065124E" w:rsidRPr="00BF031D" w:rsidRDefault="0065124E" w:rsidP="0065124E">
            <w:pPr>
              <w:jc w:val="center"/>
              <w:rPr>
                <w:rFonts w:ascii="VIC" w:hAnsi="VIC"/>
                <w:sz w:val="18"/>
                <w:szCs w:val="18"/>
              </w:rPr>
            </w:pPr>
            <w:r w:rsidRPr="00BF7527">
              <w:rPr>
                <w:rFonts w:ascii="VIC" w:eastAsia="Verdana" w:hAnsi="VIC"/>
                <w:color w:val="000000"/>
                <w:sz w:val="18"/>
                <w:szCs w:val="18"/>
              </w:rPr>
              <w:t>1.4</w:t>
            </w:r>
          </w:p>
        </w:tc>
      </w:tr>
      <w:tr w:rsidR="0065124E" w:rsidRPr="00BF031D" w14:paraId="5B268470" w14:textId="77777777" w:rsidTr="00BF031D">
        <w:trPr>
          <w:trHeight w:val="454"/>
        </w:trPr>
        <w:tc>
          <w:tcPr>
            <w:tcW w:w="1570" w:type="dxa"/>
            <w:shd w:val="clear" w:color="auto" w:fill="auto"/>
          </w:tcPr>
          <w:p w14:paraId="408E7287" w14:textId="54BAC492"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Eastern Health</w:t>
            </w:r>
          </w:p>
        </w:tc>
        <w:tc>
          <w:tcPr>
            <w:tcW w:w="1985" w:type="dxa"/>
            <w:shd w:val="clear" w:color="auto" w:fill="auto"/>
          </w:tcPr>
          <w:p w14:paraId="33CC77D7" w14:textId="47DC1014"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Central/Outer East (Peter James Centre)</w:t>
            </w:r>
          </w:p>
        </w:tc>
        <w:tc>
          <w:tcPr>
            <w:tcW w:w="1523" w:type="dxa"/>
            <w:shd w:val="clear" w:color="auto" w:fill="auto"/>
          </w:tcPr>
          <w:p w14:paraId="461E41EE" w14:textId="60619C84" w:rsidR="0065124E" w:rsidRPr="00BF031D" w:rsidRDefault="0065124E" w:rsidP="0065124E">
            <w:pPr>
              <w:jc w:val="center"/>
              <w:rPr>
                <w:rFonts w:ascii="VIC" w:hAnsi="VIC"/>
                <w:sz w:val="18"/>
                <w:szCs w:val="18"/>
              </w:rPr>
            </w:pPr>
            <w:r w:rsidRPr="00BF7527">
              <w:rPr>
                <w:rFonts w:ascii="VIC" w:eastAsia="Verdana" w:hAnsi="VIC"/>
                <w:color w:val="000000"/>
                <w:sz w:val="18"/>
                <w:szCs w:val="18"/>
              </w:rPr>
              <w:t>32 %</w:t>
            </w:r>
          </w:p>
        </w:tc>
        <w:tc>
          <w:tcPr>
            <w:tcW w:w="1524" w:type="dxa"/>
            <w:shd w:val="clear" w:color="auto" w:fill="auto"/>
          </w:tcPr>
          <w:p w14:paraId="11D4249A" w14:textId="1BBE5836" w:rsidR="0065124E" w:rsidRPr="00BF031D" w:rsidRDefault="0065124E" w:rsidP="0065124E">
            <w:pPr>
              <w:jc w:val="center"/>
              <w:rPr>
                <w:rFonts w:ascii="VIC" w:hAnsi="VIC"/>
                <w:sz w:val="18"/>
                <w:szCs w:val="18"/>
              </w:rPr>
            </w:pPr>
            <w:r w:rsidRPr="00BF7527">
              <w:rPr>
                <w:rFonts w:ascii="VIC" w:eastAsia="Verdana" w:hAnsi="VIC"/>
                <w:color w:val="000000"/>
                <w:sz w:val="18"/>
                <w:szCs w:val="18"/>
              </w:rPr>
              <w:t>5.6</w:t>
            </w:r>
          </w:p>
        </w:tc>
        <w:tc>
          <w:tcPr>
            <w:tcW w:w="1524" w:type="dxa"/>
            <w:shd w:val="clear" w:color="auto" w:fill="auto"/>
          </w:tcPr>
          <w:p w14:paraId="128CD2F5" w14:textId="704AC470" w:rsidR="0065124E" w:rsidRPr="00BF031D" w:rsidRDefault="0065124E" w:rsidP="0065124E">
            <w:pPr>
              <w:jc w:val="center"/>
              <w:rPr>
                <w:rFonts w:ascii="VIC" w:hAnsi="VIC"/>
                <w:sz w:val="18"/>
                <w:szCs w:val="18"/>
              </w:rPr>
            </w:pPr>
            <w:r w:rsidRPr="00BF7527">
              <w:rPr>
                <w:rFonts w:ascii="VIC" w:eastAsia="Verdana" w:hAnsi="VIC"/>
                <w:color w:val="000000"/>
                <w:sz w:val="18"/>
                <w:szCs w:val="18"/>
              </w:rPr>
              <w:t>6 %</w:t>
            </w:r>
          </w:p>
        </w:tc>
        <w:tc>
          <w:tcPr>
            <w:tcW w:w="1524" w:type="dxa"/>
            <w:shd w:val="clear" w:color="auto" w:fill="auto"/>
          </w:tcPr>
          <w:p w14:paraId="3F85BE85" w14:textId="7F5EFF0F" w:rsidR="0065124E" w:rsidRPr="00BF031D" w:rsidRDefault="0065124E" w:rsidP="0065124E">
            <w:pPr>
              <w:jc w:val="center"/>
              <w:rPr>
                <w:rFonts w:ascii="VIC" w:hAnsi="VIC"/>
                <w:sz w:val="18"/>
                <w:szCs w:val="18"/>
              </w:rPr>
            </w:pPr>
            <w:r w:rsidRPr="00BF7527">
              <w:rPr>
                <w:rFonts w:ascii="VIC" w:eastAsia="Verdana" w:hAnsi="VIC"/>
                <w:color w:val="000000"/>
                <w:sz w:val="18"/>
                <w:szCs w:val="18"/>
              </w:rPr>
              <w:t>88 %</w:t>
            </w:r>
          </w:p>
        </w:tc>
        <w:tc>
          <w:tcPr>
            <w:tcW w:w="1523" w:type="dxa"/>
            <w:shd w:val="clear" w:color="auto" w:fill="auto"/>
          </w:tcPr>
          <w:p w14:paraId="08EAD308" w14:textId="7A6BE4BF" w:rsidR="0065124E" w:rsidRPr="00BF031D" w:rsidRDefault="0065124E" w:rsidP="0065124E">
            <w:pPr>
              <w:jc w:val="center"/>
              <w:rPr>
                <w:rFonts w:ascii="VIC" w:hAnsi="VIC"/>
                <w:sz w:val="18"/>
                <w:szCs w:val="18"/>
              </w:rPr>
            </w:pPr>
            <w:r w:rsidRPr="00BF7527">
              <w:rPr>
                <w:rFonts w:ascii="VIC" w:eastAsia="Verdana" w:hAnsi="VIC"/>
                <w:color w:val="000000"/>
                <w:sz w:val="18"/>
                <w:szCs w:val="18"/>
              </w:rPr>
              <w:t>17.3</w:t>
            </w:r>
          </w:p>
        </w:tc>
        <w:tc>
          <w:tcPr>
            <w:tcW w:w="1524" w:type="dxa"/>
            <w:shd w:val="clear" w:color="auto" w:fill="auto"/>
          </w:tcPr>
          <w:p w14:paraId="33AE7DCC" w14:textId="18336ECC" w:rsidR="0065124E" w:rsidRPr="00BF031D" w:rsidRDefault="0065124E" w:rsidP="0065124E">
            <w:pPr>
              <w:jc w:val="center"/>
              <w:rPr>
                <w:rFonts w:ascii="VIC" w:hAnsi="VIC"/>
                <w:sz w:val="18"/>
                <w:szCs w:val="18"/>
              </w:rPr>
            </w:pPr>
            <w:r w:rsidRPr="00BF7527">
              <w:rPr>
                <w:rFonts w:ascii="VIC" w:eastAsia="Verdana" w:hAnsi="VIC"/>
                <w:color w:val="000000"/>
                <w:sz w:val="18"/>
                <w:szCs w:val="18"/>
              </w:rPr>
              <w:t>64 %</w:t>
            </w:r>
          </w:p>
        </w:tc>
        <w:tc>
          <w:tcPr>
            <w:tcW w:w="1524" w:type="dxa"/>
            <w:shd w:val="clear" w:color="auto" w:fill="auto"/>
          </w:tcPr>
          <w:p w14:paraId="481CD52C" w14:textId="082E41E2" w:rsidR="0065124E" w:rsidRPr="00BF031D" w:rsidRDefault="0065124E" w:rsidP="0065124E">
            <w:pPr>
              <w:jc w:val="center"/>
              <w:rPr>
                <w:rFonts w:ascii="VIC" w:hAnsi="VIC"/>
                <w:sz w:val="18"/>
                <w:szCs w:val="18"/>
              </w:rPr>
            </w:pPr>
            <w:r w:rsidRPr="00BF7527">
              <w:rPr>
                <w:rFonts w:ascii="VIC" w:eastAsia="Verdana" w:hAnsi="VIC"/>
                <w:color w:val="000000"/>
                <w:sz w:val="18"/>
                <w:szCs w:val="18"/>
              </w:rPr>
              <w:t>0 %</w:t>
            </w:r>
          </w:p>
        </w:tc>
        <w:tc>
          <w:tcPr>
            <w:tcW w:w="1524" w:type="dxa"/>
            <w:shd w:val="clear" w:color="auto" w:fill="auto"/>
          </w:tcPr>
          <w:p w14:paraId="152ADF90" w14:textId="71A2304C" w:rsidR="0065124E" w:rsidRPr="00BF031D" w:rsidRDefault="0065124E" w:rsidP="0065124E">
            <w:pPr>
              <w:jc w:val="center"/>
              <w:rPr>
                <w:rFonts w:ascii="VIC" w:hAnsi="VIC"/>
                <w:sz w:val="18"/>
                <w:szCs w:val="18"/>
              </w:rPr>
            </w:pPr>
            <w:r w:rsidRPr="00BF7527">
              <w:rPr>
                <w:rFonts w:ascii="VIC" w:eastAsia="Verdana" w:hAnsi="VIC"/>
                <w:color w:val="000000"/>
                <w:sz w:val="18"/>
                <w:szCs w:val="18"/>
              </w:rPr>
              <w:t>2.1</w:t>
            </w:r>
          </w:p>
        </w:tc>
      </w:tr>
      <w:tr w:rsidR="0065124E" w:rsidRPr="00BF031D" w14:paraId="6FB30FDB" w14:textId="77777777" w:rsidTr="00BF031D">
        <w:trPr>
          <w:trHeight w:val="454"/>
        </w:trPr>
        <w:tc>
          <w:tcPr>
            <w:tcW w:w="1570" w:type="dxa"/>
            <w:vMerge w:val="restart"/>
            <w:shd w:val="clear" w:color="auto" w:fill="BFCED6"/>
          </w:tcPr>
          <w:p w14:paraId="5A6B6AA4" w14:textId="574DE6A3"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Melbourne Health</w:t>
            </w:r>
          </w:p>
        </w:tc>
        <w:tc>
          <w:tcPr>
            <w:tcW w:w="1985" w:type="dxa"/>
            <w:shd w:val="clear" w:color="auto" w:fill="BFCED6"/>
          </w:tcPr>
          <w:p w14:paraId="65E6FCE7" w14:textId="29B684C7"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Mid West/South West Aged (Sunshine)</w:t>
            </w:r>
          </w:p>
        </w:tc>
        <w:tc>
          <w:tcPr>
            <w:tcW w:w="1523" w:type="dxa"/>
            <w:shd w:val="clear" w:color="auto" w:fill="BFCED6"/>
          </w:tcPr>
          <w:p w14:paraId="69811643" w14:textId="5A1080F6" w:rsidR="0065124E" w:rsidRPr="00BF031D" w:rsidRDefault="0065124E" w:rsidP="0065124E">
            <w:pPr>
              <w:jc w:val="center"/>
              <w:rPr>
                <w:rFonts w:ascii="VIC" w:hAnsi="VIC"/>
                <w:sz w:val="18"/>
                <w:szCs w:val="18"/>
              </w:rPr>
            </w:pPr>
            <w:r w:rsidRPr="00BF7527">
              <w:rPr>
                <w:rFonts w:ascii="VIC" w:eastAsia="Verdana" w:hAnsi="VIC"/>
                <w:color w:val="000000"/>
                <w:sz w:val="18"/>
                <w:szCs w:val="18"/>
              </w:rPr>
              <w:t>23 %</w:t>
            </w:r>
          </w:p>
        </w:tc>
        <w:tc>
          <w:tcPr>
            <w:tcW w:w="1524" w:type="dxa"/>
            <w:shd w:val="clear" w:color="auto" w:fill="BFCED6"/>
          </w:tcPr>
          <w:p w14:paraId="183FFB35" w14:textId="46303FD3" w:rsidR="0065124E" w:rsidRPr="00BF031D" w:rsidRDefault="0065124E" w:rsidP="0065124E">
            <w:pPr>
              <w:jc w:val="center"/>
              <w:rPr>
                <w:rFonts w:ascii="VIC" w:hAnsi="VIC"/>
                <w:sz w:val="18"/>
                <w:szCs w:val="18"/>
              </w:rPr>
            </w:pPr>
            <w:r w:rsidRPr="00BF7527">
              <w:rPr>
                <w:rFonts w:ascii="VIC" w:eastAsia="Verdana" w:hAnsi="VIC"/>
                <w:color w:val="000000"/>
                <w:sz w:val="18"/>
                <w:szCs w:val="18"/>
              </w:rPr>
              <w:t>5.0</w:t>
            </w:r>
          </w:p>
        </w:tc>
        <w:tc>
          <w:tcPr>
            <w:tcW w:w="1524" w:type="dxa"/>
            <w:shd w:val="clear" w:color="auto" w:fill="BFCED6"/>
          </w:tcPr>
          <w:p w14:paraId="6994E530" w14:textId="440D4F0E" w:rsidR="0065124E" w:rsidRPr="00BF031D" w:rsidRDefault="0065124E" w:rsidP="0065124E">
            <w:pPr>
              <w:jc w:val="center"/>
              <w:rPr>
                <w:rFonts w:ascii="VIC" w:hAnsi="VIC"/>
                <w:sz w:val="18"/>
                <w:szCs w:val="18"/>
              </w:rPr>
            </w:pPr>
            <w:r w:rsidRPr="00BF7527">
              <w:rPr>
                <w:rFonts w:ascii="VIC" w:eastAsia="Verdana" w:hAnsi="VIC"/>
                <w:color w:val="000000"/>
                <w:sz w:val="18"/>
                <w:szCs w:val="18"/>
              </w:rPr>
              <w:t>10 %</w:t>
            </w:r>
          </w:p>
        </w:tc>
        <w:tc>
          <w:tcPr>
            <w:tcW w:w="1524" w:type="dxa"/>
            <w:shd w:val="clear" w:color="auto" w:fill="BFCED6"/>
          </w:tcPr>
          <w:p w14:paraId="1029407A" w14:textId="4D9E97EA" w:rsidR="0065124E" w:rsidRPr="00BF031D" w:rsidRDefault="0065124E" w:rsidP="0065124E">
            <w:pPr>
              <w:jc w:val="center"/>
              <w:rPr>
                <w:rFonts w:ascii="VIC" w:hAnsi="VIC"/>
                <w:sz w:val="18"/>
                <w:szCs w:val="18"/>
              </w:rPr>
            </w:pPr>
            <w:r w:rsidRPr="00BF7527">
              <w:rPr>
                <w:rFonts w:ascii="VIC" w:eastAsia="Verdana" w:hAnsi="VIC"/>
                <w:color w:val="000000"/>
                <w:sz w:val="18"/>
                <w:szCs w:val="18"/>
              </w:rPr>
              <w:t>67 %</w:t>
            </w:r>
          </w:p>
        </w:tc>
        <w:tc>
          <w:tcPr>
            <w:tcW w:w="1523" w:type="dxa"/>
            <w:shd w:val="clear" w:color="auto" w:fill="BFCED6"/>
          </w:tcPr>
          <w:p w14:paraId="199B3A3A" w14:textId="5836BEF4" w:rsidR="0065124E" w:rsidRPr="00BF031D" w:rsidRDefault="0065124E" w:rsidP="0065124E">
            <w:pPr>
              <w:jc w:val="center"/>
              <w:rPr>
                <w:rFonts w:ascii="VIC" w:hAnsi="VIC"/>
                <w:sz w:val="18"/>
                <w:szCs w:val="18"/>
              </w:rPr>
            </w:pPr>
            <w:r w:rsidRPr="00BF7527">
              <w:rPr>
                <w:rFonts w:ascii="VIC" w:eastAsia="Verdana" w:hAnsi="VIC"/>
                <w:color w:val="000000"/>
                <w:sz w:val="18"/>
                <w:szCs w:val="18"/>
              </w:rPr>
              <w:t>12.7</w:t>
            </w:r>
          </w:p>
        </w:tc>
        <w:tc>
          <w:tcPr>
            <w:tcW w:w="1524" w:type="dxa"/>
            <w:shd w:val="clear" w:color="auto" w:fill="BFCED6"/>
          </w:tcPr>
          <w:p w14:paraId="7315757F" w14:textId="47487367" w:rsidR="0065124E" w:rsidRPr="00BF031D" w:rsidRDefault="0065124E" w:rsidP="0065124E">
            <w:pPr>
              <w:jc w:val="center"/>
              <w:rPr>
                <w:rFonts w:ascii="VIC" w:hAnsi="VIC"/>
                <w:sz w:val="18"/>
                <w:szCs w:val="18"/>
              </w:rPr>
            </w:pPr>
            <w:r w:rsidRPr="00BF7527">
              <w:rPr>
                <w:rFonts w:ascii="VIC" w:eastAsia="Verdana" w:hAnsi="VIC"/>
                <w:color w:val="000000"/>
                <w:sz w:val="18"/>
                <w:szCs w:val="18"/>
              </w:rPr>
              <w:t>62 %</w:t>
            </w:r>
          </w:p>
        </w:tc>
        <w:tc>
          <w:tcPr>
            <w:tcW w:w="1524" w:type="dxa"/>
            <w:shd w:val="clear" w:color="auto" w:fill="BFCED6"/>
          </w:tcPr>
          <w:p w14:paraId="19496C58" w14:textId="41800B50" w:rsidR="0065124E" w:rsidRPr="00BF031D" w:rsidRDefault="0065124E" w:rsidP="0065124E">
            <w:pPr>
              <w:jc w:val="center"/>
              <w:rPr>
                <w:rFonts w:ascii="VIC" w:hAnsi="VIC"/>
                <w:sz w:val="18"/>
                <w:szCs w:val="18"/>
              </w:rPr>
            </w:pPr>
            <w:r w:rsidRPr="00BF7527">
              <w:rPr>
                <w:rFonts w:ascii="VIC" w:eastAsia="Verdana" w:hAnsi="VIC"/>
                <w:color w:val="000000"/>
                <w:sz w:val="18"/>
                <w:szCs w:val="18"/>
              </w:rPr>
              <w:t>4 %</w:t>
            </w:r>
          </w:p>
        </w:tc>
        <w:tc>
          <w:tcPr>
            <w:tcW w:w="1524" w:type="dxa"/>
            <w:shd w:val="clear" w:color="auto" w:fill="BFCED6"/>
          </w:tcPr>
          <w:p w14:paraId="30CE3254" w14:textId="683ECE2F" w:rsidR="0065124E" w:rsidRPr="00BF031D" w:rsidRDefault="0065124E" w:rsidP="0065124E">
            <w:pPr>
              <w:jc w:val="center"/>
              <w:rPr>
                <w:rFonts w:ascii="VIC" w:hAnsi="VIC"/>
                <w:sz w:val="18"/>
                <w:szCs w:val="18"/>
              </w:rPr>
            </w:pPr>
            <w:r w:rsidRPr="00BF7527">
              <w:rPr>
                <w:rFonts w:ascii="VIC" w:eastAsia="Verdana" w:hAnsi="VIC"/>
                <w:color w:val="000000"/>
                <w:sz w:val="18"/>
                <w:szCs w:val="18"/>
              </w:rPr>
              <w:t>1.6</w:t>
            </w:r>
          </w:p>
        </w:tc>
      </w:tr>
      <w:tr w:rsidR="0065124E" w:rsidRPr="00BF031D" w14:paraId="7DAFF4AD" w14:textId="77777777" w:rsidTr="00BF031D">
        <w:trPr>
          <w:trHeight w:val="454"/>
        </w:trPr>
        <w:tc>
          <w:tcPr>
            <w:tcW w:w="1570" w:type="dxa"/>
            <w:vMerge/>
            <w:shd w:val="clear" w:color="auto" w:fill="BFCED6"/>
          </w:tcPr>
          <w:p w14:paraId="43743181" w14:textId="77777777" w:rsidR="0065124E" w:rsidRPr="00BF031D" w:rsidRDefault="0065124E" w:rsidP="0065124E">
            <w:pPr>
              <w:pStyle w:val="DHHStabletext"/>
              <w:spacing w:before="0" w:after="0"/>
              <w:rPr>
                <w:rFonts w:ascii="VIC" w:hAnsi="VIC"/>
                <w:sz w:val="18"/>
                <w:szCs w:val="18"/>
              </w:rPr>
            </w:pPr>
          </w:p>
        </w:tc>
        <w:tc>
          <w:tcPr>
            <w:tcW w:w="1985" w:type="dxa"/>
            <w:shd w:val="clear" w:color="auto" w:fill="BFCED6"/>
          </w:tcPr>
          <w:p w14:paraId="5B9BFFE6" w14:textId="4F1A6F82"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North East Aged (Bundoora)</w:t>
            </w:r>
          </w:p>
        </w:tc>
        <w:tc>
          <w:tcPr>
            <w:tcW w:w="1523" w:type="dxa"/>
            <w:shd w:val="clear" w:color="auto" w:fill="BFCED6"/>
          </w:tcPr>
          <w:p w14:paraId="0AB4F2D3" w14:textId="44349C3A" w:rsidR="0065124E" w:rsidRPr="00BF031D" w:rsidRDefault="0065124E" w:rsidP="0065124E">
            <w:pPr>
              <w:jc w:val="center"/>
              <w:rPr>
                <w:rFonts w:ascii="VIC" w:hAnsi="VIC"/>
                <w:sz w:val="18"/>
                <w:szCs w:val="18"/>
              </w:rPr>
            </w:pPr>
            <w:r w:rsidRPr="00BF7527">
              <w:rPr>
                <w:rFonts w:ascii="VIC" w:eastAsia="Verdana" w:hAnsi="VIC"/>
                <w:color w:val="000000"/>
                <w:sz w:val="18"/>
                <w:szCs w:val="18"/>
              </w:rPr>
              <w:t>17 %</w:t>
            </w:r>
          </w:p>
        </w:tc>
        <w:tc>
          <w:tcPr>
            <w:tcW w:w="1524" w:type="dxa"/>
            <w:shd w:val="clear" w:color="auto" w:fill="BFCED6"/>
          </w:tcPr>
          <w:p w14:paraId="5AD43B14" w14:textId="315A3A48" w:rsidR="0065124E" w:rsidRPr="00BF031D" w:rsidRDefault="0065124E" w:rsidP="0065124E">
            <w:pPr>
              <w:jc w:val="center"/>
              <w:rPr>
                <w:rFonts w:ascii="VIC" w:hAnsi="VIC"/>
                <w:sz w:val="18"/>
                <w:szCs w:val="18"/>
              </w:rPr>
            </w:pPr>
            <w:r w:rsidRPr="00BF7527">
              <w:rPr>
                <w:rFonts w:ascii="VIC" w:eastAsia="Verdana" w:hAnsi="VIC"/>
                <w:color w:val="000000"/>
                <w:sz w:val="18"/>
                <w:szCs w:val="18"/>
              </w:rPr>
              <w:t>5.4</w:t>
            </w:r>
          </w:p>
        </w:tc>
        <w:tc>
          <w:tcPr>
            <w:tcW w:w="1524" w:type="dxa"/>
            <w:shd w:val="clear" w:color="auto" w:fill="BFCED6"/>
          </w:tcPr>
          <w:p w14:paraId="1AEB5179" w14:textId="6D7AB47F" w:rsidR="0065124E" w:rsidRPr="00BF031D" w:rsidRDefault="0065124E" w:rsidP="0065124E">
            <w:pPr>
              <w:jc w:val="center"/>
              <w:rPr>
                <w:rFonts w:ascii="VIC" w:hAnsi="VIC"/>
                <w:sz w:val="18"/>
                <w:szCs w:val="18"/>
              </w:rPr>
            </w:pPr>
            <w:r w:rsidRPr="00BF7527">
              <w:rPr>
                <w:rFonts w:ascii="VIC" w:eastAsia="Verdana" w:hAnsi="VIC"/>
                <w:color w:val="000000"/>
                <w:sz w:val="18"/>
                <w:szCs w:val="18"/>
              </w:rPr>
              <w:t>5 %</w:t>
            </w:r>
          </w:p>
        </w:tc>
        <w:tc>
          <w:tcPr>
            <w:tcW w:w="1524" w:type="dxa"/>
            <w:shd w:val="clear" w:color="auto" w:fill="BFCED6"/>
          </w:tcPr>
          <w:p w14:paraId="50A15550" w14:textId="176B4BE6" w:rsidR="0065124E" w:rsidRPr="00BF031D" w:rsidRDefault="0065124E" w:rsidP="0065124E">
            <w:pPr>
              <w:jc w:val="center"/>
              <w:rPr>
                <w:rFonts w:ascii="VIC" w:hAnsi="VIC"/>
                <w:sz w:val="18"/>
                <w:szCs w:val="18"/>
              </w:rPr>
            </w:pPr>
            <w:r w:rsidRPr="00BF7527">
              <w:rPr>
                <w:rFonts w:ascii="VIC" w:eastAsia="Verdana" w:hAnsi="VIC"/>
                <w:color w:val="000000"/>
                <w:sz w:val="18"/>
                <w:szCs w:val="18"/>
              </w:rPr>
              <w:t>67 %</w:t>
            </w:r>
          </w:p>
        </w:tc>
        <w:tc>
          <w:tcPr>
            <w:tcW w:w="1523" w:type="dxa"/>
            <w:shd w:val="clear" w:color="auto" w:fill="BFCED6"/>
          </w:tcPr>
          <w:p w14:paraId="5852CD68" w14:textId="0A4B6F6E" w:rsidR="0065124E" w:rsidRPr="00BF031D" w:rsidRDefault="0065124E" w:rsidP="0065124E">
            <w:pPr>
              <w:jc w:val="center"/>
              <w:rPr>
                <w:rFonts w:ascii="VIC" w:hAnsi="VIC"/>
                <w:sz w:val="18"/>
                <w:szCs w:val="18"/>
              </w:rPr>
            </w:pPr>
            <w:r w:rsidRPr="00BF7527">
              <w:rPr>
                <w:rFonts w:ascii="VIC" w:eastAsia="Verdana" w:hAnsi="VIC"/>
                <w:color w:val="000000"/>
                <w:sz w:val="18"/>
                <w:szCs w:val="18"/>
              </w:rPr>
              <w:t>11.1</w:t>
            </w:r>
          </w:p>
        </w:tc>
        <w:tc>
          <w:tcPr>
            <w:tcW w:w="1524" w:type="dxa"/>
            <w:shd w:val="clear" w:color="auto" w:fill="BFCED6"/>
          </w:tcPr>
          <w:p w14:paraId="7B9EE578" w14:textId="0AFE7D45" w:rsidR="0065124E" w:rsidRPr="00BF031D" w:rsidRDefault="0065124E" w:rsidP="0065124E">
            <w:pPr>
              <w:jc w:val="center"/>
              <w:rPr>
                <w:rFonts w:ascii="VIC" w:hAnsi="VIC"/>
                <w:sz w:val="18"/>
                <w:szCs w:val="18"/>
              </w:rPr>
            </w:pPr>
            <w:r w:rsidRPr="00BF7527">
              <w:rPr>
                <w:rFonts w:ascii="VIC" w:eastAsia="Verdana" w:hAnsi="VIC"/>
                <w:color w:val="000000"/>
                <w:sz w:val="18"/>
                <w:szCs w:val="18"/>
              </w:rPr>
              <w:t>61 %</w:t>
            </w:r>
          </w:p>
        </w:tc>
        <w:tc>
          <w:tcPr>
            <w:tcW w:w="1524" w:type="dxa"/>
            <w:shd w:val="clear" w:color="auto" w:fill="BFCED6"/>
          </w:tcPr>
          <w:p w14:paraId="19D632DE" w14:textId="60187D48" w:rsidR="0065124E" w:rsidRPr="00BF031D" w:rsidRDefault="0065124E" w:rsidP="0065124E">
            <w:pPr>
              <w:jc w:val="center"/>
              <w:rPr>
                <w:rFonts w:ascii="VIC" w:hAnsi="VIC"/>
                <w:sz w:val="18"/>
                <w:szCs w:val="18"/>
              </w:rPr>
            </w:pPr>
            <w:r w:rsidRPr="00BF7527">
              <w:rPr>
                <w:rFonts w:ascii="VIC" w:eastAsia="Verdana" w:hAnsi="VIC"/>
                <w:color w:val="000000"/>
                <w:sz w:val="18"/>
                <w:szCs w:val="18"/>
              </w:rPr>
              <w:t>0 %</w:t>
            </w:r>
          </w:p>
        </w:tc>
        <w:tc>
          <w:tcPr>
            <w:tcW w:w="1524" w:type="dxa"/>
            <w:shd w:val="clear" w:color="auto" w:fill="BFCED6"/>
          </w:tcPr>
          <w:p w14:paraId="496A354E" w14:textId="268B1C5C" w:rsidR="0065124E" w:rsidRPr="00BF031D" w:rsidRDefault="0065124E" w:rsidP="0065124E">
            <w:pPr>
              <w:jc w:val="center"/>
              <w:rPr>
                <w:rFonts w:ascii="VIC" w:hAnsi="VIC"/>
                <w:sz w:val="18"/>
                <w:szCs w:val="18"/>
              </w:rPr>
            </w:pPr>
            <w:r w:rsidRPr="00BF7527">
              <w:rPr>
                <w:rFonts w:ascii="VIC" w:eastAsia="Verdana" w:hAnsi="VIC"/>
                <w:color w:val="000000"/>
                <w:sz w:val="18"/>
                <w:szCs w:val="18"/>
              </w:rPr>
              <w:t>1.8</w:t>
            </w:r>
          </w:p>
        </w:tc>
      </w:tr>
      <w:tr w:rsidR="0065124E" w:rsidRPr="00BF031D" w14:paraId="612B55E4" w14:textId="77777777" w:rsidTr="00BF031D">
        <w:trPr>
          <w:trHeight w:val="454"/>
        </w:trPr>
        <w:tc>
          <w:tcPr>
            <w:tcW w:w="1570" w:type="dxa"/>
            <w:vMerge/>
            <w:shd w:val="clear" w:color="auto" w:fill="BFCED6"/>
          </w:tcPr>
          <w:p w14:paraId="624A84E9" w14:textId="77777777" w:rsidR="0065124E" w:rsidRPr="00BF031D" w:rsidRDefault="0065124E" w:rsidP="0065124E">
            <w:pPr>
              <w:pStyle w:val="DHHStabletext"/>
              <w:spacing w:before="0" w:after="0"/>
              <w:rPr>
                <w:rFonts w:ascii="VIC" w:hAnsi="VIC"/>
                <w:sz w:val="18"/>
                <w:szCs w:val="18"/>
              </w:rPr>
            </w:pPr>
          </w:p>
        </w:tc>
        <w:tc>
          <w:tcPr>
            <w:tcW w:w="1985" w:type="dxa"/>
            <w:shd w:val="clear" w:color="auto" w:fill="BFCED6"/>
          </w:tcPr>
          <w:p w14:paraId="5FD9C66B" w14:textId="3D3DCFAD"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North West/Inner West (Broadmeadows)</w:t>
            </w:r>
          </w:p>
        </w:tc>
        <w:tc>
          <w:tcPr>
            <w:tcW w:w="1523" w:type="dxa"/>
            <w:shd w:val="clear" w:color="auto" w:fill="BFCED6"/>
          </w:tcPr>
          <w:p w14:paraId="409DE6AA" w14:textId="0754EE27" w:rsidR="0065124E" w:rsidRPr="00BF031D" w:rsidRDefault="0065124E" w:rsidP="0065124E">
            <w:pPr>
              <w:jc w:val="center"/>
              <w:rPr>
                <w:rFonts w:ascii="VIC" w:hAnsi="VIC"/>
                <w:sz w:val="18"/>
                <w:szCs w:val="18"/>
              </w:rPr>
            </w:pPr>
            <w:r w:rsidRPr="00BF7527">
              <w:rPr>
                <w:rFonts w:ascii="VIC" w:eastAsia="Verdana" w:hAnsi="VIC"/>
                <w:color w:val="000000"/>
                <w:sz w:val="18"/>
                <w:szCs w:val="18"/>
              </w:rPr>
              <w:t>19 %</w:t>
            </w:r>
          </w:p>
        </w:tc>
        <w:tc>
          <w:tcPr>
            <w:tcW w:w="1524" w:type="dxa"/>
            <w:shd w:val="clear" w:color="auto" w:fill="BFCED6"/>
          </w:tcPr>
          <w:p w14:paraId="04A6E1E7" w14:textId="6040FA86" w:rsidR="0065124E" w:rsidRPr="00BF031D" w:rsidRDefault="0065124E" w:rsidP="0065124E">
            <w:pPr>
              <w:jc w:val="center"/>
              <w:rPr>
                <w:rFonts w:ascii="VIC" w:hAnsi="VIC"/>
                <w:sz w:val="18"/>
                <w:szCs w:val="18"/>
              </w:rPr>
            </w:pPr>
            <w:r w:rsidRPr="00BF7527">
              <w:rPr>
                <w:rFonts w:ascii="VIC" w:eastAsia="Verdana" w:hAnsi="VIC"/>
                <w:color w:val="000000"/>
                <w:sz w:val="18"/>
                <w:szCs w:val="18"/>
              </w:rPr>
              <w:t>4.5</w:t>
            </w:r>
          </w:p>
        </w:tc>
        <w:tc>
          <w:tcPr>
            <w:tcW w:w="1524" w:type="dxa"/>
            <w:shd w:val="clear" w:color="auto" w:fill="BFCED6"/>
          </w:tcPr>
          <w:p w14:paraId="1134FBBD" w14:textId="37D7D4E6" w:rsidR="0065124E" w:rsidRPr="00BF031D" w:rsidRDefault="0065124E" w:rsidP="0065124E">
            <w:pPr>
              <w:jc w:val="center"/>
              <w:rPr>
                <w:rFonts w:ascii="VIC" w:hAnsi="VIC"/>
                <w:sz w:val="18"/>
                <w:szCs w:val="18"/>
              </w:rPr>
            </w:pPr>
            <w:r w:rsidRPr="00BF7527">
              <w:rPr>
                <w:rFonts w:ascii="VIC" w:eastAsia="Verdana" w:hAnsi="VIC"/>
                <w:color w:val="000000"/>
                <w:sz w:val="18"/>
                <w:szCs w:val="18"/>
              </w:rPr>
              <w:t>6 %</w:t>
            </w:r>
          </w:p>
        </w:tc>
        <w:tc>
          <w:tcPr>
            <w:tcW w:w="1524" w:type="dxa"/>
            <w:shd w:val="clear" w:color="auto" w:fill="BFCED6"/>
          </w:tcPr>
          <w:p w14:paraId="38AA4A91" w14:textId="6E0F5CCF" w:rsidR="0065124E" w:rsidRPr="00BF031D" w:rsidRDefault="0065124E" w:rsidP="0065124E">
            <w:pPr>
              <w:jc w:val="center"/>
              <w:rPr>
                <w:rFonts w:ascii="VIC" w:hAnsi="VIC"/>
                <w:sz w:val="18"/>
                <w:szCs w:val="18"/>
              </w:rPr>
            </w:pPr>
            <w:r w:rsidRPr="00BF7527">
              <w:rPr>
                <w:rFonts w:ascii="VIC" w:eastAsia="Verdana" w:hAnsi="VIC"/>
                <w:color w:val="000000"/>
                <w:sz w:val="18"/>
                <w:szCs w:val="18"/>
              </w:rPr>
              <w:t>39 %</w:t>
            </w:r>
          </w:p>
        </w:tc>
        <w:tc>
          <w:tcPr>
            <w:tcW w:w="1523" w:type="dxa"/>
            <w:shd w:val="clear" w:color="auto" w:fill="BFCED6"/>
          </w:tcPr>
          <w:p w14:paraId="77FB6C65" w14:textId="5E68688F" w:rsidR="0065124E" w:rsidRPr="00BF031D" w:rsidRDefault="0065124E" w:rsidP="0065124E">
            <w:pPr>
              <w:jc w:val="center"/>
              <w:rPr>
                <w:rFonts w:ascii="VIC" w:hAnsi="VIC"/>
                <w:sz w:val="18"/>
                <w:szCs w:val="18"/>
              </w:rPr>
            </w:pPr>
            <w:r w:rsidRPr="00BF7527">
              <w:rPr>
                <w:rFonts w:ascii="VIC" w:eastAsia="Verdana" w:hAnsi="VIC"/>
                <w:color w:val="000000"/>
                <w:sz w:val="18"/>
                <w:szCs w:val="18"/>
              </w:rPr>
              <w:t>17.3</w:t>
            </w:r>
          </w:p>
        </w:tc>
        <w:tc>
          <w:tcPr>
            <w:tcW w:w="1524" w:type="dxa"/>
            <w:shd w:val="clear" w:color="auto" w:fill="BFCED6"/>
          </w:tcPr>
          <w:p w14:paraId="037A6917" w14:textId="66801D6C" w:rsidR="0065124E" w:rsidRPr="00BF031D" w:rsidRDefault="0065124E" w:rsidP="0065124E">
            <w:pPr>
              <w:jc w:val="center"/>
              <w:rPr>
                <w:rFonts w:ascii="VIC" w:hAnsi="VIC"/>
                <w:sz w:val="18"/>
                <w:szCs w:val="18"/>
              </w:rPr>
            </w:pPr>
            <w:r w:rsidRPr="00BF7527">
              <w:rPr>
                <w:rFonts w:ascii="VIC" w:eastAsia="Verdana" w:hAnsi="VIC"/>
                <w:color w:val="000000"/>
                <w:sz w:val="18"/>
                <w:szCs w:val="18"/>
              </w:rPr>
              <w:t>72 %</w:t>
            </w:r>
          </w:p>
        </w:tc>
        <w:tc>
          <w:tcPr>
            <w:tcW w:w="1524" w:type="dxa"/>
            <w:shd w:val="clear" w:color="auto" w:fill="BFCED6"/>
          </w:tcPr>
          <w:p w14:paraId="0A1E375A" w14:textId="5BF5B284" w:rsidR="0065124E" w:rsidRPr="00BF031D" w:rsidRDefault="0065124E" w:rsidP="0065124E">
            <w:pPr>
              <w:jc w:val="center"/>
              <w:rPr>
                <w:rFonts w:ascii="VIC" w:hAnsi="VIC"/>
                <w:sz w:val="18"/>
                <w:szCs w:val="18"/>
              </w:rPr>
            </w:pPr>
            <w:r w:rsidRPr="00BF7527">
              <w:rPr>
                <w:rFonts w:ascii="VIC" w:eastAsia="Verdana" w:hAnsi="VIC"/>
                <w:color w:val="000000"/>
                <w:sz w:val="18"/>
                <w:szCs w:val="18"/>
              </w:rPr>
              <w:t>1 %</w:t>
            </w:r>
          </w:p>
        </w:tc>
        <w:tc>
          <w:tcPr>
            <w:tcW w:w="1524" w:type="dxa"/>
            <w:shd w:val="clear" w:color="auto" w:fill="BFCED6"/>
          </w:tcPr>
          <w:p w14:paraId="443E40AD" w14:textId="7BCE5C93" w:rsidR="0065124E" w:rsidRPr="00BF031D" w:rsidRDefault="0065124E" w:rsidP="0065124E">
            <w:pPr>
              <w:jc w:val="center"/>
              <w:rPr>
                <w:rFonts w:ascii="VIC" w:hAnsi="VIC"/>
                <w:sz w:val="18"/>
                <w:szCs w:val="18"/>
              </w:rPr>
            </w:pPr>
            <w:r w:rsidRPr="00BF7527">
              <w:rPr>
                <w:rFonts w:ascii="VIC" w:eastAsia="Verdana" w:hAnsi="VIC"/>
                <w:color w:val="000000"/>
                <w:sz w:val="18"/>
                <w:szCs w:val="18"/>
              </w:rPr>
              <w:t>2.7</w:t>
            </w:r>
          </w:p>
        </w:tc>
      </w:tr>
      <w:tr w:rsidR="0065124E" w:rsidRPr="00BF031D" w14:paraId="26C08829" w14:textId="77777777" w:rsidTr="00BF031D">
        <w:trPr>
          <w:trHeight w:val="454"/>
        </w:trPr>
        <w:tc>
          <w:tcPr>
            <w:tcW w:w="1570" w:type="dxa"/>
            <w:vMerge/>
            <w:shd w:val="clear" w:color="auto" w:fill="BFCED6"/>
          </w:tcPr>
          <w:p w14:paraId="568AE42B" w14:textId="77777777" w:rsidR="0065124E" w:rsidRPr="00BF031D" w:rsidRDefault="0065124E" w:rsidP="0065124E">
            <w:pPr>
              <w:pStyle w:val="DHHStabletext"/>
              <w:spacing w:before="0" w:after="0"/>
              <w:rPr>
                <w:rFonts w:ascii="VIC" w:hAnsi="VIC"/>
                <w:sz w:val="18"/>
                <w:szCs w:val="18"/>
              </w:rPr>
            </w:pPr>
          </w:p>
        </w:tc>
        <w:tc>
          <w:tcPr>
            <w:tcW w:w="1985" w:type="dxa"/>
            <w:shd w:val="clear" w:color="auto" w:fill="BFCED6"/>
          </w:tcPr>
          <w:p w14:paraId="29602562" w14:textId="59D495EB"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TOTAL</w:t>
            </w:r>
          </w:p>
        </w:tc>
        <w:tc>
          <w:tcPr>
            <w:tcW w:w="1523" w:type="dxa"/>
            <w:shd w:val="clear" w:color="auto" w:fill="BFCED6"/>
          </w:tcPr>
          <w:p w14:paraId="6886D952" w14:textId="4B883BBA" w:rsidR="0065124E" w:rsidRPr="00BF031D" w:rsidRDefault="0065124E" w:rsidP="0065124E">
            <w:pPr>
              <w:jc w:val="center"/>
              <w:rPr>
                <w:rFonts w:ascii="VIC" w:hAnsi="VIC"/>
                <w:sz w:val="18"/>
                <w:szCs w:val="18"/>
              </w:rPr>
            </w:pPr>
            <w:r w:rsidRPr="00BF7527">
              <w:rPr>
                <w:rFonts w:ascii="VIC" w:eastAsia="Verdana" w:hAnsi="VIC"/>
                <w:color w:val="000000"/>
                <w:sz w:val="18"/>
                <w:szCs w:val="18"/>
              </w:rPr>
              <w:t>20 %</w:t>
            </w:r>
          </w:p>
        </w:tc>
        <w:tc>
          <w:tcPr>
            <w:tcW w:w="1524" w:type="dxa"/>
            <w:shd w:val="clear" w:color="auto" w:fill="BFCED6"/>
          </w:tcPr>
          <w:p w14:paraId="184C0BE3" w14:textId="446822DD" w:rsidR="0065124E" w:rsidRPr="00BF031D" w:rsidRDefault="0065124E" w:rsidP="0065124E">
            <w:pPr>
              <w:jc w:val="center"/>
              <w:rPr>
                <w:rFonts w:ascii="VIC" w:hAnsi="VIC"/>
                <w:sz w:val="18"/>
                <w:szCs w:val="18"/>
              </w:rPr>
            </w:pPr>
            <w:r w:rsidRPr="00BF7527">
              <w:rPr>
                <w:rFonts w:ascii="VIC" w:eastAsia="Verdana" w:hAnsi="VIC"/>
                <w:color w:val="000000"/>
                <w:sz w:val="18"/>
                <w:szCs w:val="18"/>
              </w:rPr>
              <w:t>4.9</w:t>
            </w:r>
          </w:p>
        </w:tc>
        <w:tc>
          <w:tcPr>
            <w:tcW w:w="1524" w:type="dxa"/>
            <w:shd w:val="clear" w:color="auto" w:fill="BFCED6"/>
          </w:tcPr>
          <w:p w14:paraId="3870C8ED" w14:textId="6A0E5F62" w:rsidR="0065124E" w:rsidRPr="00BF031D" w:rsidRDefault="0065124E" w:rsidP="0065124E">
            <w:pPr>
              <w:jc w:val="center"/>
              <w:rPr>
                <w:rFonts w:ascii="VIC" w:hAnsi="VIC"/>
                <w:sz w:val="18"/>
                <w:szCs w:val="18"/>
              </w:rPr>
            </w:pPr>
            <w:r w:rsidRPr="00BF7527">
              <w:rPr>
                <w:rFonts w:ascii="VIC" w:eastAsia="Verdana" w:hAnsi="VIC"/>
                <w:color w:val="000000"/>
                <w:sz w:val="18"/>
                <w:szCs w:val="18"/>
              </w:rPr>
              <w:t>7 %</w:t>
            </w:r>
          </w:p>
        </w:tc>
        <w:tc>
          <w:tcPr>
            <w:tcW w:w="1524" w:type="dxa"/>
            <w:shd w:val="clear" w:color="auto" w:fill="BFCED6"/>
          </w:tcPr>
          <w:p w14:paraId="59D8EE2F" w14:textId="446E3068" w:rsidR="0065124E" w:rsidRPr="00BF031D" w:rsidRDefault="0065124E" w:rsidP="0065124E">
            <w:pPr>
              <w:jc w:val="center"/>
              <w:rPr>
                <w:rFonts w:ascii="VIC" w:hAnsi="VIC"/>
                <w:sz w:val="18"/>
                <w:szCs w:val="18"/>
              </w:rPr>
            </w:pPr>
            <w:r w:rsidRPr="00BF7527">
              <w:rPr>
                <w:rFonts w:ascii="VIC" w:eastAsia="Verdana" w:hAnsi="VIC"/>
                <w:color w:val="000000"/>
                <w:sz w:val="18"/>
                <w:szCs w:val="18"/>
              </w:rPr>
              <w:t>59 %</w:t>
            </w:r>
          </w:p>
        </w:tc>
        <w:tc>
          <w:tcPr>
            <w:tcW w:w="1523" w:type="dxa"/>
            <w:shd w:val="clear" w:color="auto" w:fill="BFCED6"/>
          </w:tcPr>
          <w:p w14:paraId="723662DA" w14:textId="5243DEA5" w:rsidR="0065124E" w:rsidRPr="00BF031D" w:rsidRDefault="0065124E" w:rsidP="0065124E">
            <w:pPr>
              <w:jc w:val="center"/>
              <w:rPr>
                <w:rFonts w:ascii="VIC" w:hAnsi="VIC"/>
                <w:sz w:val="18"/>
                <w:szCs w:val="18"/>
              </w:rPr>
            </w:pPr>
            <w:r w:rsidRPr="00BF7527">
              <w:rPr>
                <w:rFonts w:ascii="VIC" w:eastAsia="Verdana" w:hAnsi="VIC"/>
                <w:color w:val="000000"/>
                <w:sz w:val="18"/>
                <w:szCs w:val="18"/>
              </w:rPr>
              <w:t>12.9</w:t>
            </w:r>
          </w:p>
        </w:tc>
        <w:tc>
          <w:tcPr>
            <w:tcW w:w="1524" w:type="dxa"/>
            <w:shd w:val="clear" w:color="auto" w:fill="BFCED6"/>
          </w:tcPr>
          <w:p w14:paraId="2B7B46F9" w14:textId="10C14A1E" w:rsidR="0065124E" w:rsidRPr="00BF031D" w:rsidRDefault="0065124E" w:rsidP="0065124E">
            <w:pPr>
              <w:jc w:val="center"/>
              <w:rPr>
                <w:rFonts w:ascii="VIC" w:hAnsi="VIC"/>
                <w:sz w:val="18"/>
                <w:szCs w:val="18"/>
              </w:rPr>
            </w:pPr>
            <w:r w:rsidRPr="00BF7527">
              <w:rPr>
                <w:rFonts w:ascii="VIC" w:eastAsia="Verdana" w:hAnsi="VIC"/>
                <w:color w:val="000000"/>
                <w:sz w:val="18"/>
                <w:szCs w:val="18"/>
              </w:rPr>
              <w:t>63 %</w:t>
            </w:r>
          </w:p>
        </w:tc>
        <w:tc>
          <w:tcPr>
            <w:tcW w:w="1524" w:type="dxa"/>
            <w:shd w:val="clear" w:color="auto" w:fill="BFCED6"/>
          </w:tcPr>
          <w:p w14:paraId="335E8903" w14:textId="62452322" w:rsidR="0065124E" w:rsidRPr="00BF031D" w:rsidRDefault="0065124E" w:rsidP="0065124E">
            <w:pPr>
              <w:jc w:val="center"/>
              <w:rPr>
                <w:rFonts w:ascii="VIC" w:hAnsi="VIC"/>
                <w:sz w:val="18"/>
                <w:szCs w:val="18"/>
              </w:rPr>
            </w:pPr>
            <w:r w:rsidRPr="00BF7527">
              <w:rPr>
                <w:rFonts w:ascii="VIC" w:eastAsia="Verdana" w:hAnsi="VIC"/>
                <w:color w:val="000000"/>
                <w:sz w:val="18"/>
                <w:szCs w:val="18"/>
              </w:rPr>
              <w:t>2 %</w:t>
            </w:r>
          </w:p>
        </w:tc>
        <w:tc>
          <w:tcPr>
            <w:tcW w:w="1524" w:type="dxa"/>
            <w:shd w:val="clear" w:color="auto" w:fill="BFCED6"/>
          </w:tcPr>
          <w:p w14:paraId="4CBB07AA" w14:textId="1161BF13" w:rsidR="0065124E" w:rsidRPr="00BF031D" w:rsidRDefault="0065124E" w:rsidP="0065124E">
            <w:pPr>
              <w:jc w:val="center"/>
              <w:rPr>
                <w:rFonts w:ascii="VIC" w:hAnsi="VIC"/>
                <w:sz w:val="18"/>
                <w:szCs w:val="18"/>
              </w:rPr>
            </w:pPr>
            <w:r w:rsidRPr="00BF7527">
              <w:rPr>
                <w:rFonts w:ascii="VIC" w:eastAsia="Verdana" w:hAnsi="VIC"/>
                <w:color w:val="000000"/>
                <w:sz w:val="18"/>
                <w:szCs w:val="18"/>
              </w:rPr>
              <w:t>1.8</w:t>
            </w:r>
          </w:p>
        </w:tc>
      </w:tr>
      <w:tr w:rsidR="0065124E" w:rsidRPr="00BF031D" w14:paraId="0564D9C4" w14:textId="77777777" w:rsidTr="00BF031D">
        <w:trPr>
          <w:trHeight w:val="454"/>
        </w:trPr>
        <w:tc>
          <w:tcPr>
            <w:tcW w:w="1570" w:type="dxa"/>
            <w:shd w:val="clear" w:color="auto" w:fill="auto"/>
          </w:tcPr>
          <w:p w14:paraId="496DA478" w14:textId="0E4B596C"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Monash Health</w:t>
            </w:r>
          </w:p>
        </w:tc>
        <w:tc>
          <w:tcPr>
            <w:tcW w:w="1985" w:type="dxa"/>
            <w:shd w:val="clear" w:color="auto" w:fill="auto"/>
          </w:tcPr>
          <w:p w14:paraId="0E4B591A" w14:textId="023AAE53"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Middle South (Monash Aged)</w:t>
            </w:r>
          </w:p>
        </w:tc>
        <w:tc>
          <w:tcPr>
            <w:tcW w:w="1523" w:type="dxa"/>
            <w:shd w:val="clear" w:color="auto" w:fill="auto"/>
          </w:tcPr>
          <w:p w14:paraId="7BA5F530" w14:textId="203E4DF1" w:rsidR="0065124E" w:rsidRPr="00BF031D" w:rsidRDefault="0065124E" w:rsidP="0065124E">
            <w:pPr>
              <w:jc w:val="center"/>
              <w:rPr>
                <w:rFonts w:ascii="VIC" w:hAnsi="VIC"/>
                <w:sz w:val="18"/>
                <w:szCs w:val="18"/>
              </w:rPr>
            </w:pPr>
            <w:r w:rsidRPr="00BF7527">
              <w:rPr>
                <w:rFonts w:ascii="VIC" w:eastAsia="Verdana" w:hAnsi="VIC"/>
                <w:color w:val="000000"/>
                <w:sz w:val="18"/>
                <w:szCs w:val="18"/>
              </w:rPr>
              <w:t>28 %</w:t>
            </w:r>
          </w:p>
        </w:tc>
        <w:tc>
          <w:tcPr>
            <w:tcW w:w="1524" w:type="dxa"/>
            <w:shd w:val="clear" w:color="auto" w:fill="auto"/>
          </w:tcPr>
          <w:p w14:paraId="28BC1BDD" w14:textId="1140DB57" w:rsidR="0065124E" w:rsidRPr="00BF031D" w:rsidRDefault="0065124E" w:rsidP="0065124E">
            <w:pPr>
              <w:jc w:val="center"/>
              <w:rPr>
                <w:rFonts w:ascii="VIC" w:hAnsi="VIC"/>
                <w:sz w:val="18"/>
                <w:szCs w:val="18"/>
              </w:rPr>
            </w:pPr>
            <w:r w:rsidRPr="00BF7527">
              <w:rPr>
                <w:rFonts w:ascii="VIC" w:eastAsia="Verdana" w:hAnsi="VIC"/>
                <w:color w:val="000000"/>
                <w:sz w:val="18"/>
                <w:szCs w:val="18"/>
              </w:rPr>
              <w:t>5.4</w:t>
            </w:r>
          </w:p>
        </w:tc>
        <w:tc>
          <w:tcPr>
            <w:tcW w:w="1524" w:type="dxa"/>
            <w:shd w:val="clear" w:color="auto" w:fill="auto"/>
          </w:tcPr>
          <w:p w14:paraId="5385B6A4" w14:textId="002B5959" w:rsidR="0065124E" w:rsidRPr="00BF031D" w:rsidRDefault="0065124E" w:rsidP="0065124E">
            <w:pPr>
              <w:jc w:val="center"/>
              <w:rPr>
                <w:rFonts w:ascii="VIC" w:hAnsi="VIC"/>
                <w:sz w:val="18"/>
                <w:szCs w:val="18"/>
              </w:rPr>
            </w:pPr>
            <w:r w:rsidRPr="00BF7527">
              <w:rPr>
                <w:rFonts w:ascii="VIC" w:eastAsia="Verdana" w:hAnsi="VIC"/>
                <w:color w:val="000000"/>
                <w:sz w:val="18"/>
                <w:szCs w:val="18"/>
              </w:rPr>
              <w:t>5 %</w:t>
            </w:r>
          </w:p>
        </w:tc>
        <w:tc>
          <w:tcPr>
            <w:tcW w:w="1524" w:type="dxa"/>
            <w:shd w:val="clear" w:color="auto" w:fill="auto"/>
          </w:tcPr>
          <w:p w14:paraId="4BBC84C0" w14:textId="1A0F5C6A" w:rsidR="0065124E" w:rsidRPr="00BF031D" w:rsidRDefault="0065124E" w:rsidP="0065124E">
            <w:pPr>
              <w:jc w:val="center"/>
              <w:rPr>
                <w:rFonts w:ascii="VIC" w:hAnsi="VIC"/>
                <w:sz w:val="18"/>
                <w:szCs w:val="18"/>
              </w:rPr>
            </w:pPr>
            <w:r w:rsidRPr="00BF7527">
              <w:rPr>
                <w:rFonts w:ascii="VIC" w:eastAsia="Verdana" w:hAnsi="VIC"/>
                <w:color w:val="000000"/>
                <w:sz w:val="18"/>
                <w:szCs w:val="18"/>
              </w:rPr>
              <w:t>91 %</w:t>
            </w:r>
          </w:p>
        </w:tc>
        <w:tc>
          <w:tcPr>
            <w:tcW w:w="1523" w:type="dxa"/>
            <w:shd w:val="clear" w:color="auto" w:fill="auto"/>
          </w:tcPr>
          <w:p w14:paraId="1A3D850E" w14:textId="5A590102" w:rsidR="0065124E" w:rsidRPr="00BF031D" w:rsidRDefault="0065124E" w:rsidP="0065124E">
            <w:pPr>
              <w:jc w:val="center"/>
              <w:rPr>
                <w:rFonts w:ascii="VIC" w:hAnsi="VIC"/>
                <w:sz w:val="18"/>
                <w:szCs w:val="18"/>
              </w:rPr>
            </w:pPr>
            <w:r w:rsidRPr="00BF7527">
              <w:rPr>
                <w:rFonts w:ascii="VIC" w:eastAsia="Verdana" w:hAnsi="VIC"/>
                <w:color w:val="000000"/>
                <w:sz w:val="18"/>
                <w:szCs w:val="18"/>
              </w:rPr>
              <w:t>13.8</w:t>
            </w:r>
          </w:p>
        </w:tc>
        <w:tc>
          <w:tcPr>
            <w:tcW w:w="1524" w:type="dxa"/>
            <w:shd w:val="clear" w:color="auto" w:fill="auto"/>
          </w:tcPr>
          <w:p w14:paraId="4526329E" w14:textId="2388A245" w:rsidR="0065124E" w:rsidRPr="00BF031D" w:rsidRDefault="0065124E" w:rsidP="0065124E">
            <w:pPr>
              <w:jc w:val="center"/>
              <w:rPr>
                <w:rFonts w:ascii="VIC" w:hAnsi="VIC"/>
                <w:sz w:val="18"/>
                <w:szCs w:val="18"/>
              </w:rPr>
            </w:pPr>
            <w:r w:rsidRPr="00BF7527">
              <w:rPr>
                <w:rFonts w:ascii="VIC" w:eastAsia="Verdana" w:hAnsi="VIC"/>
                <w:color w:val="000000"/>
                <w:sz w:val="18"/>
                <w:szCs w:val="18"/>
              </w:rPr>
              <w:t>56 %</w:t>
            </w:r>
          </w:p>
        </w:tc>
        <w:tc>
          <w:tcPr>
            <w:tcW w:w="1524" w:type="dxa"/>
            <w:shd w:val="clear" w:color="auto" w:fill="auto"/>
          </w:tcPr>
          <w:p w14:paraId="6570AAA4" w14:textId="4BC5F660" w:rsidR="0065124E" w:rsidRPr="00BF031D" w:rsidRDefault="0065124E" w:rsidP="0065124E">
            <w:pPr>
              <w:jc w:val="center"/>
              <w:rPr>
                <w:rFonts w:ascii="VIC" w:hAnsi="VIC"/>
                <w:sz w:val="18"/>
                <w:szCs w:val="18"/>
              </w:rPr>
            </w:pPr>
            <w:r w:rsidRPr="00BF7527">
              <w:rPr>
                <w:rFonts w:ascii="VIC" w:eastAsia="Verdana" w:hAnsi="VIC"/>
                <w:color w:val="000000"/>
                <w:sz w:val="18"/>
                <w:szCs w:val="18"/>
              </w:rPr>
              <w:t>2 %</w:t>
            </w:r>
          </w:p>
        </w:tc>
        <w:tc>
          <w:tcPr>
            <w:tcW w:w="1524" w:type="dxa"/>
            <w:shd w:val="clear" w:color="auto" w:fill="auto"/>
          </w:tcPr>
          <w:p w14:paraId="2E4F4E37" w14:textId="04899B64" w:rsidR="0065124E" w:rsidRPr="00BF031D" w:rsidRDefault="0065124E" w:rsidP="0065124E">
            <w:pPr>
              <w:jc w:val="center"/>
              <w:rPr>
                <w:rFonts w:ascii="VIC" w:hAnsi="VIC"/>
                <w:sz w:val="18"/>
                <w:szCs w:val="18"/>
              </w:rPr>
            </w:pPr>
            <w:r w:rsidRPr="00BF7527">
              <w:rPr>
                <w:rFonts w:ascii="VIC" w:eastAsia="Verdana" w:hAnsi="VIC"/>
                <w:color w:val="000000"/>
                <w:sz w:val="18"/>
                <w:szCs w:val="18"/>
              </w:rPr>
              <w:t>1.9</w:t>
            </w:r>
          </w:p>
        </w:tc>
      </w:tr>
      <w:tr w:rsidR="0065124E" w:rsidRPr="00BF031D" w14:paraId="2308CC5B" w14:textId="77777777" w:rsidTr="00BF031D">
        <w:trPr>
          <w:trHeight w:val="454"/>
        </w:trPr>
        <w:tc>
          <w:tcPr>
            <w:tcW w:w="1570" w:type="dxa"/>
            <w:shd w:val="clear" w:color="auto" w:fill="BFCED6"/>
          </w:tcPr>
          <w:p w14:paraId="67CB2523" w14:textId="5F1ADA92"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Peninsula Health</w:t>
            </w:r>
          </w:p>
        </w:tc>
        <w:tc>
          <w:tcPr>
            <w:tcW w:w="1985" w:type="dxa"/>
            <w:shd w:val="clear" w:color="auto" w:fill="BFCED6"/>
          </w:tcPr>
          <w:p w14:paraId="775CADD1" w14:textId="47F2D16C"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Peninsula</w:t>
            </w:r>
          </w:p>
        </w:tc>
        <w:tc>
          <w:tcPr>
            <w:tcW w:w="1523" w:type="dxa"/>
            <w:shd w:val="clear" w:color="auto" w:fill="BFCED6"/>
          </w:tcPr>
          <w:p w14:paraId="39851FAA" w14:textId="4958EE95" w:rsidR="0065124E" w:rsidRPr="00BF031D" w:rsidRDefault="0065124E" w:rsidP="0065124E">
            <w:pPr>
              <w:jc w:val="center"/>
              <w:rPr>
                <w:rFonts w:ascii="VIC" w:hAnsi="VIC"/>
                <w:sz w:val="18"/>
                <w:szCs w:val="18"/>
              </w:rPr>
            </w:pPr>
            <w:r w:rsidRPr="00BF7527">
              <w:rPr>
                <w:rFonts w:ascii="VIC" w:eastAsia="Verdana" w:hAnsi="VIC"/>
                <w:color w:val="000000"/>
                <w:sz w:val="18"/>
                <w:szCs w:val="18"/>
              </w:rPr>
              <w:t>29 %</w:t>
            </w:r>
          </w:p>
        </w:tc>
        <w:tc>
          <w:tcPr>
            <w:tcW w:w="1524" w:type="dxa"/>
            <w:shd w:val="clear" w:color="auto" w:fill="BFCED6"/>
          </w:tcPr>
          <w:p w14:paraId="431C9699" w14:textId="73C59581" w:rsidR="0065124E" w:rsidRPr="00BF031D" w:rsidRDefault="0065124E" w:rsidP="0065124E">
            <w:pPr>
              <w:jc w:val="center"/>
              <w:rPr>
                <w:rFonts w:ascii="VIC" w:hAnsi="VIC"/>
                <w:sz w:val="18"/>
                <w:szCs w:val="18"/>
              </w:rPr>
            </w:pPr>
            <w:r w:rsidRPr="00BF7527">
              <w:rPr>
                <w:rFonts w:ascii="VIC" w:eastAsia="Verdana" w:hAnsi="VIC"/>
                <w:color w:val="000000"/>
                <w:sz w:val="18"/>
                <w:szCs w:val="18"/>
              </w:rPr>
              <w:t>6.4</w:t>
            </w:r>
          </w:p>
        </w:tc>
        <w:tc>
          <w:tcPr>
            <w:tcW w:w="1524" w:type="dxa"/>
            <w:shd w:val="clear" w:color="auto" w:fill="BFCED6"/>
          </w:tcPr>
          <w:p w14:paraId="3ACA3D41" w14:textId="7E056BB9" w:rsidR="0065124E" w:rsidRPr="00BF031D" w:rsidRDefault="0065124E" w:rsidP="0065124E">
            <w:pPr>
              <w:jc w:val="center"/>
              <w:rPr>
                <w:rFonts w:ascii="VIC" w:hAnsi="VIC"/>
                <w:sz w:val="18"/>
                <w:szCs w:val="18"/>
              </w:rPr>
            </w:pPr>
            <w:r w:rsidRPr="00BF7527">
              <w:rPr>
                <w:rFonts w:ascii="VIC" w:eastAsia="Verdana" w:hAnsi="VIC"/>
                <w:color w:val="000000"/>
                <w:sz w:val="18"/>
                <w:szCs w:val="18"/>
              </w:rPr>
              <w:t>3 %</w:t>
            </w:r>
          </w:p>
        </w:tc>
        <w:tc>
          <w:tcPr>
            <w:tcW w:w="1524" w:type="dxa"/>
            <w:shd w:val="clear" w:color="auto" w:fill="BFCED6"/>
          </w:tcPr>
          <w:p w14:paraId="7B9CC000" w14:textId="31028DC5" w:rsidR="0065124E" w:rsidRPr="00BF031D" w:rsidRDefault="0065124E" w:rsidP="0065124E">
            <w:pPr>
              <w:jc w:val="center"/>
              <w:rPr>
                <w:rFonts w:ascii="VIC" w:hAnsi="VIC"/>
                <w:sz w:val="18"/>
                <w:szCs w:val="18"/>
              </w:rPr>
            </w:pPr>
            <w:r w:rsidRPr="00BF7527">
              <w:rPr>
                <w:rFonts w:ascii="VIC" w:eastAsia="Verdana" w:hAnsi="VIC"/>
                <w:color w:val="000000"/>
                <w:sz w:val="18"/>
                <w:szCs w:val="18"/>
              </w:rPr>
              <w:t>93 %</w:t>
            </w:r>
          </w:p>
        </w:tc>
        <w:tc>
          <w:tcPr>
            <w:tcW w:w="1523" w:type="dxa"/>
            <w:shd w:val="clear" w:color="auto" w:fill="BFCED6"/>
          </w:tcPr>
          <w:p w14:paraId="477EB497" w14:textId="4A059841" w:rsidR="0065124E" w:rsidRPr="00BF031D" w:rsidRDefault="0065124E" w:rsidP="0065124E">
            <w:pPr>
              <w:jc w:val="center"/>
              <w:rPr>
                <w:rFonts w:ascii="VIC" w:hAnsi="VIC"/>
                <w:sz w:val="18"/>
                <w:szCs w:val="18"/>
              </w:rPr>
            </w:pPr>
            <w:r w:rsidRPr="00BF7527">
              <w:rPr>
                <w:rFonts w:ascii="VIC" w:eastAsia="Verdana" w:hAnsi="VIC"/>
                <w:color w:val="000000"/>
                <w:sz w:val="18"/>
                <w:szCs w:val="18"/>
              </w:rPr>
              <w:t>16.5</w:t>
            </w:r>
          </w:p>
        </w:tc>
        <w:tc>
          <w:tcPr>
            <w:tcW w:w="1524" w:type="dxa"/>
            <w:shd w:val="clear" w:color="auto" w:fill="BFCED6"/>
          </w:tcPr>
          <w:p w14:paraId="62E2D09B" w14:textId="53AEDFB6" w:rsidR="0065124E" w:rsidRPr="00BF031D" w:rsidRDefault="0065124E" w:rsidP="0065124E">
            <w:pPr>
              <w:jc w:val="center"/>
              <w:rPr>
                <w:rFonts w:ascii="VIC" w:hAnsi="VIC"/>
                <w:sz w:val="18"/>
                <w:szCs w:val="18"/>
              </w:rPr>
            </w:pPr>
            <w:r w:rsidRPr="00BF7527">
              <w:rPr>
                <w:rFonts w:ascii="VIC" w:eastAsia="Verdana" w:hAnsi="VIC"/>
                <w:color w:val="000000"/>
                <w:sz w:val="18"/>
                <w:szCs w:val="18"/>
              </w:rPr>
              <w:t>61 %</w:t>
            </w:r>
          </w:p>
        </w:tc>
        <w:tc>
          <w:tcPr>
            <w:tcW w:w="1524" w:type="dxa"/>
            <w:shd w:val="clear" w:color="auto" w:fill="BFCED6"/>
          </w:tcPr>
          <w:p w14:paraId="3269BCA6" w14:textId="76C92ABF" w:rsidR="0065124E" w:rsidRPr="00BF031D" w:rsidRDefault="0065124E" w:rsidP="0065124E">
            <w:pPr>
              <w:jc w:val="center"/>
              <w:rPr>
                <w:rFonts w:ascii="VIC" w:hAnsi="VIC"/>
                <w:sz w:val="18"/>
                <w:szCs w:val="18"/>
              </w:rPr>
            </w:pPr>
            <w:r w:rsidRPr="00BF7527">
              <w:rPr>
                <w:rFonts w:ascii="VIC" w:eastAsia="Verdana" w:hAnsi="VIC"/>
                <w:color w:val="000000"/>
                <w:sz w:val="18"/>
                <w:szCs w:val="18"/>
              </w:rPr>
              <w:t>0 %</w:t>
            </w:r>
          </w:p>
        </w:tc>
        <w:tc>
          <w:tcPr>
            <w:tcW w:w="1524" w:type="dxa"/>
            <w:shd w:val="clear" w:color="auto" w:fill="BFCED6"/>
          </w:tcPr>
          <w:p w14:paraId="1D770D30" w14:textId="1E79D53A" w:rsidR="0065124E" w:rsidRPr="00BF031D" w:rsidRDefault="0065124E" w:rsidP="0065124E">
            <w:pPr>
              <w:jc w:val="center"/>
              <w:rPr>
                <w:rFonts w:ascii="VIC" w:hAnsi="VIC"/>
                <w:sz w:val="18"/>
                <w:szCs w:val="18"/>
              </w:rPr>
            </w:pPr>
            <w:r w:rsidRPr="00BF7527">
              <w:rPr>
                <w:rFonts w:ascii="VIC" w:eastAsia="Verdana" w:hAnsi="VIC"/>
                <w:color w:val="000000"/>
                <w:sz w:val="18"/>
                <w:szCs w:val="18"/>
              </w:rPr>
              <w:t>1.5</w:t>
            </w:r>
          </w:p>
        </w:tc>
      </w:tr>
      <w:tr w:rsidR="0065124E" w:rsidRPr="00BF031D" w14:paraId="443BB224" w14:textId="77777777" w:rsidTr="00BF031D">
        <w:trPr>
          <w:trHeight w:val="454"/>
        </w:trPr>
        <w:tc>
          <w:tcPr>
            <w:tcW w:w="1570" w:type="dxa"/>
            <w:shd w:val="clear" w:color="auto" w:fill="auto"/>
          </w:tcPr>
          <w:p w14:paraId="23949095" w14:textId="6E5FA736" w:rsidR="0065124E" w:rsidRPr="00BF031D" w:rsidRDefault="0065124E" w:rsidP="0065124E">
            <w:pPr>
              <w:pStyle w:val="DHHStabletext"/>
              <w:spacing w:before="0" w:after="0"/>
              <w:rPr>
                <w:rFonts w:ascii="VIC" w:hAnsi="VIC"/>
                <w:sz w:val="18"/>
                <w:szCs w:val="18"/>
              </w:rPr>
            </w:pPr>
            <w:r w:rsidRPr="00BF7527">
              <w:rPr>
                <w:rFonts w:ascii="VIC" w:eastAsia="Verdana" w:hAnsi="VIC"/>
                <w:color w:val="000000"/>
                <w:sz w:val="18"/>
                <w:szCs w:val="18"/>
              </w:rPr>
              <w:t>St Vincent's Hospital</w:t>
            </w:r>
          </w:p>
        </w:tc>
        <w:tc>
          <w:tcPr>
            <w:tcW w:w="1985" w:type="dxa"/>
            <w:shd w:val="clear" w:color="auto" w:fill="auto"/>
          </w:tcPr>
          <w:p w14:paraId="157B6F96" w14:textId="72E70C92"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Inner &amp; North East (St. George's)</w:t>
            </w:r>
          </w:p>
        </w:tc>
        <w:tc>
          <w:tcPr>
            <w:tcW w:w="1523" w:type="dxa"/>
            <w:shd w:val="clear" w:color="auto" w:fill="auto"/>
          </w:tcPr>
          <w:p w14:paraId="3B747D99" w14:textId="24DA20D8" w:rsidR="0065124E" w:rsidRPr="00BF031D" w:rsidRDefault="0065124E" w:rsidP="0065124E">
            <w:pPr>
              <w:jc w:val="center"/>
              <w:rPr>
                <w:rFonts w:ascii="VIC" w:hAnsi="VIC"/>
                <w:sz w:val="18"/>
                <w:szCs w:val="18"/>
              </w:rPr>
            </w:pPr>
            <w:r w:rsidRPr="00BF7527">
              <w:rPr>
                <w:rFonts w:ascii="VIC" w:eastAsia="Verdana" w:hAnsi="VIC"/>
                <w:color w:val="000000"/>
                <w:sz w:val="18"/>
                <w:szCs w:val="18"/>
              </w:rPr>
              <w:t>24 %</w:t>
            </w:r>
          </w:p>
        </w:tc>
        <w:tc>
          <w:tcPr>
            <w:tcW w:w="1524" w:type="dxa"/>
            <w:shd w:val="clear" w:color="auto" w:fill="auto"/>
          </w:tcPr>
          <w:p w14:paraId="7F032195" w14:textId="5F2AD635" w:rsidR="0065124E" w:rsidRPr="00BF031D" w:rsidRDefault="0065124E" w:rsidP="0065124E">
            <w:pPr>
              <w:jc w:val="center"/>
              <w:rPr>
                <w:rFonts w:ascii="VIC" w:hAnsi="VIC"/>
                <w:sz w:val="18"/>
                <w:szCs w:val="18"/>
              </w:rPr>
            </w:pPr>
            <w:r w:rsidRPr="00BF7527">
              <w:rPr>
                <w:rFonts w:ascii="VIC" w:eastAsia="Verdana" w:hAnsi="VIC"/>
                <w:color w:val="000000"/>
                <w:sz w:val="18"/>
                <w:szCs w:val="18"/>
              </w:rPr>
              <w:t>6.4</w:t>
            </w:r>
          </w:p>
        </w:tc>
        <w:tc>
          <w:tcPr>
            <w:tcW w:w="1524" w:type="dxa"/>
            <w:shd w:val="clear" w:color="auto" w:fill="auto"/>
          </w:tcPr>
          <w:p w14:paraId="362C4A83" w14:textId="0968A3FF" w:rsidR="0065124E" w:rsidRPr="00BF031D" w:rsidRDefault="0065124E" w:rsidP="0065124E">
            <w:pPr>
              <w:jc w:val="center"/>
              <w:rPr>
                <w:rFonts w:ascii="VIC" w:hAnsi="VIC"/>
                <w:sz w:val="18"/>
                <w:szCs w:val="18"/>
              </w:rPr>
            </w:pPr>
            <w:r w:rsidRPr="00BF7527">
              <w:rPr>
                <w:rFonts w:ascii="VIC" w:eastAsia="Verdana" w:hAnsi="VIC"/>
                <w:color w:val="000000"/>
                <w:sz w:val="18"/>
                <w:szCs w:val="18"/>
              </w:rPr>
              <w:t>7 %</w:t>
            </w:r>
          </w:p>
        </w:tc>
        <w:tc>
          <w:tcPr>
            <w:tcW w:w="1524" w:type="dxa"/>
            <w:shd w:val="clear" w:color="auto" w:fill="auto"/>
          </w:tcPr>
          <w:p w14:paraId="5C336751" w14:textId="0E6820F7" w:rsidR="0065124E" w:rsidRPr="00BF031D" w:rsidRDefault="0065124E" w:rsidP="0065124E">
            <w:pPr>
              <w:jc w:val="center"/>
              <w:rPr>
                <w:rFonts w:ascii="VIC" w:hAnsi="VIC"/>
                <w:sz w:val="18"/>
                <w:szCs w:val="18"/>
              </w:rPr>
            </w:pPr>
            <w:r w:rsidRPr="00BF7527">
              <w:rPr>
                <w:rFonts w:ascii="VIC" w:eastAsia="Verdana" w:hAnsi="VIC"/>
                <w:color w:val="000000"/>
                <w:sz w:val="18"/>
                <w:szCs w:val="18"/>
              </w:rPr>
              <w:t>84 %</w:t>
            </w:r>
          </w:p>
        </w:tc>
        <w:tc>
          <w:tcPr>
            <w:tcW w:w="1523" w:type="dxa"/>
            <w:shd w:val="clear" w:color="auto" w:fill="auto"/>
          </w:tcPr>
          <w:p w14:paraId="3B0F8590" w14:textId="4BC56777" w:rsidR="0065124E" w:rsidRPr="00BF031D" w:rsidRDefault="0065124E" w:rsidP="0065124E">
            <w:pPr>
              <w:jc w:val="center"/>
              <w:rPr>
                <w:rFonts w:ascii="VIC" w:hAnsi="VIC"/>
                <w:sz w:val="18"/>
                <w:szCs w:val="18"/>
              </w:rPr>
            </w:pPr>
            <w:r w:rsidRPr="00BF7527">
              <w:rPr>
                <w:rFonts w:ascii="VIC" w:eastAsia="Verdana" w:hAnsi="VIC"/>
                <w:color w:val="000000"/>
                <w:sz w:val="18"/>
                <w:szCs w:val="18"/>
              </w:rPr>
              <w:t>13.8</w:t>
            </w:r>
          </w:p>
        </w:tc>
        <w:tc>
          <w:tcPr>
            <w:tcW w:w="1524" w:type="dxa"/>
            <w:shd w:val="clear" w:color="auto" w:fill="auto"/>
          </w:tcPr>
          <w:p w14:paraId="5D83B7CF" w14:textId="6F1F21DC" w:rsidR="0065124E" w:rsidRPr="00BF031D" w:rsidRDefault="0065124E" w:rsidP="0065124E">
            <w:pPr>
              <w:jc w:val="center"/>
              <w:rPr>
                <w:rFonts w:ascii="VIC" w:hAnsi="VIC"/>
                <w:sz w:val="18"/>
                <w:szCs w:val="18"/>
              </w:rPr>
            </w:pPr>
            <w:r w:rsidRPr="00BF7527">
              <w:rPr>
                <w:rFonts w:ascii="VIC" w:eastAsia="Verdana" w:hAnsi="VIC"/>
                <w:color w:val="000000"/>
                <w:sz w:val="18"/>
                <w:szCs w:val="18"/>
              </w:rPr>
              <w:t>60 %</w:t>
            </w:r>
          </w:p>
        </w:tc>
        <w:tc>
          <w:tcPr>
            <w:tcW w:w="1524" w:type="dxa"/>
            <w:shd w:val="clear" w:color="auto" w:fill="auto"/>
          </w:tcPr>
          <w:p w14:paraId="212F5984" w14:textId="1862E8C4" w:rsidR="0065124E" w:rsidRPr="00BF031D" w:rsidRDefault="0065124E" w:rsidP="0065124E">
            <w:pPr>
              <w:jc w:val="center"/>
              <w:rPr>
                <w:rFonts w:ascii="VIC" w:hAnsi="VIC"/>
                <w:sz w:val="18"/>
                <w:szCs w:val="18"/>
              </w:rPr>
            </w:pPr>
            <w:r w:rsidRPr="00BF7527">
              <w:rPr>
                <w:rFonts w:ascii="VIC" w:eastAsia="Verdana" w:hAnsi="VIC"/>
                <w:color w:val="000000"/>
                <w:sz w:val="18"/>
                <w:szCs w:val="18"/>
              </w:rPr>
              <w:t>4 %</w:t>
            </w:r>
          </w:p>
        </w:tc>
        <w:tc>
          <w:tcPr>
            <w:tcW w:w="1524" w:type="dxa"/>
            <w:shd w:val="clear" w:color="auto" w:fill="auto"/>
          </w:tcPr>
          <w:p w14:paraId="3089E436" w14:textId="258853CA" w:rsidR="0065124E" w:rsidRPr="00BF031D" w:rsidRDefault="0065124E" w:rsidP="0065124E">
            <w:pPr>
              <w:jc w:val="center"/>
              <w:rPr>
                <w:rFonts w:ascii="VIC" w:hAnsi="VIC"/>
                <w:sz w:val="18"/>
                <w:szCs w:val="18"/>
              </w:rPr>
            </w:pPr>
            <w:r w:rsidRPr="00BF7527">
              <w:rPr>
                <w:rFonts w:ascii="VIC" w:eastAsia="Verdana" w:hAnsi="VIC"/>
                <w:color w:val="000000"/>
                <w:sz w:val="18"/>
                <w:szCs w:val="18"/>
              </w:rPr>
              <w:t>1.1</w:t>
            </w:r>
          </w:p>
        </w:tc>
      </w:tr>
      <w:tr w:rsidR="0065124E" w:rsidRPr="0065124E" w14:paraId="7D52530B" w14:textId="77777777" w:rsidTr="00BF031D">
        <w:trPr>
          <w:trHeight w:val="454"/>
        </w:trPr>
        <w:tc>
          <w:tcPr>
            <w:tcW w:w="1570" w:type="dxa"/>
            <w:shd w:val="clear" w:color="auto" w:fill="B1C9E8"/>
          </w:tcPr>
          <w:p w14:paraId="412DEBC4" w14:textId="655A278C" w:rsidR="0065124E" w:rsidRPr="0065124E" w:rsidRDefault="0065124E" w:rsidP="0065124E">
            <w:pPr>
              <w:pStyle w:val="DHHStabletext"/>
              <w:spacing w:before="0" w:after="0"/>
              <w:rPr>
                <w:rFonts w:ascii="VIC SemiBold" w:eastAsia="Verdana" w:hAnsi="VIC SemiBold" w:cs="Verdana"/>
                <w:color w:val="000000" w:themeColor="text1"/>
                <w:sz w:val="18"/>
                <w:szCs w:val="18"/>
              </w:rPr>
            </w:pPr>
            <w:r w:rsidRPr="0065124E">
              <w:rPr>
                <w:rFonts w:ascii="VIC" w:eastAsia="Verdana" w:hAnsi="VIC"/>
                <w:color w:val="000000" w:themeColor="text1"/>
                <w:sz w:val="18"/>
                <w:szCs w:val="18"/>
              </w:rPr>
              <w:t>TOTAL METRO</w:t>
            </w:r>
          </w:p>
        </w:tc>
        <w:tc>
          <w:tcPr>
            <w:tcW w:w="1985" w:type="dxa"/>
            <w:shd w:val="clear" w:color="auto" w:fill="B1C9E8"/>
          </w:tcPr>
          <w:p w14:paraId="19BA8C22" w14:textId="3C17D2AD" w:rsidR="0065124E" w:rsidRPr="0065124E" w:rsidRDefault="0065124E" w:rsidP="0065124E">
            <w:pPr>
              <w:pStyle w:val="DHHStabletext"/>
              <w:spacing w:before="0" w:after="0"/>
              <w:rPr>
                <w:rFonts w:ascii="VIC SemiBold" w:eastAsia="Verdana" w:hAnsi="VIC SemiBold" w:cs="Verdana"/>
                <w:color w:val="000000" w:themeColor="text1"/>
                <w:sz w:val="18"/>
                <w:szCs w:val="18"/>
              </w:rPr>
            </w:pPr>
            <w:r w:rsidRPr="0065124E">
              <w:rPr>
                <w:rFonts w:ascii="VIC" w:eastAsia="Verdana" w:hAnsi="VIC"/>
                <w:color w:val="000000" w:themeColor="text1"/>
                <w:sz w:val="18"/>
                <w:szCs w:val="18"/>
              </w:rPr>
              <w:t xml:space="preserve"> </w:t>
            </w:r>
          </w:p>
        </w:tc>
        <w:tc>
          <w:tcPr>
            <w:tcW w:w="1523" w:type="dxa"/>
            <w:shd w:val="clear" w:color="auto" w:fill="B1C9E8"/>
          </w:tcPr>
          <w:p w14:paraId="249EA43C" w14:textId="78FA0E96"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25 %</w:t>
            </w:r>
          </w:p>
        </w:tc>
        <w:tc>
          <w:tcPr>
            <w:tcW w:w="1524" w:type="dxa"/>
            <w:shd w:val="clear" w:color="auto" w:fill="B1C9E8"/>
          </w:tcPr>
          <w:p w14:paraId="750F47E4" w14:textId="2C0E853B"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5.6</w:t>
            </w:r>
          </w:p>
        </w:tc>
        <w:tc>
          <w:tcPr>
            <w:tcW w:w="1524" w:type="dxa"/>
            <w:shd w:val="clear" w:color="auto" w:fill="B1C9E8"/>
          </w:tcPr>
          <w:p w14:paraId="6645FB93" w14:textId="441A0246"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6 %</w:t>
            </w:r>
          </w:p>
        </w:tc>
        <w:tc>
          <w:tcPr>
            <w:tcW w:w="1524" w:type="dxa"/>
            <w:shd w:val="clear" w:color="auto" w:fill="B1C9E8"/>
          </w:tcPr>
          <w:p w14:paraId="25D11916" w14:textId="34D6091A"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81 %</w:t>
            </w:r>
          </w:p>
        </w:tc>
        <w:tc>
          <w:tcPr>
            <w:tcW w:w="1523" w:type="dxa"/>
            <w:shd w:val="clear" w:color="auto" w:fill="B1C9E8"/>
          </w:tcPr>
          <w:p w14:paraId="61BC1CEF" w14:textId="122803D6"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14.6</w:t>
            </w:r>
          </w:p>
        </w:tc>
        <w:tc>
          <w:tcPr>
            <w:tcW w:w="1524" w:type="dxa"/>
            <w:shd w:val="clear" w:color="auto" w:fill="B1C9E8"/>
          </w:tcPr>
          <w:p w14:paraId="08AEE2A8" w14:textId="2427F6F8"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59 %</w:t>
            </w:r>
          </w:p>
        </w:tc>
        <w:tc>
          <w:tcPr>
            <w:tcW w:w="1524" w:type="dxa"/>
            <w:shd w:val="clear" w:color="auto" w:fill="B1C9E8"/>
          </w:tcPr>
          <w:p w14:paraId="3839F4BD" w14:textId="2C3A53D9"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2 %</w:t>
            </w:r>
          </w:p>
        </w:tc>
        <w:tc>
          <w:tcPr>
            <w:tcW w:w="1524" w:type="dxa"/>
            <w:shd w:val="clear" w:color="auto" w:fill="B1C9E8"/>
          </w:tcPr>
          <w:p w14:paraId="226EC8DC" w14:textId="54AF77CF"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1.8</w:t>
            </w:r>
          </w:p>
        </w:tc>
      </w:tr>
      <w:tr w:rsidR="0065124E" w:rsidRPr="00592F37" w14:paraId="18DF74A5" w14:textId="77777777" w:rsidTr="00BF031D">
        <w:trPr>
          <w:trHeight w:val="454"/>
        </w:trPr>
        <w:tc>
          <w:tcPr>
            <w:tcW w:w="1570" w:type="dxa"/>
            <w:shd w:val="clear" w:color="auto" w:fill="244C5A"/>
          </w:tcPr>
          <w:p w14:paraId="5A48D4FD" w14:textId="7EAFDEB3" w:rsidR="0065124E" w:rsidRPr="00592F37" w:rsidRDefault="0065124E" w:rsidP="0065124E">
            <w:pPr>
              <w:pStyle w:val="DHHStabletext"/>
              <w:spacing w:before="0" w:after="0"/>
              <w:rPr>
                <w:rFonts w:ascii="VIC SemiBold" w:eastAsia="Verdana" w:hAnsi="VIC SemiBold" w:cs="Verdana"/>
                <w:color w:val="FFFFFF" w:themeColor="background1"/>
                <w:sz w:val="18"/>
                <w:szCs w:val="18"/>
              </w:rPr>
            </w:pPr>
            <w:r w:rsidRPr="00BF7527">
              <w:rPr>
                <w:rFonts w:ascii="VIC" w:eastAsia="Verdana" w:hAnsi="VIC"/>
                <w:color w:val="FFFFFF"/>
                <w:sz w:val="18"/>
                <w:szCs w:val="18"/>
              </w:rPr>
              <w:t>TOTAL STATEWIDE</w:t>
            </w:r>
          </w:p>
        </w:tc>
        <w:tc>
          <w:tcPr>
            <w:tcW w:w="1985" w:type="dxa"/>
            <w:shd w:val="clear" w:color="auto" w:fill="244C5A"/>
          </w:tcPr>
          <w:p w14:paraId="371FE1D3" w14:textId="4F626637" w:rsidR="0065124E" w:rsidRPr="00592F37" w:rsidRDefault="0065124E" w:rsidP="0065124E">
            <w:pPr>
              <w:pStyle w:val="DHHStabletext"/>
              <w:spacing w:before="0" w:after="0"/>
              <w:rPr>
                <w:rFonts w:ascii="VIC SemiBold" w:eastAsia="Verdana" w:hAnsi="VIC SemiBold" w:cs="Verdana"/>
                <w:color w:val="FFFFFF" w:themeColor="background1"/>
                <w:sz w:val="18"/>
                <w:szCs w:val="18"/>
              </w:rPr>
            </w:pPr>
            <w:r w:rsidRPr="00BF7527">
              <w:rPr>
                <w:rFonts w:ascii="VIC" w:eastAsia="Verdana" w:hAnsi="VIC"/>
                <w:color w:val="FFFFFF"/>
                <w:sz w:val="18"/>
                <w:szCs w:val="18"/>
              </w:rPr>
              <w:t xml:space="preserve"> </w:t>
            </w:r>
          </w:p>
        </w:tc>
        <w:tc>
          <w:tcPr>
            <w:tcW w:w="1523" w:type="dxa"/>
            <w:shd w:val="clear" w:color="auto" w:fill="244C5A"/>
          </w:tcPr>
          <w:p w14:paraId="5D27356A" w14:textId="0CF83ABA"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23 %</w:t>
            </w:r>
          </w:p>
        </w:tc>
        <w:tc>
          <w:tcPr>
            <w:tcW w:w="1524" w:type="dxa"/>
            <w:shd w:val="clear" w:color="auto" w:fill="244C5A"/>
          </w:tcPr>
          <w:p w14:paraId="44391493" w14:textId="29F1B6E1"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5.5</w:t>
            </w:r>
          </w:p>
        </w:tc>
        <w:tc>
          <w:tcPr>
            <w:tcW w:w="1524" w:type="dxa"/>
            <w:shd w:val="clear" w:color="auto" w:fill="244C5A"/>
          </w:tcPr>
          <w:p w14:paraId="5CD728E9" w14:textId="3901B041"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5 %</w:t>
            </w:r>
          </w:p>
        </w:tc>
        <w:tc>
          <w:tcPr>
            <w:tcW w:w="1524" w:type="dxa"/>
            <w:shd w:val="clear" w:color="auto" w:fill="244C5A"/>
          </w:tcPr>
          <w:p w14:paraId="454966DC" w14:textId="10D37147"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82 %</w:t>
            </w:r>
          </w:p>
        </w:tc>
        <w:tc>
          <w:tcPr>
            <w:tcW w:w="1523" w:type="dxa"/>
            <w:shd w:val="clear" w:color="auto" w:fill="244C5A"/>
          </w:tcPr>
          <w:p w14:paraId="2BFBD533" w14:textId="1AAD6518"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14.5</w:t>
            </w:r>
          </w:p>
        </w:tc>
        <w:tc>
          <w:tcPr>
            <w:tcW w:w="1524" w:type="dxa"/>
            <w:shd w:val="clear" w:color="auto" w:fill="244C5A"/>
          </w:tcPr>
          <w:p w14:paraId="772EBFBE" w14:textId="090C1B52"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60 %</w:t>
            </w:r>
          </w:p>
        </w:tc>
        <w:tc>
          <w:tcPr>
            <w:tcW w:w="1524" w:type="dxa"/>
            <w:shd w:val="clear" w:color="auto" w:fill="244C5A"/>
          </w:tcPr>
          <w:p w14:paraId="577EE165" w14:textId="3080C4D9"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5 %</w:t>
            </w:r>
          </w:p>
        </w:tc>
        <w:tc>
          <w:tcPr>
            <w:tcW w:w="1524" w:type="dxa"/>
            <w:shd w:val="clear" w:color="auto" w:fill="244C5A"/>
          </w:tcPr>
          <w:p w14:paraId="3999C5D2" w14:textId="570C8B2D"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1.8</w:t>
            </w:r>
          </w:p>
        </w:tc>
      </w:tr>
    </w:tbl>
    <w:p w14:paraId="62140DA0" w14:textId="07B7CE84" w:rsidR="00BF031D" w:rsidRDefault="00BF031D" w:rsidP="00E36C2D">
      <w:pPr>
        <w:pStyle w:val="Heading1"/>
      </w:pPr>
    </w:p>
    <w:p w14:paraId="317A655C" w14:textId="77777777" w:rsidR="00BF031D" w:rsidRDefault="00BF031D">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B4630" w:rsidRPr="00A6366B" w14:paraId="6D9A52A6" w14:textId="77777777" w:rsidTr="003B4630">
        <w:trPr>
          <w:trHeight w:val="1062"/>
          <w:tblHeader/>
        </w:trPr>
        <w:tc>
          <w:tcPr>
            <w:tcW w:w="3555" w:type="dxa"/>
            <w:gridSpan w:val="2"/>
            <w:shd w:val="clear" w:color="auto" w:fill="FFFFFF"/>
            <w:vAlign w:val="bottom"/>
          </w:tcPr>
          <w:p w14:paraId="09820497" w14:textId="31D1A694" w:rsidR="003B4630" w:rsidRPr="00592F37" w:rsidRDefault="003B4630" w:rsidP="00BF031D">
            <w:pPr>
              <w:pStyle w:val="Heading1"/>
              <w:spacing w:before="0" w:line="240" w:lineRule="auto"/>
              <w:rPr>
                <w:color w:val="244C5A"/>
                <w:sz w:val="28"/>
                <w:szCs w:val="28"/>
              </w:rPr>
            </w:pPr>
            <w:bookmarkStart w:id="9" w:name="_Toc37865452"/>
            <w:r>
              <w:rPr>
                <w:color w:val="244C5A"/>
                <w:sz w:val="22"/>
                <w:szCs w:val="28"/>
              </w:rPr>
              <w:lastRenderedPageBreak/>
              <w:t>Community</w:t>
            </w:r>
            <w:r w:rsidRPr="00052DAD">
              <w:rPr>
                <w:color w:val="244C5A"/>
                <w:sz w:val="22"/>
                <w:szCs w:val="28"/>
              </w:rPr>
              <w:br w:type="textWrapping" w:clear="all"/>
            </w:r>
            <w:r>
              <w:rPr>
                <w:color w:val="244C5A"/>
                <w:sz w:val="22"/>
                <w:szCs w:val="28"/>
              </w:rPr>
              <w:t>2019</w:t>
            </w:r>
            <w:r w:rsidR="00F91472">
              <w:rPr>
                <w:color w:val="244C5A"/>
                <w:sz w:val="22"/>
                <w:szCs w:val="28"/>
              </w:rPr>
              <w:t>–</w:t>
            </w:r>
            <w:r>
              <w:rPr>
                <w:color w:val="244C5A"/>
                <w:sz w:val="22"/>
                <w:szCs w:val="28"/>
              </w:rPr>
              <w:t>20 Q</w:t>
            </w:r>
            <w:r w:rsidR="004A1C0F">
              <w:rPr>
                <w:color w:val="244C5A"/>
                <w:sz w:val="22"/>
                <w:szCs w:val="28"/>
              </w:rPr>
              <w:t>3</w:t>
            </w:r>
            <w:r w:rsidRPr="00052DAD">
              <w:rPr>
                <w:color w:val="244C5A"/>
                <w:sz w:val="22"/>
                <w:szCs w:val="28"/>
              </w:rPr>
              <w:t xml:space="preserve"> Rural</w:t>
            </w:r>
            <w:bookmarkEnd w:id="9"/>
          </w:p>
        </w:tc>
        <w:tc>
          <w:tcPr>
            <w:tcW w:w="1523" w:type="dxa"/>
            <w:shd w:val="clear" w:color="auto" w:fill="FFFFFF"/>
            <w:vAlign w:val="bottom"/>
          </w:tcPr>
          <w:p w14:paraId="5BF6B812" w14:textId="44B8D0ED" w:rsidR="003B4630" w:rsidRPr="00BF031D" w:rsidRDefault="003B4630" w:rsidP="00BF031D">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2300729E" w14:textId="405B8070" w:rsidR="003B4630" w:rsidRPr="00BF031D" w:rsidRDefault="003B4630" w:rsidP="00BF031D">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339D656" w14:textId="6F2BDEFB" w:rsidR="003B4630" w:rsidRPr="00BF031D" w:rsidRDefault="003B4630" w:rsidP="00BF031D">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3CE09143" w14:textId="385AC25C" w:rsidR="003B4630" w:rsidRPr="00BF031D" w:rsidRDefault="003B4630" w:rsidP="00BF031D">
            <w:pPr>
              <w:pStyle w:val="VAHItablecolhead"/>
              <w:rPr>
                <w:rFonts w:eastAsia="Verdana"/>
                <w:color w:val="244C5A"/>
                <w:sz w:val="16"/>
              </w:rPr>
            </w:pPr>
            <w:r w:rsidRPr="00BF031D">
              <w:rPr>
                <w:sz w:val="16"/>
              </w:rPr>
              <w:t xml:space="preserve">HoNOS </w:t>
            </w:r>
            <w:r w:rsidR="00D948FE">
              <w:rPr>
                <w:sz w:val="16"/>
              </w:rPr>
              <w:br w:type="textWrapping" w:clear="all"/>
            </w:r>
            <w:r w:rsidRPr="00BF031D">
              <w:rPr>
                <w:sz w:val="16"/>
              </w:rPr>
              <w:t>compliance</w:t>
            </w:r>
          </w:p>
        </w:tc>
        <w:tc>
          <w:tcPr>
            <w:tcW w:w="1523" w:type="dxa"/>
            <w:shd w:val="clear" w:color="auto" w:fill="FFFFFF"/>
            <w:vAlign w:val="bottom"/>
          </w:tcPr>
          <w:p w14:paraId="0E318006" w14:textId="7FB35D0E" w:rsidR="003B4630" w:rsidRPr="00BF031D" w:rsidRDefault="003B4630" w:rsidP="00BF031D">
            <w:pPr>
              <w:pStyle w:val="VAHItablecolhead"/>
              <w:rPr>
                <w:rFonts w:eastAsia="Verdana"/>
                <w:color w:val="244C5A"/>
                <w:sz w:val="16"/>
              </w:rPr>
            </w:pPr>
            <w:r w:rsidRPr="00BF031D">
              <w:rPr>
                <w:sz w:val="16"/>
              </w:rPr>
              <w:t>Average HoNOS at case start</w:t>
            </w:r>
          </w:p>
        </w:tc>
        <w:tc>
          <w:tcPr>
            <w:tcW w:w="1524" w:type="dxa"/>
            <w:shd w:val="clear" w:color="auto" w:fill="FFFFFF"/>
            <w:vAlign w:val="bottom"/>
          </w:tcPr>
          <w:p w14:paraId="1C092100" w14:textId="3F9EC471" w:rsidR="003B4630" w:rsidRPr="00BF031D" w:rsidRDefault="003B4630" w:rsidP="00BF031D">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2543C708" w14:textId="452C7E19" w:rsidR="003B4630" w:rsidRPr="00BF031D" w:rsidRDefault="003B4630" w:rsidP="00BF031D">
            <w:pPr>
              <w:pStyle w:val="VAHItablecolhead"/>
              <w:rPr>
                <w:rFonts w:eastAsia="Verdana"/>
                <w:color w:val="244C5A"/>
                <w:sz w:val="16"/>
              </w:rPr>
            </w:pPr>
            <w:r w:rsidRPr="00BF031D">
              <w:rPr>
                <w:sz w:val="16"/>
              </w:rPr>
              <w:t>Self rated measures completed</w:t>
            </w:r>
          </w:p>
        </w:tc>
        <w:tc>
          <w:tcPr>
            <w:tcW w:w="1524" w:type="dxa"/>
            <w:shd w:val="clear" w:color="auto" w:fill="FFFFFF"/>
            <w:vAlign w:val="bottom"/>
          </w:tcPr>
          <w:p w14:paraId="34374311" w14:textId="1151FA32" w:rsidR="003B4630" w:rsidRPr="00BF031D" w:rsidRDefault="003B4630" w:rsidP="00BF031D">
            <w:pPr>
              <w:pStyle w:val="VAHItablecolhead"/>
              <w:rPr>
                <w:rFonts w:eastAsia="Verdana"/>
                <w:color w:val="244C5A"/>
                <w:sz w:val="16"/>
              </w:rPr>
            </w:pPr>
            <w:r w:rsidRPr="00BF031D">
              <w:rPr>
                <w:sz w:val="16"/>
              </w:rPr>
              <w:t>Average change in clinically significant HoNOS items</w:t>
            </w:r>
          </w:p>
        </w:tc>
      </w:tr>
      <w:tr w:rsidR="0065124E" w:rsidRPr="007B08C1" w14:paraId="0BF87731" w14:textId="77777777" w:rsidTr="003B4630">
        <w:trPr>
          <w:trHeight w:val="454"/>
        </w:trPr>
        <w:tc>
          <w:tcPr>
            <w:tcW w:w="1570" w:type="dxa"/>
            <w:shd w:val="clear" w:color="auto" w:fill="BFCED6"/>
          </w:tcPr>
          <w:p w14:paraId="54619F44" w14:textId="731C8BBA" w:rsidR="0065124E" w:rsidRPr="007B08C1" w:rsidRDefault="0065124E" w:rsidP="0065124E">
            <w:pPr>
              <w:rPr>
                <w:rFonts w:ascii="VIC" w:hAnsi="VIC"/>
                <w:sz w:val="18"/>
                <w:szCs w:val="18"/>
              </w:rPr>
            </w:pPr>
            <w:r w:rsidRPr="00BF7527">
              <w:rPr>
                <w:rFonts w:ascii="VIC" w:eastAsia="Verdana" w:hAnsi="VIC"/>
                <w:color w:val="000000"/>
                <w:sz w:val="18"/>
                <w:szCs w:val="18"/>
              </w:rPr>
              <w:t>Ballarat Health</w:t>
            </w:r>
          </w:p>
        </w:tc>
        <w:tc>
          <w:tcPr>
            <w:tcW w:w="1985" w:type="dxa"/>
            <w:shd w:val="clear" w:color="auto" w:fill="BFCED6"/>
          </w:tcPr>
          <w:p w14:paraId="4027E25F" w14:textId="32F4C5F3" w:rsidR="0065124E" w:rsidRPr="007B08C1" w:rsidRDefault="0065124E" w:rsidP="0065124E">
            <w:pPr>
              <w:rPr>
                <w:rFonts w:ascii="VIC" w:hAnsi="VIC"/>
                <w:sz w:val="18"/>
                <w:szCs w:val="18"/>
              </w:rPr>
            </w:pPr>
            <w:r w:rsidRPr="00BF7527">
              <w:rPr>
                <w:rFonts w:ascii="VIC" w:eastAsia="Verdana" w:hAnsi="VIC"/>
                <w:color w:val="000000"/>
                <w:sz w:val="18"/>
                <w:szCs w:val="18"/>
              </w:rPr>
              <w:t>Grampians</w:t>
            </w:r>
          </w:p>
        </w:tc>
        <w:tc>
          <w:tcPr>
            <w:tcW w:w="1523" w:type="dxa"/>
            <w:shd w:val="clear" w:color="auto" w:fill="BFCED6"/>
          </w:tcPr>
          <w:p w14:paraId="55243B37" w14:textId="735ADBEF" w:rsidR="0065124E" w:rsidRPr="007B08C1" w:rsidRDefault="0065124E" w:rsidP="0065124E">
            <w:pPr>
              <w:jc w:val="center"/>
              <w:rPr>
                <w:rFonts w:ascii="VIC" w:hAnsi="VIC"/>
                <w:sz w:val="18"/>
                <w:szCs w:val="18"/>
              </w:rPr>
            </w:pPr>
            <w:r w:rsidRPr="00BF7527">
              <w:rPr>
                <w:rFonts w:ascii="VIC" w:eastAsia="Verdana" w:hAnsi="VIC"/>
                <w:color w:val="000000"/>
                <w:sz w:val="18"/>
                <w:szCs w:val="18"/>
              </w:rPr>
              <w:t>16 %</w:t>
            </w:r>
          </w:p>
        </w:tc>
        <w:tc>
          <w:tcPr>
            <w:tcW w:w="1524" w:type="dxa"/>
            <w:shd w:val="clear" w:color="auto" w:fill="BFCED6"/>
          </w:tcPr>
          <w:p w14:paraId="6A008B9D" w14:textId="7FB445CC" w:rsidR="0065124E" w:rsidRPr="007B08C1" w:rsidRDefault="0065124E" w:rsidP="0065124E">
            <w:pPr>
              <w:jc w:val="center"/>
              <w:rPr>
                <w:rFonts w:ascii="VIC" w:hAnsi="VIC"/>
                <w:sz w:val="18"/>
                <w:szCs w:val="18"/>
              </w:rPr>
            </w:pPr>
            <w:r w:rsidRPr="00BF7527">
              <w:rPr>
                <w:rFonts w:ascii="VIC" w:eastAsia="Verdana" w:hAnsi="VIC"/>
                <w:color w:val="000000"/>
                <w:sz w:val="18"/>
                <w:szCs w:val="18"/>
              </w:rPr>
              <w:t>4.9</w:t>
            </w:r>
          </w:p>
        </w:tc>
        <w:tc>
          <w:tcPr>
            <w:tcW w:w="1524" w:type="dxa"/>
            <w:shd w:val="clear" w:color="auto" w:fill="BFCED6"/>
          </w:tcPr>
          <w:p w14:paraId="31F8EFAF" w14:textId="41E6AB8E" w:rsidR="0065124E" w:rsidRPr="007B08C1" w:rsidRDefault="0065124E" w:rsidP="0065124E">
            <w:pPr>
              <w:jc w:val="center"/>
              <w:rPr>
                <w:rFonts w:ascii="VIC" w:hAnsi="VIC"/>
                <w:sz w:val="18"/>
                <w:szCs w:val="18"/>
              </w:rPr>
            </w:pPr>
            <w:r w:rsidRPr="00BF7527">
              <w:rPr>
                <w:rFonts w:ascii="VIC" w:eastAsia="Verdana" w:hAnsi="VIC"/>
                <w:color w:val="000000"/>
                <w:sz w:val="18"/>
                <w:szCs w:val="18"/>
              </w:rPr>
              <w:t>1 %</w:t>
            </w:r>
          </w:p>
        </w:tc>
        <w:tc>
          <w:tcPr>
            <w:tcW w:w="1524" w:type="dxa"/>
            <w:shd w:val="clear" w:color="auto" w:fill="BFCED6"/>
          </w:tcPr>
          <w:p w14:paraId="360FEAC3" w14:textId="49503795" w:rsidR="0065124E" w:rsidRPr="007B08C1" w:rsidRDefault="0065124E" w:rsidP="0065124E">
            <w:pPr>
              <w:jc w:val="center"/>
              <w:rPr>
                <w:rFonts w:ascii="VIC" w:hAnsi="VIC"/>
                <w:sz w:val="18"/>
                <w:szCs w:val="18"/>
              </w:rPr>
            </w:pPr>
            <w:r w:rsidRPr="00BF7527">
              <w:rPr>
                <w:rFonts w:ascii="VIC" w:eastAsia="Verdana" w:hAnsi="VIC"/>
                <w:color w:val="000000"/>
                <w:sz w:val="18"/>
                <w:szCs w:val="18"/>
              </w:rPr>
              <w:t>62 %</w:t>
            </w:r>
          </w:p>
        </w:tc>
        <w:tc>
          <w:tcPr>
            <w:tcW w:w="1523" w:type="dxa"/>
            <w:shd w:val="clear" w:color="auto" w:fill="BFCED6"/>
          </w:tcPr>
          <w:p w14:paraId="1BADFAAE" w14:textId="25713688" w:rsidR="0065124E" w:rsidRPr="007B08C1" w:rsidRDefault="0065124E" w:rsidP="0065124E">
            <w:pPr>
              <w:jc w:val="center"/>
              <w:rPr>
                <w:rFonts w:ascii="VIC" w:hAnsi="VIC"/>
                <w:sz w:val="18"/>
                <w:szCs w:val="18"/>
              </w:rPr>
            </w:pPr>
            <w:r w:rsidRPr="00BF7527">
              <w:rPr>
                <w:rFonts w:ascii="VIC" w:eastAsia="Verdana" w:hAnsi="VIC"/>
                <w:color w:val="000000"/>
                <w:sz w:val="18"/>
                <w:szCs w:val="18"/>
              </w:rPr>
              <w:t>13.1</w:t>
            </w:r>
          </w:p>
        </w:tc>
        <w:tc>
          <w:tcPr>
            <w:tcW w:w="1524" w:type="dxa"/>
            <w:shd w:val="clear" w:color="auto" w:fill="BFCED6"/>
          </w:tcPr>
          <w:p w14:paraId="7C76B5C1" w14:textId="0345CC5D" w:rsidR="0065124E" w:rsidRPr="007B08C1" w:rsidRDefault="0065124E" w:rsidP="0065124E">
            <w:pPr>
              <w:jc w:val="center"/>
              <w:rPr>
                <w:rFonts w:ascii="VIC" w:hAnsi="VIC"/>
                <w:sz w:val="18"/>
                <w:szCs w:val="18"/>
              </w:rPr>
            </w:pPr>
            <w:r w:rsidRPr="00BF7527">
              <w:rPr>
                <w:rFonts w:ascii="VIC" w:eastAsia="Verdana" w:hAnsi="VIC"/>
                <w:color w:val="000000"/>
                <w:sz w:val="18"/>
                <w:szCs w:val="18"/>
              </w:rPr>
              <w:t>54 %</w:t>
            </w:r>
          </w:p>
        </w:tc>
        <w:tc>
          <w:tcPr>
            <w:tcW w:w="1524" w:type="dxa"/>
            <w:shd w:val="clear" w:color="auto" w:fill="BFCED6"/>
          </w:tcPr>
          <w:p w14:paraId="7127B76E" w14:textId="27BDADCE" w:rsidR="0065124E" w:rsidRPr="007B08C1" w:rsidRDefault="0065124E" w:rsidP="0065124E">
            <w:pPr>
              <w:jc w:val="center"/>
              <w:rPr>
                <w:rFonts w:ascii="VIC" w:hAnsi="VIC"/>
                <w:sz w:val="18"/>
                <w:szCs w:val="18"/>
              </w:rPr>
            </w:pPr>
            <w:r w:rsidRPr="00BF7527">
              <w:rPr>
                <w:rFonts w:ascii="VIC" w:eastAsia="Verdana" w:hAnsi="VIC"/>
                <w:color w:val="000000"/>
                <w:sz w:val="18"/>
                <w:szCs w:val="18"/>
              </w:rPr>
              <w:t>0 %</w:t>
            </w:r>
          </w:p>
        </w:tc>
        <w:tc>
          <w:tcPr>
            <w:tcW w:w="1524" w:type="dxa"/>
            <w:shd w:val="clear" w:color="auto" w:fill="BFCED6"/>
          </w:tcPr>
          <w:p w14:paraId="1BB4DCCB" w14:textId="32C17D26" w:rsidR="0065124E" w:rsidRPr="007B08C1" w:rsidRDefault="0065124E" w:rsidP="0065124E">
            <w:pPr>
              <w:jc w:val="center"/>
              <w:rPr>
                <w:rFonts w:ascii="VIC" w:hAnsi="VIC"/>
                <w:sz w:val="18"/>
                <w:szCs w:val="18"/>
              </w:rPr>
            </w:pPr>
            <w:r w:rsidRPr="00BF7527">
              <w:rPr>
                <w:rFonts w:ascii="VIC" w:eastAsia="Verdana" w:hAnsi="VIC"/>
                <w:color w:val="000000"/>
                <w:sz w:val="18"/>
                <w:szCs w:val="18"/>
              </w:rPr>
              <w:t>1.4</w:t>
            </w:r>
          </w:p>
        </w:tc>
      </w:tr>
      <w:tr w:rsidR="0065124E" w:rsidRPr="007B08C1" w14:paraId="71B91249" w14:textId="77777777" w:rsidTr="003B4630">
        <w:trPr>
          <w:trHeight w:val="454"/>
        </w:trPr>
        <w:tc>
          <w:tcPr>
            <w:tcW w:w="1570" w:type="dxa"/>
          </w:tcPr>
          <w:p w14:paraId="560157E2" w14:textId="2584C8F7" w:rsidR="0065124E" w:rsidRPr="007B08C1" w:rsidRDefault="0065124E" w:rsidP="0065124E">
            <w:pPr>
              <w:rPr>
                <w:rFonts w:ascii="VIC" w:hAnsi="VIC"/>
                <w:sz w:val="18"/>
                <w:szCs w:val="18"/>
              </w:rPr>
            </w:pPr>
            <w:r w:rsidRPr="00BF7527">
              <w:rPr>
                <w:rFonts w:ascii="VIC" w:eastAsia="Verdana" w:hAnsi="VIC"/>
                <w:color w:val="000000"/>
                <w:sz w:val="18"/>
                <w:szCs w:val="18"/>
              </w:rPr>
              <w:t>Barwon Health</w:t>
            </w:r>
          </w:p>
        </w:tc>
        <w:tc>
          <w:tcPr>
            <w:tcW w:w="1985" w:type="dxa"/>
          </w:tcPr>
          <w:p w14:paraId="0C956514" w14:textId="12768315" w:rsidR="0065124E" w:rsidRPr="007B08C1" w:rsidRDefault="0065124E" w:rsidP="0065124E">
            <w:pPr>
              <w:rPr>
                <w:rFonts w:ascii="VIC" w:hAnsi="VIC"/>
                <w:sz w:val="18"/>
                <w:szCs w:val="18"/>
              </w:rPr>
            </w:pPr>
            <w:r w:rsidRPr="00BF7527">
              <w:rPr>
                <w:rFonts w:ascii="VIC" w:eastAsia="Verdana" w:hAnsi="VIC"/>
                <w:color w:val="000000"/>
                <w:sz w:val="18"/>
                <w:szCs w:val="18"/>
              </w:rPr>
              <w:t>Barwon</w:t>
            </w:r>
          </w:p>
        </w:tc>
        <w:tc>
          <w:tcPr>
            <w:tcW w:w="1523" w:type="dxa"/>
          </w:tcPr>
          <w:p w14:paraId="5A5359ED" w14:textId="678F8814" w:rsidR="0065124E" w:rsidRPr="007B08C1" w:rsidRDefault="0065124E" w:rsidP="0065124E">
            <w:pPr>
              <w:jc w:val="center"/>
              <w:rPr>
                <w:rFonts w:ascii="VIC" w:hAnsi="VIC"/>
                <w:sz w:val="18"/>
                <w:szCs w:val="18"/>
              </w:rPr>
            </w:pPr>
            <w:r w:rsidRPr="00BF7527">
              <w:rPr>
                <w:rFonts w:ascii="VIC" w:eastAsia="Verdana" w:hAnsi="VIC"/>
                <w:color w:val="000000"/>
                <w:sz w:val="18"/>
                <w:szCs w:val="18"/>
              </w:rPr>
              <w:t>15 %</w:t>
            </w:r>
          </w:p>
        </w:tc>
        <w:tc>
          <w:tcPr>
            <w:tcW w:w="1524" w:type="dxa"/>
          </w:tcPr>
          <w:p w14:paraId="4AADB2A3" w14:textId="0864641A" w:rsidR="0065124E" w:rsidRPr="007B08C1" w:rsidRDefault="0065124E" w:rsidP="0065124E">
            <w:pPr>
              <w:jc w:val="center"/>
              <w:rPr>
                <w:rFonts w:ascii="VIC" w:hAnsi="VIC"/>
                <w:sz w:val="18"/>
                <w:szCs w:val="18"/>
              </w:rPr>
            </w:pPr>
            <w:r w:rsidRPr="00BF7527">
              <w:rPr>
                <w:rFonts w:ascii="VIC" w:eastAsia="Verdana" w:hAnsi="VIC"/>
                <w:color w:val="000000"/>
                <w:sz w:val="18"/>
                <w:szCs w:val="18"/>
              </w:rPr>
              <w:t>7.1</w:t>
            </w:r>
          </w:p>
        </w:tc>
        <w:tc>
          <w:tcPr>
            <w:tcW w:w="1524" w:type="dxa"/>
          </w:tcPr>
          <w:p w14:paraId="04AAF361" w14:textId="0E60DE17" w:rsidR="0065124E" w:rsidRPr="007B08C1" w:rsidRDefault="0065124E" w:rsidP="0065124E">
            <w:pPr>
              <w:jc w:val="center"/>
              <w:rPr>
                <w:rFonts w:ascii="VIC" w:hAnsi="VIC"/>
                <w:sz w:val="18"/>
                <w:szCs w:val="18"/>
              </w:rPr>
            </w:pPr>
            <w:r w:rsidRPr="00BF7527">
              <w:rPr>
                <w:rFonts w:ascii="VIC" w:eastAsia="Verdana" w:hAnsi="VIC"/>
                <w:color w:val="000000"/>
                <w:sz w:val="18"/>
                <w:szCs w:val="18"/>
              </w:rPr>
              <w:t>8 %</w:t>
            </w:r>
          </w:p>
        </w:tc>
        <w:tc>
          <w:tcPr>
            <w:tcW w:w="1524" w:type="dxa"/>
          </w:tcPr>
          <w:p w14:paraId="2D4793C0" w14:textId="3534C504" w:rsidR="0065124E" w:rsidRPr="007B08C1" w:rsidRDefault="0065124E" w:rsidP="0065124E">
            <w:pPr>
              <w:jc w:val="center"/>
              <w:rPr>
                <w:rFonts w:ascii="VIC" w:hAnsi="VIC"/>
                <w:sz w:val="18"/>
                <w:szCs w:val="18"/>
              </w:rPr>
            </w:pPr>
            <w:r w:rsidRPr="00BF7527">
              <w:rPr>
                <w:rFonts w:ascii="VIC" w:eastAsia="Verdana" w:hAnsi="VIC"/>
                <w:color w:val="000000"/>
                <w:sz w:val="18"/>
                <w:szCs w:val="18"/>
              </w:rPr>
              <w:t>88 %</w:t>
            </w:r>
          </w:p>
        </w:tc>
        <w:tc>
          <w:tcPr>
            <w:tcW w:w="1523" w:type="dxa"/>
          </w:tcPr>
          <w:p w14:paraId="2DFBF97A" w14:textId="4476E7D2" w:rsidR="0065124E" w:rsidRPr="007B08C1" w:rsidRDefault="0065124E" w:rsidP="0065124E">
            <w:pPr>
              <w:jc w:val="center"/>
              <w:rPr>
                <w:rFonts w:ascii="VIC" w:hAnsi="VIC"/>
                <w:sz w:val="18"/>
                <w:szCs w:val="18"/>
              </w:rPr>
            </w:pPr>
            <w:r w:rsidRPr="00BF7527">
              <w:rPr>
                <w:rFonts w:ascii="VIC" w:eastAsia="Verdana" w:hAnsi="VIC"/>
                <w:color w:val="000000"/>
                <w:sz w:val="18"/>
                <w:szCs w:val="18"/>
              </w:rPr>
              <w:t>11.8</w:t>
            </w:r>
          </w:p>
        </w:tc>
        <w:tc>
          <w:tcPr>
            <w:tcW w:w="1524" w:type="dxa"/>
          </w:tcPr>
          <w:p w14:paraId="369E9729" w14:textId="20A83410" w:rsidR="0065124E" w:rsidRPr="007B08C1" w:rsidRDefault="0065124E" w:rsidP="0065124E">
            <w:pPr>
              <w:jc w:val="center"/>
              <w:rPr>
                <w:rFonts w:ascii="VIC" w:hAnsi="VIC"/>
                <w:sz w:val="18"/>
                <w:szCs w:val="18"/>
              </w:rPr>
            </w:pPr>
            <w:r w:rsidRPr="00BF7527">
              <w:rPr>
                <w:rFonts w:ascii="VIC" w:eastAsia="Verdana" w:hAnsi="VIC"/>
                <w:color w:val="000000"/>
                <w:sz w:val="18"/>
                <w:szCs w:val="18"/>
              </w:rPr>
              <w:t>63 %</w:t>
            </w:r>
          </w:p>
        </w:tc>
        <w:tc>
          <w:tcPr>
            <w:tcW w:w="1524" w:type="dxa"/>
          </w:tcPr>
          <w:p w14:paraId="7D19D190" w14:textId="6FE21C4E" w:rsidR="0065124E" w:rsidRPr="007B08C1" w:rsidRDefault="0065124E" w:rsidP="0065124E">
            <w:pPr>
              <w:jc w:val="center"/>
              <w:rPr>
                <w:rFonts w:ascii="VIC" w:hAnsi="VIC"/>
                <w:sz w:val="18"/>
                <w:szCs w:val="18"/>
              </w:rPr>
            </w:pPr>
            <w:r w:rsidRPr="00BF7527">
              <w:rPr>
                <w:rFonts w:ascii="VIC" w:eastAsia="Verdana" w:hAnsi="VIC"/>
                <w:color w:val="000000"/>
                <w:sz w:val="18"/>
                <w:szCs w:val="18"/>
              </w:rPr>
              <w:t>54 %</w:t>
            </w:r>
          </w:p>
        </w:tc>
        <w:tc>
          <w:tcPr>
            <w:tcW w:w="1524" w:type="dxa"/>
          </w:tcPr>
          <w:p w14:paraId="62898110" w14:textId="5064DC03" w:rsidR="0065124E" w:rsidRPr="007B08C1" w:rsidRDefault="0065124E" w:rsidP="0065124E">
            <w:pPr>
              <w:jc w:val="center"/>
              <w:rPr>
                <w:rFonts w:ascii="VIC" w:hAnsi="VIC"/>
                <w:sz w:val="18"/>
                <w:szCs w:val="18"/>
              </w:rPr>
            </w:pPr>
            <w:r w:rsidRPr="00BF7527">
              <w:rPr>
                <w:rFonts w:ascii="VIC" w:eastAsia="Verdana" w:hAnsi="VIC"/>
                <w:color w:val="000000"/>
                <w:sz w:val="18"/>
                <w:szCs w:val="18"/>
              </w:rPr>
              <w:t>1.5</w:t>
            </w:r>
          </w:p>
        </w:tc>
      </w:tr>
      <w:tr w:rsidR="0065124E" w:rsidRPr="007B08C1" w14:paraId="2B7800B8" w14:textId="77777777" w:rsidTr="003B4630">
        <w:trPr>
          <w:trHeight w:val="454"/>
        </w:trPr>
        <w:tc>
          <w:tcPr>
            <w:tcW w:w="1570" w:type="dxa"/>
            <w:shd w:val="clear" w:color="auto" w:fill="BFCED6"/>
          </w:tcPr>
          <w:p w14:paraId="63FF6FDB" w14:textId="24E0B1FE" w:rsidR="0065124E" w:rsidRPr="007B08C1" w:rsidRDefault="0065124E" w:rsidP="0065124E">
            <w:pPr>
              <w:rPr>
                <w:rFonts w:ascii="VIC" w:hAnsi="VIC"/>
                <w:sz w:val="18"/>
                <w:szCs w:val="18"/>
              </w:rPr>
            </w:pPr>
            <w:r w:rsidRPr="00BF7527">
              <w:rPr>
                <w:rFonts w:ascii="VIC" w:eastAsia="Verdana" w:hAnsi="VIC"/>
                <w:color w:val="000000"/>
                <w:sz w:val="18"/>
                <w:szCs w:val="18"/>
              </w:rPr>
              <w:t>Bendigo Health</w:t>
            </w:r>
          </w:p>
        </w:tc>
        <w:tc>
          <w:tcPr>
            <w:tcW w:w="1985" w:type="dxa"/>
            <w:shd w:val="clear" w:color="auto" w:fill="BFCED6"/>
          </w:tcPr>
          <w:p w14:paraId="59730FC8" w14:textId="6F41FDC7" w:rsidR="0065124E" w:rsidRPr="007B08C1" w:rsidRDefault="0065124E" w:rsidP="0065124E">
            <w:pPr>
              <w:rPr>
                <w:rFonts w:ascii="VIC" w:hAnsi="VIC"/>
                <w:sz w:val="18"/>
                <w:szCs w:val="18"/>
              </w:rPr>
            </w:pPr>
            <w:r w:rsidRPr="00BF7527">
              <w:rPr>
                <w:rFonts w:ascii="VIC" w:eastAsia="Verdana" w:hAnsi="VIC"/>
                <w:color w:val="000000"/>
                <w:sz w:val="18"/>
                <w:szCs w:val="18"/>
              </w:rPr>
              <w:t>Loddon/Southern Mallee</w:t>
            </w:r>
          </w:p>
        </w:tc>
        <w:tc>
          <w:tcPr>
            <w:tcW w:w="1523" w:type="dxa"/>
            <w:shd w:val="clear" w:color="auto" w:fill="BFCED6"/>
          </w:tcPr>
          <w:p w14:paraId="2E3142B9" w14:textId="51B1A46B" w:rsidR="0065124E" w:rsidRPr="007B08C1" w:rsidRDefault="0065124E" w:rsidP="0065124E">
            <w:pPr>
              <w:jc w:val="center"/>
              <w:rPr>
                <w:rFonts w:ascii="VIC" w:hAnsi="VIC"/>
                <w:sz w:val="18"/>
                <w:szCs w:val="18"/>
              </w:rPr>
            </w:pPr>
            <w:r w:rsidRPr="00BF7527">
              <w:rPr>
                <w:rFonts w:ascii="VIC" w:eastAsia="Verdana" w:hAnsi="VIC"/>
                <w:color w:val="000000"/>
                <w:sz w:val="18"/>
                <w:szCs w:val="18"/>
              </w:rPr>
              <w:t>21 %</w:t>
            </w:r>
          </w:p>
        </w:tc>
        <w:tc>
          <w:tcPr>
            <w:tcW w:w="1524" w:type="dxa"/>
            <w:shd w:val="clear" w:color="auto" w:fill="BFCED6"/>
          </w:tcPr>
          <w:p w14:paraId="32D98F98" w14:textId="26FD70B8" w:rsidR="0065124E" w:rsidRPr="007B08C1" w:rsidRDefault="0065124E" w:rsidP="0065124E">
            <w:pPr>
              <w:jc w:val="center"/>
              <w:rPr>
                <w:rFonts w:ascii="VIC" w:hAnsi="VIC"/>
                <w:sz w:val="18"/>
                <w:szCs w:val="18"/>
              </w:rPr>
            </w:pPr>
            <w:r w:rsidRPr="00BF7527">
              <w:rPr>
                <w:rFonts w:ascii="VIC" w:eastAsia="Verdana" w:hAnsi="VIC"/>
                <w:color w:val="000000"/>
                <w:sz w:val="18"/>
                <w:szCs w:val="18"/>
              </w:rPr>
              <w:t>4.5</w:t>
            </w:r>
          </w:p>
        </w:tc>
        <w:tc>
          <w:tcPr>
            <w:tcW w:w="1524" w:type="dxa"/>
            <w:shd w:val="clear" w:color="auto" w:fill="BFCED6"/>
          </w:tcPr>
          <w:p w14:paraId="5F6692A2" w14:textId="63DA0022" w:rsidR="0065124E" w:rsidRPr="007B08C1" w:rsidRDefault="0065124E" w:rsidP="0065124E">
            <w:pPr>
              <w:jc w:val="center"/>
              <w:rPr>
                <w:rFonts w:ascii="VIC" w:hAnsi="VIC"/>
                <w:sz w:val="18"/>
                <w:szCs w:val="18"/>
              </w:rPr>
            </w:pPr>
            <w:r w:rsidRPr="00BF7527">
              <w:rPr>
                <w:rFonts w:ascii="VIC" w:eastAsia="Verdana" w:hAnsi="VIC"/>
                <w:color w:val="000000"/>
                <w:sz w:val="18"/>
                <w:szCs w:val="18"/>
              </w:rPr>
              <w:t>4 %</w:t>
            </w:r>
          </w:p>
        </w:tc>
        <w:tc>
          <w:tcPr>
            <w:tcW w:w="1524" w:type="dxa"/>
            <w:shd w:val="clear" w:color="auto" w:fill="BFCED6"/>
          </w:tcPr>
          <w:p w14:paraId="7D143793" w14:textId="3D440885" w:rsidR="0065124E" w:rsidRPr="007B08C1" w:rsidRDefault="0065124E" w:rsidP="0065124E">
            <w:pPr>
              <w:jc w:val="center"/>
              <w:rPr>
                <w:rFonts w:ascii="VIC" w:hAnsi="VIC"/>
                <w:sz w:val="18"/>
                <w:szCs w:val="18"/>
              </w:rPr>
            </w:pPr>
            <w:r w:rsidRPr="00BF7527">
              <w:rPr>
                <w:rFonts w:ascii="VIC" w:eastAsia="Verdana" w:hAnsi="VIC"/>
                <w:color w:val="000000"/>
                <w:sz w:val="18"/>
                <w:szCs w:val="18"/>
              </w:rPr>
              <w:t>90 %</w:t>
            </w:r>
          </w:p>
        </w:tc>
        <w:tc>
          <w:tcPr>
            <w:tcW w:w="1523" w:type="dxa"/>
            <w:shd w:val="clear" w:color="auto" w:fill="BFCED6"/>
          </w:tcPr>
          <w:p w14:paraId="0BA503BB" w14:textId="7607ACEE" w:rsidR="0065124E" w:rsidRPr="007B08C1" w:rsidRDefault="0065124E" w:rsidP="0065124E">
            <w:pPr>
              <w:jc w:val="center"/>
              <w:rPr>
                <w:rFonts w:ascii="VIC" w:hAnsi="VIC"/>
                <w:sz w:val="18"/>
                <w:szCs w:val="18"/>
              </w:rPr>
            </w:pPr>
            <w:r w:rsidRPr="00BF7527">
              <w:rPr>
                <w:rFonts w:ascii="VIC" w:eastAsia="Verdana" w:hAnsi="VIC"/>
                <w:color w:val="000000"/>
                <w:sz w:val="18"/>
                <w:szCs w:val="18"/>
              </w:rPr>
              <w:t>13.3</w:t>
            </w:r>
          </w:p>
        </w:tc>
        <w:tc>
          <w:tcPr>
            <w:tcW w:w="1524" w:type="dxa"/>
            <w:shd w:val="clear" w:color="auto" w:fill="BFCED6"/>
          </w:tcPr>
          <w:p w14:paraId="548CE431" w14:textId="1F8225C4" w:rsidR="0065124E" w:rsidRPr="007B08C1" w:rsidRDefault="0065124E" w:rsidP="0065124E">
            <w:pPr>
              <w:jc w:val="center"/>
              <w:rPr>
                <w:rFonts w:ascii="VIC" w:hAnsi="VIC"/>
                <w:sz w:val="18"/>
                <w:szCs w:val="18"/>
              </w:rPr>
            </w:pPr>
            <w:r w:rsidRPr="00BF7527">
              <w:rPr>
                <w:rFonts w:ascii="VIC" w:eastAsia="Verdana" w:hAnsi="VIC"/>
                <w:color w:val="000000"/>
                <w:sz w:val="18"/>
                <w:szCs w:val="18"/>
              </w:rPr>
              <w:t>77 %</w:t>
            </w:r>
          </w:p>
        </w:tc>
        <w:tc>
          <w:tcPr>
            <w:tcW w:w="1524" w:type="dxa"/>
            <w:shd w:val="clear" w:color="auto" w:fill="BFCED6"/>
          </w:tcPr>
          <w:p w14:paraId="3C1AFBAD" w14:textId="5EEF9B0E" w:rsidR="0065124E" w:rsidRPr="007B08C1" w:rsidRDefault="0065124E" w:rsidP="0065124E">
            <w:pPr>
              <w:jc w:val="center"/>
              <w:rPr>
                <w:rFonts w:ascii="VIC" w:hAnsi="VIC"/>
                <w:sz w:val="18"/>
                <w:szCs w:val="18"/>
              </w:rPr>
            </w:pPr>
            <w:r w:rsidRPr="00BF7527">
              <w:rPr>
                <w:rFonts w:ascii="VIC" w:eastAsia="Verdana" w:hAnsi="VIC"/>
                <w:color w:val="000000"/>
                <w:sz w:val="18"/>
                <w:szCs w:val="18"/>
              </w:rPr>
              <w:t>3 %</w:t>
            </w:r>
          </w:p>
        </w:tc>
        <w:tc>
          <w:tcPr>
            <w:tcW w:w="1524" w:type="dxa"/>
            <w:shd w:val="clear" w:color="auto" w:fill="BFCED6"/>
          </w:tcPr>
          <w:p w14:paraId="7235E773" w14:textId="291C5389" w:rsidR="0065124E" w:rsidRPr="007B08C1" w:rsidRDefault="0065124E" w:rsidP="0065124E">
            <w:pPr>
              <w:jc w:val="center"/>
              <w:rPr>
                <w:rFonts w:ascii="VIC" w:hAnsi="VIC"/>
                <w:sz w:val="18"/>
                <w:szCs w:val="18"/>
              </w:rPr>
            </w:pPr>
            <w:r w:rsidRPr="00BF7527">
              <w:rPr>
                <w:rFonts w:ascii="VIC" w:eastAsia="Verdana" w:hAnsi="VIC"/>
                <w:color w:val="000000"/>
                <w:sz w:val="18"/>
                <w:szCs w:val="18"/>
              </w:rPr>
              <w:t>2.5</w:t>
            </w:r>
          </w:p>
        </w:tc>
      </w:tr>
      <w:tr w:rsidR="0065124E" w:rsidRPr="007B08C1" w14:paraId="7B38CFF3" w14:textId="77777777" w:rsidTr="003B4630">
        <w:trPr>
          <w:trHeight w:val="454"/>
        </w:trPr>
        <w:tc>
          <w:tcPr>
            <w:tcW w:w="1570" w:type="dxa"/>
          </w:tcPr>
          <w:p w14:paraId="35C06916" w14:textId="05267D44" w:rsidR="0065124E" w:rsidRPr="007B08C1" w:rsidRDefault="0065124E" w:rsidP="0065124E">
            <w:pPr>
              <w:rPr>
                <w:rFonts w:ascii="VIC" w:hAnsi="VIC"/>
                <w:sz w:val="18"/>
                <w:szCs w:val="18"/>
              </w:rPr>
            </w:pPr>
            <w:r w:rsidRPr="00BF7527">
              <w:rPr>
                <w:rFonts w:ascii="VIC" w:eastAsia="Verdana" w:hAnsi="VIC"/>
                <w:color w:val="000000"/>
                <w:sz w:val="18"/>
                <w:szCs w:val="18"/>
              </w:rPr>
              <w:t>Goulburn Valley Health</w:t>
            </w:r>
          </w:p>
        </w:tc>
        <w:tc>
          <w:tcPr>
            <w:tcW w:w="1985" w:type="dxa"/>
          </w:tcPr>
          <w:p w14:paraId="318C4D74" w14:textId="10B22FE7" w:rsidR="0065124E" w:rsidRPr="007B08C1" w:rsidRDefault="0065124E" w:rsidP="0065124E">
            <w:pPr>
              <w:rPr>
                <w:rFonts w:ascii="VIC" w:hAnsi="VIC"/>
                <w:sz w:val="18"/>
                <w:szCs w:val="18"/>
              </w:rPr>
            </w:pPr>
            <w:r w:rsidRPr="00BF7527">
              <w:rPr>
                <w:rFonts w:ascii="VIC" w:eastAsia="Verdana" w:hAnsi="VIC"/>
                <w:color w:val="000000"/>
                <w:sz w:val="18"/>
                <w:szCs w:val="18"/>
              </w:rPr>
              <w:t>Goulburn &amp; Southern</w:t>
            </w:r>
          </w:p>
        </w:tc>
        <w:tc>
          <w:tcPr>
            <w:tcW w:w="1523" w:type="dxa"/>
          </w:tcPr>
          <w:p w14:paraId="6E843A86" w14:textId="1EE4746E" w:rsidR="0065124E" w:rsidRPr="007B08C1" w:rsidRDefault="0065124E" w:rsidP="0065124E">
            <w:pPr>
              <w:jc w:val="center"/>
              <w:rPr>
                <w:rFonts w:ascii="VIC" w:hAnsi="VIC"/>
                <w:sz w:val="18"/>
                <w:szCs w:val="18"/>
              </w:rPr>
            </w:pPr>
            <w:r w:rsidRPr="00BF7527">
              <w:rPr>
                <w:rFonts w:ascii="VIC" w:eastAsia="Verdana" w:hAnsi="VIC"/>
                <w:color w:val="000000"/>
                <w:sz w:val="18"/>
                <w:szCs w:val="18"/>
              </w:rPr>
              <w:t>16 %</w:t>
            </w:r>
          </w:p>
        </w:tc>
        <w:tc>
          <w:tcPr>
            <w:tcW w:w="1524" w:type="dxa"/>
          </w:tcPr>
          <w:p w14:paraId="61C60949" w14:textId="3D536CB0" w:rsidR="0065124E" w:rsidRPr="007B08C1" w:rsidRDefault="0065124E" w:rsidP="0065124E">
            <w:pPr>
              <w:jc w:val="center"/>
              <w:rPr>
                <w:rFonts w:ascii="VIC" w:hAnsi="VIC"/>
                <w:sz w:val="18"/>
                <w:szCs w:val="18"/>
              </w:rPr>
            </w:pPr>
            <w:r w:rsidRPr="00BF7527">
              <w:rPr>
                <w:rFonts w:ascii="VIC" w:eastAsia="Verdana" w:hAnsi="VIC"/>
                <w:color w:val="000000"/>
                <w:sz w:val="18"/>
                <w:szCs w:val="18"/>
              </w:rPr>
              <w:t>6.6</w:t>
            </w:r>
          </w:p>
        </w:tc>
        <w:tc>
          <w:tcPr>
            <w:tcW w:w="1524" w:type="dxa"/>
          </w:tcPr>
          <w:p w14:paraId="055F10DC" w14:textId="447D75C7" w:rsidR="0065124E" w:rsidRPr="007B08C1" w:rsidRDefault="0065124E" w:rsidP="0065124E">
            <w:pPr>
              <w:jc w:val="center"/>
              <w:rPr>
                <w:rFonts w:ascii="VIC" w:hAnsi="VIC"/>
                <w:sz w:val="18"/>
                <w:szCs w:val="18"/>
              </w:rPr>
            </w:pPr>
            <w:r w:rsidRPr="00BF7527">
              <w:rPr>
                <w:rFonts w:ascii="VIC" w:eastAsia="Verdana" w:hAnsi="VIC"/>
                <w:color w:val="000000"/>
                <w:sz w:val="18"/>
                <w:szCs w:val="18"/>
              </w:rPr>
              <w:t>4 %</w:t>
            </w:r>
          </w:p>
        </w:tc>
        <w:tc>
          <w:tcPr>
            <w:tcW w:w="1524" w:type="dxa"/>
          </w:tcPr>
          <w:p w14:paraId="2B168B82" w14:textId="1C1C24F8" w:rsidR="0065124E" w:rsidRPr="007B08C1" w:rsidRDefault="0065124E" w:rsidP="0065124E">
            <w:pPr>
              <w:jc w:val="center"/>
              <w:rPr>
                <w:rFonts w:ascii="VIC" w:hAnsi="VIC"/>
                <w:sz w:val="18"/>
                <w:szCs w:val="18"/>
              </w:rPr>
            </w:pPr>
            <w:r w:rsidRPr="00BF7527">
              <w:rPr>
                <w:rFonts w:ascii="VIC" w:eastAsia="Verdana" w:hAnsi="VIC"/>
                <w:color w:val="000000"/>
                <w:sz w:val="18"/>
                <w:szCs w:val="18"/>
              </w:rPr>
              <w:t>86 %</w:t>
            </w:r>
          </w:p>
        </w:tc>
        <w:tc>
          <w:tcPr>
            <w:tcW w:w="1523" w:type="dxa"/>
          </w:tcPr>
          <w:p w14:paraId="1AF2CDED" w14:textId="7EC2F11E" w:rsidR="0065124E" w:rsidRPr="007B08C1" w:rsidRDefault="0065124E" w:rsidP="0065124E">
            <w:pPr>
              <w:jc w:val="center"/>
              <w:rPr>
                <w:rFonts w:ascii="VIC" w:hAnsi="VIC"/>
                <w:sz w:val="18"/>
                <w:szCs w:val="18"/>
              </w:rPr>
            </w:pPr>
            <w:r w:rsidRPr="00BF7527">
              <w:rPr>
                <w:rFonts w:ascii="VIC" w:eastAsia="Verdana" w:hAnsi="VIC"/>
                <w:color w:val="000000"/>
                <w:sz w:val="18"/>
                <w:szCs w:val="18"/>
              </w:rPr>
              <w:t>13.7</w:t>
            </w:r>
          </w:p>
        </w:tc>
        <w:tc>
          <w:tcPr>
            <w:tcW w:w="1524" w:type="dxa"/>
          </w:tcPr>
          <w:p w14:paraId="6FD2AC73" w14:textId="17A9007D" w:rsidR="0065124E" w:rsidRPr="007B08C1" w:rsidRDefault="0065124E" w:rsidP="0065124E">
            <w:pPr>
              <w:jc w:val="center"/>
              <w:rPr>
                <w:rFonts w:ascii="VIC" w:hAnsi="VIC"/>
                <w:sz w:val="18"/>
                <w:szCs w:val="18"/>
              </w:rPr>
            </w:pPr>
            <w:r w:rsidRPr="00BF7527">
              <w:rPr>
                <w:rFonts w:ascii="VIC" w:eastAsia="Verdana" w:hAnsi="VIC"/>
                <w:color w:val="000000"/>
                <w:sz w:val="18"/>
                <w:szCs w:val="18"/>
              </w:rPr>
              <w:t>77 %</w:t>
            </w:r>
          </w:p>
        </w:tc>
        <w:tc>
          <w:tcPr>
            <w:tcW w:w="1524" w:type="dxa"/>
          </w:tcPr>
          <w:p w14:paraId="002EB031" w14:textId="4984872A" w:rsidR="0065124E" w:rsidRPr="007B08C1" w:rsidRDefault="0065124E" w:rsidP="0065124E">
            <w:pPr>
              <w:jc w:val="center"/>
              <w:rPr>
                <w:rFonts w:ascii="VIC" w:hAnsi="VIC"/>
                <w:sz w:val="18"/>
                <w:szCs w:val="18"/>
              </w:rPr>
            </w:pPr>
            <w:r w:rsidRPr="00BF7527">
              <w:rPr>
                <w:rFonts w:ascii="VIC" w:eastAsia="Verdana" w:hAnsi="VIC"/>
                <w:color w:val="000000"/>
                <w:sz w:val="18"/>
                <w:szCs w:val="18"/>
              </w:rPr>
              <w:t>24 %</w:t>
            </w:r>
          </w:p>
        </w:tc>
        <w:tc>
          <w:tcPr>
            <w:tcW w:w="1524" w:type="dxa"/>
          </w:tcPr>
          <w:p w14:paraId="1A29F762" w14:textId="7C42223B" w:rsidR="0065124E" w:rsidRPr="007B08C1" w:rsidRDefault="0065124E" w:rsidP="0065124E">
            <w:pPr>
              <w:jc w:val="center"/>
              <w:rPr>
                <w:rFonts w:ascii="VIC" w:hAnsi="VIC"/>
                <w:sz w:val="18"/>
                <w:szCs w:val="18"/>
              </w:rPr>
            </w:pPr>
            <w:r w:rsidRPr="00BF7527">
              <w:rPr>
                <w:rFonts w:ascii="VIC" w:eastAsia="Verdana" w:hAnsi="VIC"/>
                <w:color w:val="000000"/>
                <w:sz w:val="18"/>
                <w:szCs w:val="18"/>
              </w:rPr>
              <w:t>2.5</w:t>
            </w:r>
          </w:p>
        </w:tc>
      </w:tr>
      <w:tr w:rsidR="0065124E" w:rsidRPr="007B08C1" w14:paraId="78059EAC" w14:textId="77777777" w:rsidTr="003B4630">
        <w:trPr>
          <w:trHeight w:val="454"/>
        </w:trPr>
        <w:tc>
          <w:tcPr>
            <w:tcW w:w="1570" w:type="dxa"/>
            <w:shd w:val="clear" w:color="auto" w:fill="BFCED6"/>
          </w:tcPr>
          <w:p w14:paraId="4D8E9F34" w14:textId="72133FCD" w:rsidR="0065124E" w:rsidRPr="007B08C1" w:rsidRDefault="0065124E" w:rsidP="0065124E">
            <w:pPr>
              <w:rPr>
                <w:rFonts w:ascii="VIC" w:hAnsi="VIC"/>
                <w:sz w:val="18"/>
                <w:szCs w:val="18"/>
              </w:rPr>
            </w:pPr>
            <w:r w:rsidRPr="00BF7527">
              <w:rPr>
                <w:rFonts w:ascii="VIC" w:eastAsia="Verdana" w:hAnsi="VIC"/>
                <w:color w:val="000000"/>
                <w:sz w:val="18"/>
                <w:szCs w:val="18"/>
              </w:rPr>
              <w:t>Latrobe Regional</w:t>
            </w:r>
          </w:p>
        </w:tc>
        <w:tc>
          <w:tcPr>
            <w:tcW w:w="1985" w:type="dxa"/>
            <w:shd w:val="clear" w:color="auto" w:fill="BFCED6"/>
          </w:tcPr>
          <w:p w14:paraId="737E6687" w14:textId="3F6268BC" w:rsidR="0065124E" w:rsidRPr="007B08C1" w:rsidRDefault="0065124E" w:rsidP="0065124E">
            <w:pPr>
              <w:rPr>
                <w:rFonts w:ascii="VIC" w:hAnsi="VIC"/>
                <w:sz w:val="18"/>
                <w:szCs w:val="18"/>
              </w:rPr>
            </w:pPr>
            <w:r w:rsidRPr="00BF7527">
              <w:rPr>
                <w:rFonts w:ascii="VIC" w:eastAsia="Verdana" w:hAnsi="VIC"/>
                <w:color w:val="000000"/>
                <w:sz w:val="18"/>
                <w:szCs w:val="18"/>
              </w:rPr>
              <w:t>Gippsland</w:t>
            </w:r>
          </w:p>
        </w:tc>
        <w:tc>
          <w:tcPr>
            <w:tcW w:w="1523" w:type="dxa"/>
            <w:shd w:val="clear" w:color="auto" w:fill="BFCED6"/>
          </w:tcPr>
          <w:p w14:paraId="533044AC" w14:textId="3D58CEA9" w:rsidR="0065124E" w:rsidRPr="007B08C1" w:rsidRDefault="0065124E" w:rsidP="0065124E">
            <w:pPr>
              <w:jc w:val="center"/>
              <w:rPr>
                <w:rFonts w:ascii="VIC" w:hAnsi="VIC"/>
                <w:sz w:val="18"/>
                <w:szCs w:val="18"/>
              </w:rPr>
            </w:pPr>
            <w:r w:rsidRPr="00BF7527">
              <w:rPr>
                <w:rFonts w:ascii="VIC" w:eastAsia="Verdana" w:hAnsi="VIC"/>
                <w:color w:val="000000"/>
                <w:sz w:val="18"/>
                <w:szCs w:val="18"/>
              </w:rPr>
              <w:t>27 %</w:t>
            </w:r>
          </w:p>
        </w:tc>
        <w:tc>
          <w:tcPr>
            <w:tcW w:w="1524" w:type="dxa"/>
            <w:shd w:val="clear" w:color="auto" w:fill="BFCED6"/>
          </w:tcPr>
          <w:p w14:paraId="7DC76F98" w14:textId="12FD057C" w:rsidR="0065124E" w:rsidRPr="007B08C1" w:rsidRDefault="0065124E" w:rsidP="0065124E">
            <w:pPr>
              <w:jc w:val="center"/>
              <w:rPr>
                <w:rFonts w:ascii="VIC" w:hAnsi="VIC"/>
                <w:sz w:val="18"/>
                <w:szCs w:val="18"/>
              </w:rPr>
            </w:pPr>
            <w:r w:rsidRPr="00BF7527">
              <w:rPr>
                <w:rFonts w:ascii="VIC" w:eastAsia="Verdana" w:hAnsi="VIC"/>
                <w:color w:val="000000"/>
                <w:sz w:val="18"/>
                <w:szCs w:val="18"/>
              </w:rPr>
              <w:t>6.4</w:t>
            </w:r>
          </w:p>
        </w:tc>
        <w:tc>
          <w:tcPr>
            <w:tcW w:w="1524" w:type="dxa"/>
            <w:shd w:val="clear" w:color="auto" w:fill="BFCED6"/>
          </w:tcPr>
          <w:p w14:paraId="671116BF" w14:textId="0FC82298" w:rsidR="0065124E" w:rsidRPr="007B08C1" w:rsidRDefault="0065124E" w:rsidP="0065124E">
            <w:pPr>
              <w:jc w:val="center"/>
              <w:rPr>
                <w:rFonts w:ascii="VIC" w:hAnsi="VIC"/>
                <w:sz w:val="18"/>
                <w:szCs w:val="18"/>
              </w:rPr>
            </w:pPr>
            <w:r w:rsidRPr="00BF7527">
              <w:rPr>
                <w:rFonts w:ascii="VIC" w:eastAsia="Verdana" w:hAnsi="VIC"/>
                <w:color w:val="000000"/>
                <w:sz w:val="18"/>
                <w:szCs w:val="18"/>
              </w:rPr>
              <w:t>4 %</w:t>
            </w:r>
          </w:p>
        </w:tc>
        <w:tc>
          <w:tcPr>
            <w:tcW w:w="1524" w:type="dxa"/>
            <w:shd w:val="clear" w:color="auto" w:fill="BFCED6"/>
          </w:tcPr>
          <w:p w14:paraId="15A29965" w14:textId="0BE3CBB5" w:rsidR="0065124E" w:rsidRPr="007B08C1" w:rsidRDefault="0065124E" w:rsidP="0065124E">
            <w:pPr>
              <w:jc w:val="center"/>
              <w:rPr>
                <w:rFonts w:ascii="VIC" w:hAnsi="VIC"/>
                <w:sz w:val="18"/>
                <w:szCs w:val="18"/>
              </w:rPr>
            </w:pPr>
            <w:r w:rsidRPr="00BF7527">
              <w:rPr>
                <w:rFonts w:ascii="VIC" w:eastAsia="Verdana" w:hAnsi="VIC"/>
                <w:color w:val="000000"/>
                <w:sz w:val="18"/>
                <w:szCs w:val="18"/>
              </w:rPr>
              <w:t>95 %</w:t>
            </w:r>
          </w:p>
        </w:tc>
        <w:tc>
          <w:tcPr>
            <w:tcW w:w="1523" w:type="dxa"/>
            <w:shd w:val="clear" w:color="auto" w:fill="BFCED6"/>
          </w:tcPr>
          <w:p w14:paraId="19E382C6" w14:textId="3D0A91DB" w:rsidR="0065124E" w:rsidRPr="007B08C1" w:rsidRDefault="0065124E" w:rsidP="0065124E">
            <w:pPr>
              <w:jc w:val="center"/>
              <w:rPr>
                <w:rFonts w:ascii="VIC" w:hAnsi="VIC"/>
                <w:sz w:val="18"/>
                <w:szCs w:val="18"/>
              </w:rPr>
            </w:pPr>
            <w:r w:rsidRPr="00BF7527">
              <w:rPr>
                <w:rFonts w:ascii="VIC" w:eastAsia="Verdana" w:hAnsi="VIC"/>
                <w:color w:val="000000"/>
                <w:sz w:val="18"/>
                <w:szCs w:val="18"/>
              </w:rPr>
              <w:t>17.8</w:t>
            </w:r>
          </w:p>
        </w:tc>
        <w:tc>
          <w:tcPr>
            <w:tcW w:w="1524" w:type="dxa"/>
            <w:shd w:val="clear" w:color="auto" w:fill="BFCED6"/>
          </w:tcPr>
          <w:p w14:paraId="481C998E" w14:textId="598A53C0" w:rsidR="0065124E" w:rsidRPr="007B08C1" w:rsidRDefault="0065124E" w:rsidP="0065124E">
            <w:pPr>
              <w:jc w:val="center"/>
              <w:rPr>
                <w:rFonts w:ascii="VIC" w:hAnsi="VIC"/>
                <w:sz w:val="18"/>
                <w:szCs w:val="18"/>
              </w:rPr>
            </w:pPr>
            <w:r w:rsidRPr="00BF7527">
              <w:rPr>
                <w:rFonts w:ascii="VIC" w:eastAsia="Verdana" w:hAnsi="VIC"/>
                <w:color w:val="000000"/>
                <w:sz w:val="18"/>
                <w:szCs w:val="18"/>
              </w:rPr>
              <w:t>62 %</w:t>
            </w:r>
          </w:p>
        </w:tc>
        <w:tc>
          <w:tcPr>
            <w:tcW w:w="1524" w:type="dxa"/>
            <w:shd w:val="clear" w:color="auto" w:fill="BFCED6"/>
          </w:tcPr>
          <w:p w14:paraId="0C3BBC33" w14:textId="2ABBDABF" w:rsidR="0065124E" w:rsidRPr="007B08C1" w:rsidRDefault="0065124E" w:rsidP="0065124E">
            <w:pPr>
              <w:jc w:val="center"/>
              <w:rPr>
                <w:rFonts w:ascii="VIC" w:hAnsi="VIC"/>
                <w:sz w:val="18"/>
                <w:szCs w:val="18"/>
              </w:rPr>
            </w:pPr>
            <w:r w:rsidRPr="00BF7527">
              <w:rPr>
                <w:rFonts w:ascii="VIC" w:eastAsia="Verdana" w:hAnsi="VIC"/>
                <w:color w:val="000000"/>
                <w:sz w:val="18"/>
                <w:szCs w:val="18"/>
              </w:rPr>
              <w:t>6 %</w:t>
            </w:r>
          </w:p>
        </w:tc>
        <w:tc>
          <w:tcPr>
            <w:tcW w:w="1524" w:type="dxa"/>
            <w:shd w:val="clear" w:color="auto" w:fill="BFCED6"/>
          </w:tcPr>
          <w:p w14:paraId="6AAF9B4F" w14:textId="03C39DBE" w:rsidR="0065124E" w:rsidRPr="007B08C1" w:rsidRDefault="0065124E" w:rsidP="0065124E">
            <w:pPr>
              <w:jc w:val="center"/>
              <w:rPr>
                <w:rFonts w:ascii="VIC" w:hAnsi="VIC"/>
                <w:sz w:val="18"/>
                <w:szCs w:val="18"/>
              </w:rPr>
            </w:pPr>
            <w:r w:rsidRPr="00BF7527">
              <w:rPr>
                <w:rFonts w:ascii="VIC" w:eastAsia="Verdana" w:hAnsi="VIC"/>
                <w:color w:val="000000"/>
                <w:sz w:val="18"/>
                <w:szCs w:val="18"/>
              </w:rPr>
              <w:t>1.9</w:t>
            </w:r>
          </w:p>
        </w:tc>
      </w:tr>
      <w:tr w:rsidR="0065124E" w:rsidRPr="007B08C1" w14:paraId="2B1C5662" w14:textId="77777777" w:rsidTr="003B4630">
        <w:trPr>
          <w:trHeight w:val="454"/>
        </w:trPr>
        <w:tc>
          <w:tcPr>
            <w:tcW w:w="1570" w:type="dxa"/>
            <w:shd w:val="clear" w:color="auto" w:fill="FFFFFF" w:themeFill="background1"/>
          </w:tcPr>
          <w:p w14:paraId="0AA51AB5" w14:textId="18A35B19" w:rsidR="0065124E" w:rsidRPr="007B08C1" w:rsidRDefault="0065124E" w:rsidP="0065124E">
            <w:pPr>
              <w:rPr>
                <w:rFonts w:ascii="VIC" w:hAnsi="VIC"/>
                <w:sz w:val="18"/>
                <w:szCs w:val="18"/>
              </w:rPr>
            </w:pPr>
            <w:r w:rsidRPr="00BF7527">
              <w:rPr>
                <w:rFonts w:ascii="VIC" w:eastAsia="Verdana" w:hAnsi="VIC"/>
                <w:color w:val="000000"/>
                <w:sz w:val="18"/>
                <w:szCs w:val="18"/>
              </w:rPr>
              <w:t>Mildura Base Hospital</w:t>
            </w:r>
          </w:p>
        </w:tc>
        <w:tc>
          <w:tcPr>
            <w:tcW w:w="1985" w:type="dxa"/>
            <w:shd w:val="clear" w:color="auto" w:fill="FFFFFF" w:themeFill="background1"/>
          </w:tcPr>
          <w:p w14:paraId="7AFE4CB8" w14:textId="382017A2" w:rsidR="0065124E" w:rsidRPr="007B08C1" w:rsidRDefault="0065124E" w:rsidP="0065124E">
            <w:pPr>
              <w:rPr>
                <w:rFonts w:ascii="VIC" w:hAnsi="VIC"/>
                <w:sz w:val="18"/>
                <w:szCs w:val="18"/>
              </w:rPr>
            </w:pPr>
            <w:r w:rsidRPr="00BF7527">
              <w:rPr>
                <w:rFonts w:ascii="VIC" w:eastAsia="Verdana" w:hAnsi="VIC"/>
                <w:color w:val="000000"/>
                <w:sz w:val="18"/>
                <w:szCs w:val="18"/>
              </w:rPr>
              <w:t>Northern Mallee</w:t>
            </w:r>
          </w:p>
        </w:tc>
        <w:tc>
          <w:tcPr>
            <w:tcW w:w="1523" w:type="dxa"/>
            <w:shd w:val="clear" w:color="auto" w:fill="FFFFFF" w:themeFill="background1"/>
          </w:tcPr>
          <w:p w14:paraId="08D22D2D" w14:textId="42377ED6" w:rsidR="0065124E" w:rsidRPr="007B08C1" w:rsidRDefault="0065124E" w:rsidP="0065124E">
            <w:pPr>
              <w:jc w:val="center"/>
              <w:rPr>
                <w:rFonts w:ascii="VIC" w:hAnsi="VIC"/>
                <w:sz w:val="18"/>
                <w:szCs w:val="18"/>
              </w:rPr>
            </w:pPr>
            <w:r w:rsidRPr="00BF7527">
              <w:rPr>
                <w:rFonts w:ascii="VIC" w:eastAsia="Verdana" w:hAnsi="VIC"/>
                <w:color w:val="000000"/>
                <w:sz w:val="18"/>
                <w:szCs w:val="18"/>
              </w:rPr>
              <w:t>6 %</w:t>
            </w:r>
          </w:p>
        </w:tc>
        <w:tc>
          <w:tcPr>
            <w:tcW w:w="1524" w:type="dxa"/>
            <w:shd w:val="clear" w:color="auto" w:fill="FFFFFF" w:themeFill="background1"/>
          </w:tcPr>
          <w:p w14:paraId="021BD46B" w14:textId="6609C18A" w:rsidR="0065124E" w:rsidRPr="007B08C1" w:rsidRDefault="0065124E" w:rsidP="0065124E">
            <w:pPr>
              <w:jc w:val="center"/>
              <w:rPr>
                <w:rFonts w:ascii="VIC" w:hAnsi="VIC"/>
                <w:sz w:val="18"/>
                <w:szCs w:val="18"/>
              </w:rPr>
            </w:pPr>
            <w:r w:rsidRPr="00BF7527">
              <w:rPr>
                <w:rFonts w:ascii="VIC" w:eastAsia="Verdana" w:hAnsi="VIC"/>
                <w:color w:val="000000"/>
                <w:sz w:val="18"/>
                <w:szCs w:val="18"/>
              </w:rPr>
              <w:t>9.2</w:t>
            </w:r>
          </w:p>
        </w:tc>
        <w:tc>
          <w:tcPr>
            <w:tcW w:w="1524" w:type="dxa"/>
            <w:shd w:val="clear" w:color="auto" w:fill="FFFFFF" w:themeFill="background1"/>
          </w:tcPr>
          <w:p w14:paraId="00B0C1C6" w14:textId="1F52B742" w:rsidR="0065124E" w:rsidRPr="007B08C1" w:rsidRDefault="0065124E" w:rsidP="0065124E">
            <w:pPr>
              <w:jc w:val="center"/>
              <w:rPr>
                <w:rFonts w:ascii="VIC" w:hAnsi="VIC"/>
                <w:sz w:val="18"/>
                <w:szCs w:val="18"/>
              </w:rPr>
            </w:pPr>
            <w:r w:rsidRPr="00BF7527">
              <w:rPr>
                <w:rFonts w:ascii="VIC" w:eastAsia="Verdana" w:hAnsi="VIC"/>
                <w:color w:val="000000"/>
                <w:sz w:val="18"/>
                <w:szCs w:val="18"/>
              </w:rPr>
              <w:t>6 %</w:t>
            </w:r>
          </w:p>
        </w:tc>
        <w:tc>
          <w:tcPr>
            <w:tcW w:w="1524" w:type="dxa"/>
            <w:shd w:val="clear" w:color="auto" w:fill="FFFFFF" w:themeFill="background1"/>
          </w:tcPr>
          <w:p w14:paraId="1806858D" w14:textId="434D1693" w:rsidR="0065124E" w:rsidRPr="007B08C1" w:rsidRDefault="0065124E" w:rsidP="0065124E">
            <w:pPr>
              <w:jc w:val="center"/>
              <w:rPr>
                <w:rFonts w:ascii="VIC" w:hAnsi="VIC"/>
                <w:sz w:val="18"/>
                <w:szCs w:val="18"/>
              </w:rPr>
            </w:pPr>
            <w:r w:rsidRPr="00BF7527">
              <w:rPr>
                <w:rFonts w:ascii="VIC" w:eastAsia="Verdana" w:hAnsi="VIC"/>
                <w:color w:val="000000"/>
                <w:sz w:val="18"/>
                <w:szCs w:val="18"/>
              </w:rPr>
              <w:t>81 %</w:t>
            </w:r>
          </w:p>
        </w:tc>
        <w:tc>
          <w:tcPr>
            <w:tcW w:w="1523" w:type="dxa"/>
            <w:shd w:val="clear" w:color="auto" w:fill="FFFFFF" w:themeFill="background1"/>
          </w:tcPr>
          <w:p w14:paraId="4D3E3AAC" w14:textId="7F67D6B2" w:rsidR="0065124E" w:rsidRPr="007B08C1" w:rsidRDefault="0065124E" w:rsidP="0065124E">
            <w:pPr>
              <w:jc w:val="center"/>
              <w:rPr>
                <w:rFonts w:ascii="VIC" w:hAnsi="VIC"/>
                <w:sz w:val="18"/>
                <w:szCs w:val="18"/>
              </w:rPr>
            </w:pPr>
            <w:r w:rsidRPr="00BF7527">
              <w:rPr>
                <w:rFonts w:ascii="VIC" w:eastAsia="Verdana" w:hAnsi="VIC"/>
                <w:color w:val="000000"/>
                <w:sz w:val="18"/>
                <w:szCs w:val="18"/>
              </w:rPr>
              <w:t>10.7</w:t>
            </w:r>
          </w:p>
        </w:tc>
        <w:tc>
          <w:tcPr>
            <w:tcW w:w="1524" w:type="dxa"/>
            <w:shd w:val="clear" w:color="auto" w:fill="FFFFFF" w:themeFill="background1"/>
          </w:tcPr>
          <w:p w14:paraId="675DB7FF" w14:textId="4DA46DF0" w:rsidR="0065124E" w:rsidRPr="007B08C1" w:rsidRDefault="0065124E" w:rsidP="0065124E">
            <w:pPr>
              <w:jc w:val="center"/>
              <w:rPr>
                <w:rFonts w:ascii="VIC" w:hAnsi="VIC"/>
                <w:sz w:val="18"/>
                <w:szCs w:val="18"/>
              </w:rPr>
            </w:pPr>
            <w:r w:rsidRPr="00BF7527">
              <w:rPr>
                <w:rFonts w:ascii="VIC" w:eastAsia="Verdana" w:hAnsi="VIC"/>
                <w:color w:val="000000"/>
                <w:sz w:val="18"/>
                <w:szCs w:val="18"/>
              </w:rPr>
              <w:t>50 %</w:t>
            </w:r>
          </w:p>
        </w:tc>
        <w:tc>
          <w:tcPr>
            <w:tcW w:w="1524" w:type="dxa"/>
            <w:shd w:val="clear" w:color="auto" w:fill="FFFFFF" w:themeFill="background1"/>
          </w:tcPr>
          <w:p w14:paraId="1168AA0D" w14:textId="381A7305" w:rsidR="0065124E" w:rsidRPr="007B08C1" w:rsidRDefault="0065124E" w:rsidP="0065124E">
            <w:pPr>
              <w:jc w:val="center"/>
              <w:rPr>
                <w:rFonts w:ascii="VIC" w:hAnsi="VIC"/>
                <w:sz w:val="18"/>
                <w:szCs w:val="18"/>
              </w:rPr>
            </w:pPr>
            <w:r w:rsidRPr="00BF7527">
              <w:rPr>
                <w:rFonts w:ascii="VIC" w:eastAsia="Verdana" w:hAnsi="VIC"/>
                <w:color w:val="000000"/>
                <w:sz w:val="18"/>
                <w:szCs w:val="18"/>
              </w:rPr>
              <w:t>21 %</w:t>
            </w:r>
          </w:p>
        </w:tc>
        <w:tc>
          <w:tcPr>
            <w:tcW w:w="1524" w:type="dxa"/>
            <w:shd w:val="clear" w:color="auto" w:fill="FFFFFF" w:themeFill="background1"/>
          </w:tcPr>
          <w:p w14:paraId="77506439" w14:textId="77777777" w:rsidR="0065124E" w:rsidRPr="007B08C1" w:rsidRDefault="0065124E" w:rsidP="0065124E">
            <w:pPr>
              <w:jc w:val="center"/>
              <w:rPr>
                <w:rFonts w:ascii="VIC" w:hAnsi="VIC"/>
                <w:sz w:val="18"/>
                <w:szCs w:val="18"/>
              </w:rPr>
            </w:pPr>
          </w:p>
        </w:tc>
      </w:tr>
      <w:tr w:rsidR="0065124E" w:rsidRPr="007B08C1" w14:paraId="7F783473" w14:textId="77777777" w:rsidTr="003B4630">
        <w:trPr>
          <w:trHeight w:val="454"/>
        </w:trPr>
        <w:tc>
          <w:tcPr>
            <w:tcW w:w="1570" w:type="dxa"/>
            <w:vMerge w:val="restart"/>
            <w:shd w:val="clear" w:color="auto" w:fill="BFCED6"/>
          </w:tcPr>
          <w:p w14:paraId="792AB468" w14:textId="52139A40" w:rsidR="0065124E" w:rsidRPr="007B08C1" w:rsidRDefault="0065124E" w:rsidP="0065124E">
            <w:pPr>
              <w:rPr>
                <w:rFonts w:ascii="VIC" w:hAnsi="VIC"/>
                <w:sz w:val="18"/>
                <w:szCs w:val="18"/>
              </w:rPr>
            </w:pPr>
            <w:r w:rsidRPr="00BF7527">
              <w:rPr>
                <w:rFonts w:ascii="VIC" w:eastAsia="Verdana" w:hAnsi="VIC"/>
                <w:color w:val="000000"/>
                <w:sz w:val="18"/>
                <w:szCs w:val="18"/>
              </w:rPr>
              <w:t>Albury Wodonga Health</w:t>
            </w:r>
          </w:p>
        </w:tc>
        <w:tc>
          <w:tcPr>
            <w:tcW w:w="1985" w:type="dxa"/>
            <w:shd w:val="clear" w:color="auto" w:fill="BFCED6"/>
          </w:tcPr>
          <w:p w14:paraId="7657EC92" w14:textId="1652A3B2" w:rsidR="0065124E" w:rsidRPr="007B08C1" w:rsidRDefault="0065124E" w:rsidP="0065124E">
            <w:pPr>
              <w:rPr>
                <w:rFonts w:ascii="VIC" w:hAnsi="VIC"/>
                <w:sz w:val="18"/>
                <w:szCs w:val="18"/>
              </w:rPr>
            </w:pPr>
            <w:r w:rsidRPr="00BF7527">
              <w:rPr>
                <w:rFonts w:ascii="VIC" w:eastAsia="Verdana" w:hAnsi="VIC"/>
                <w:color w:val="000000"/>
                <w:sz w:val="18"/>
                <w:szCs w:val="18"/>
              </w:rPr>
              <w:t>Albury - NSW</w:t>
            </w:r>
          </w:p>
        </w:tc>
        <w:tc>
          <w:tcPr>
            <w:tcW w:w="1523" w:type="dxa"/>
            <w:shd w:val="clear" w:color="auto" w:fill="BFCED6"/>
          </w:tcPr>
          <w:p w14:paraId="261B815F" w14:textId="7B5E9E41" w:rsidR="0065124E" w:rsidRPr="007B08C1" w:rsidRDefault="0065124E" w:rsidP="0065124E">
            <w:pPr>
              <w:jc w:val="center"/>
              <w:rPr>
                <w:rFonts w:ascii="VIC" w:hAnsi="VIC"/>
                <w:sz w:val="18"/>
                <w:szCs w:val="18"/>
              </w:rPr>
            </w:pPr>
            <w:r w:rsidRPr="00BF7527">
              <w:rPr>
                <w:rFonts w:ascii="VIC" w:eastAsia="Verdana" w:hAnsi="VIC"/>
                <w:color w:val="000000"/>
                <w:sz w:val="18"/>
                <w:szCs w:val="18"/>
              </w:rPr>
              <w:t>24 %</w:t>
            </w:r>
          </w:p>
        </w:tc>
        <w:tc>
          <w:tcPr>
            <w:tcW w:w="1524" w:type="dxa"/>
            <w:shd w:val="clear" w:color="auto" w:fill="BFCED6"/>
          </w:tcPr>
          <w:p w14:paraId="083ED562" w14:textId="77EA2576" w:rsidR="0065124E" w:rsidRPr="007B08C1" w:rsidRDefault="0065124E" w:rsidP="0065124E">
            <w:pPr>
              <w:jc w:val="center"/>
              <w:rPr>
                <w:rFonts w:ascii="VIC" w:hAnsi="VIC"/>
                <w:sz w:val="18"/>
                <w:szCs w:val="18"/>
              </w:rPr>
            </w:pPr>
            <w:r w:rsidRPr="00BF7527">
              <w:rPr>
                <w:rFonts w:ascii="VIC" w:eastAsia="Verdana" w:hAnsi="VIC"/>
                <w:color w:val="000000"/>
                <w:sz w:val="18"/>
                <w:szCs w:val="18"/>
              </w:rPr>
              <w:t>5.8</w:t>
            </w:r>
          </w:p>
        </w:tc>
        <w:tc>
          <w:tcPr>
            <w:tcW w:w="1524" w:type="dxa"/>
            <w:shd w:val="clear" w:color="auto" w:fill="BFCED6"/>
          </w:tcPr>
          <w:p w14:paraId="6D8CC918" w14:textId="6CAC17D3" w:rsidR="0065124E" w:rsidRPr="007B08C1" w:rsidRDefault="0065124E" w:rsidP="0065124E">
            <w:pPr>
              <w:jc w:val="center"/>
              <w:rPr>
                <w:rFonts w:ascii="VIC" w:hAnsi="VIC"/>
                <w:sz w:val="18"/>
                <w:szCs w:val="18"/>
              </w:rPr>
            </w:pPr>
            <w:r w:rsidRPr="00BF7527">
              <w:rPr>
                <w:rFonts w:ascii="VIC" w:eastAsia="Verdana" w:hAnsi="VIC"/>
                <w:color w:val="000000"/>
                <w:sz w:val="18"/>
                <w:szCs w:val="18"/>
              </w:rPr>
              <w:t>0 %</w:t>
            </w:r>
          </w:p>
        </w:tc>
        <w:tc>
          <w:tcPr>
            <w:tcW w:w="1524" w:type="dxa"/>
            <w:shd w:val="clear" w:color="auto" w:fill="BFCED6"/>
          </w:tcPr>
          <w:p w14:paraId="4D0B9C46" w14:textId="211AF284" w:rsidR="0065124E" w:rsidRPr="007B08C1" w:rsidRDefault="0065124E" w:rsidP="0065124E">
            <w:pPr>
              <w:jc w:val="center"/>
              <w:rPr>
                <w:rFonts w:ascii="VIC" w:hAnsi="VIC"/>
                <w:sz w:val="18"/>
                <w:szCs w:val="18"/>
              </w:rPr>
            </w:pPr>
            <w:r w:rsidRPr="00BF7527">
              <w:rPr>
                <w:rFonts w:ascii="VIC" w:eastAsia="Verdana" w:hAnsi="VIC"/>
                <w:color w:val="000000"/>
                <w:sz w:val="18"/>
                <w:szCs w:val="18"/>
              </w:rPr>
              <w:t>71 %</w:t>
            </w:r>
          </w:p>
        </w:tc>
        <w:tc>
          <w:tcPr>
            <w:tcW w:w="1523" w:type="dxa"/>
            <w:shd w:val="clear" w:color="auto" w:fill="BFCED6"/>
          </w:tcPr>
          <w:p w14:paraId="5176FB53" w14:textId="21D664FB" w:rsidR="0065124E" w:rsidRPr="007B08C1" w:rsidRDefault="0065124E" w:rsidP="0065124E">
            <w:pPr>
              <w:jc w:val="center"/>
              <w:rPr>
                <w:rFonts w:ascii="VIC" w:hAnsi="VIC"/>
                <w:sz w:val="18"/>
                <w:szCs w:val="18"/>
              </w:rPr>
            </w:pPr>
            <w:r w:rsidRPr="00BF7527">
              <w:rPr>
                <w:rFonts w:ascii="VIC" w:eastAsia="Verdana" w:hAnsi="VIC"/>
                <w:color w:val="000000"/>
                <w:sz w:val="18"/>
                <w:szCs w:val="18"/>
              </w:rPr>
              <w:t>22.1</w:t>
            </w:r>
          </w:p>
        </w:tc>
        <w:tc>
          <w:tcPr>
            <w:tcW w:w="1524" w:type="dxa"/>
            <w:shd w:val="clear" w:color="auto" w:fill="BFCED6"/>
          </w:tcPr>
          <w:p w14:paraId="5C948D72" w14:textId="38ECBF69" w:rsidR="0065124E" w:rsidRPr="007B08C1" w:rsidRDefault="0065124E" w:rsidP="0065124E">
            <w:pPr>
              <w:jc w:val="center"/>
              <w:rPr>
                <w:rFonts w:ascii="VIC" w:hAnsi="VIC"/>
                <w:sz w:val="18"/>
                <w:szCs w:val="18"/>
              </w:rPr>
            </w:pPr>
            <w:r w:rsidRPr="00BF7527">
              <w:rPr>
                <w:rFonts w:ascii="VIC" w:eastAsia="Verdana" w:hAnsi="VIC"/>
                <w:color w:val="000000"/>
                <w:sz w:val="18"/>
                <w:szCs w:val="18"/>
              </w:rPr>
              <w:t>0 %</w:t>
            </w:r>
          </w:p>
        </w:tc>
        <w:tc>
          <w:tcPr>
            <w:tcW w:w="1524" w:type="dxa"/>
            <w:shd w:val="clear" w:color="auto" w:fill="BFCED6"/>
          </w:tcPr>
          <w:p w14:paraId="4A0336A4" w14:textId="6D77EAE5" w:rsidR="0065124E" w:rsidRPr="007B08C1" w:rsidRDefault="0065124E" w:rsidP="0065124E">
            <w:pPr>
              <w:jc w:val="center"/>
              <w:rPr>
                <w:rFonts w:ascii="VIC" w:hAnsi="VIC"/>
                <w:sz w:val="18"/>
                <w:szCs w:val="18"/>
              </w:rPr>
            </w:pPr>
            <w:r w:rsidRPr="00BF7527">
              <w:rPr>
                <w:rFonts w:ascii="VIC" w:eastAsia="Verdana" w:hAnsi="VIC"/>
                <w:color w:val="000000"/>
                <w:sz w:val="18"/>
                <w:szCs w:val="18"/>
              </w:rPr>
              <w:t>0 %</w:t>
            </w:r>
          </w:p>
        </w:tc>
        <w:tc>
          <w:tcPr>
            <w:tcW w:w="1524" w:type="dxa"/>
            <w:shd w:val="clear" w:color="auto" w:fill="BFCED6"/>
          </w:tcPr>
          <w:p w14:paraId="7853FE74" w14:textId="4CAF18ED" w:rsidR="0065124E" w:rsidRPr="007B08C1" w:rsidRDefault="0065124E" w:rsidP="0065124E">
            <w:pPr>
              <w:jc w:val="center"/>
              <w:rPr>
                <w:rFonts w:ascii="VIC" w:hAnsi="VIC"/>
                <w:sz w:val="18"/>
                <w:szCs w:val="18"/>
              </w:rPr>
            </w:pPr>
          </w:p>
        </w:tc>
      </w:tr>
      <w:tr w:rsidR="0065124E" w:rsidRPr="007B08C1" w14:paraId="10876474" w14:textId="77777777" w:rsidTr="003B4630">
        <w:trPr>
          <w:trHeight w:val="454"/>
        </w:trPr>
        <w:tc>
          <w:tcPr>
            <w:tcW w:w="1570" w:type="dxa"/>
            <w:vMerge/>
            <w:shd w:val="clear" w:color="auto" w:fill="BFCED6"/>
          </w:tcPr>
          <w:p w14:paraId="01D1E1A4" w14:textId="77777777" w:rsidR="0065124E" w:rsidRPr="00625339" w:rsidRDefault="0065124E" w:rsidP="0065124E">
            <w:pPr>
              <w:rPr>
                <w:rFonts w:ascii="VIC" w:eastAsia="Verdana" w:hAnsi="VIC"/>
                <w:color w:val="000000"/>
                <w:sz w:val="18"/>
              </w:rPr>
            </w:pPr>
          </w:p>
        </w:tc>
        <w:tc>
          <w:tcPr>
            <w:tcW w:w="1985" w:type="dxa"/>
            <w:shd w:val="clear" w:color="auto" w:fill="BFCED6"/>
          </w:tcPr>
          <w:p w14:paraId="6BC9FC69" w14:textId="10275371" w:rsidR="0065124E" w:rsidRPr="00625339" w:rsidRDefault="0065124E" w:rsidP="0065124E">
            <w:pPr>
              <w:rPr>
                <w:rFonts w:ascii="VIC" w:eastAsia="Verdana" w:hAnsi="VIC"/>
                <w:color w:val="000000"/>
                <w:sz w:val="18"/>
              </w:rPr>
            </w:pPr>
            <w:r w:rsidRPr="00BF7527">
              <w:rPr>
                <w:rFonts w:ascii="VIC" w:eastAsia="Verdana" w:hAnsi="VIC"/>
                <w:color w:val="000000"/>
                <w:sz w:val="18"/>
                <w:szCs w:val="18"/>
              </w:rPr>
              <w:t>North East &amp; Border</w:t>
            </w:r>
          </w:p>
        </w:tc>
        <w:tc>
          <w:tcPr>
            <w:tcW w:w="1523" w:type="dxa"/>
            <w:shd w:val="clear" w:color="auto" w:fill="BFCED6"/>
          </w:tcPr>
          <w:p w14:paraId="3EE52BF4" w14:textId="4FB8D225" w:rsidR="0065124E" w:rsidRPr="007B08C1" w:rsidRDefault="0065124E" w:rsidP="0065124E">
            <w:pPr>
              <w:jc w:val="center"/>
              <w:rPr>
                <w:rFonts w:ascii="VIC" w:hAnsi="VIC"/>
                <w:sz w:val="18"/>
                <w:szCs w:val="18"/>
              </w:rPr>
            </w:pPr>
            <w:r w:rsidRPr="00BF7527">
              <w:rPr>
                <w:rFonts w:ascii="VIC" w:eastAsia="Verdana" w:hAnsi="VIC"/>
                <w:color w:val="000000"/>
                <w:sz w:val="18"/>
                <w:szCs w:val="18"/>
              </w:rPr>
              <w:t>25 %</w:t>
            </w:r>
          </w:p>
        </w:tc>
        <w:tc>
          <w:tcPr>
            <w:tcW w:w="1524" w:type="dxa"/>
            <w:shd w:val="clear" w:color="auto" w:fill="BFCED6"/>
          </w:tcPr>
          <w:p w14:paraId="78D3F818" w14:textId="0062A2D9" w:rsidR="0065124E" w:rsidRPr="007B08C1" w:rsidRDefault="0065124E" w:rsidP="0065124E">
            <w:pPr>
              <w:jc w:val="center"/>
              <w:rPr>
                <w:rFonts w:ascii="VIC" w:hAnsi="VIC"/>
                <w:sz w:val="18"/>
                <w:szCs w:val="18"/>
              </w:rPr>
            </w:pPr>
            <w:r w:rsidRPr="00BF7527">
              <w:rPr>
                <w:rFonts w:ascii="VIC" w:eastAsia="Verdana" w:hAnsi="VIC"/>
                <w:color w:val="000000"/>
                <w:sz w:val="18"/>
                <w:szCs w:val="18"/>
              </w:rPr>
              <w:t>2.8</w:t>
            </w:r>
          </w:p>
        </w:tc>
        <w:tc>
          <w:tcPr>
            <w:tcW w:w="1524" w:type="dxa"/>
            <w:shd w:val="clear" w:color="auto" w:fill="BFCED6"/>
          </w:tcPr>
          <w:p w14:paraId="76E1A35B" w14:textId="630E044B" w:rsidR="0065124E" w:rsidRPr="007B08C1" w:rsidRDefault="0065124E" w:rsidP="0065124E">
            <w:pPr>
              <w:jc w:val="center"/>
              <w:rPr>
                <w:rFonts w:ascii="VIC" w:hAnsi="VIC"/>
                <w:sz w:val="18"/>
                <w:szCs w:val="18"/>
              </w:rPr>
            </w:pPr>
            <w:r w:rsidRPr="00BF7527">
              <w:rPr>
                <w:rFonts w:ascii="VIC" w:eastAsia="Verdana" w:hAnsi="VIC"/>
                <w:color w:val="000000"/>
                <w:sz w:val="18"/>
                <w:szCs w:val="18"/>
              </w:rPr>
              <w:t>0 %</w:t>
            </w:r>
          </w:p>
        </w:tc>
        <w:tc>
          <w:tcPr>
            <w:tcW w:w="1524" w:type="dxa"/>
            <w:shd w:val="clear" w:color="auto" w:fill="BFCED6"/>
          </w:tcPr>
          <w:p w14:paraId="4944D6F7" w14:textId="2BC7AA8F" w:rsidR="0065124E" w:rsidRPr="007B08C1" w:rsidRDefault="0065124E" w:rsidP="0065124E">
            <w:pPr>
              <w:jc w:val="center"/>
              <w:rPr>
                <w:rFonts w:ascii="VIC" w:hAnsi="VIC"/>
                <w:sz w:val="18"/>
                <w:szCs w:val="18"/>
              </w:rPr>
            </w:pPr>
            <w:r w:rsidRPr="00BF7527">
              <w:rPr>
                <w:rFonts w:ascii="VIC" w:eastAsia="Verdana" w:hAnsi="VIC"/>
                <w:color w:val="000000"/>
                <w:sz w:val="18"/>
                <w:szCs w:val="18"/>
              </w:rPr>
              <w:t>70 %</w:t>
            </w:r>
          </w:p>
        </w:tc>
        <w:tc>
          <w:tcPr>
            <w:tcW w:w="1523" w:type="dxa"/>
            <w:shd w:val="clear" w:color="auto" w:fill="BFCED6"/>
          </w:tcPr>
          <w:p w14:paraId="70F793C6" w14:textId="25E6F4BC" w:rsidR="0065124E" w:rsidRPr="007B08C1" w:rsidRDefault="0065124E" w:rsidP="0065124E">
            <w:pPr>
              <w:jc w:val="center"/>
              <w:rPr>
                <w:rFonts w:ascii="VIC" w:hAnsi="VIC"/>
                <w:sz w:val="18"/>
                <w:szCs w:val="18"/>
              </w:rPr>
            </w:pPr>
            <w:r w:rsidRPr="00BF7527">
              <w:rPr>
                <w:rFonts w:ascii="VIC" w:eastAsia="Verdana" w:hAnsi="VIC"/>
                <w:color w:val="000000"/>
                <w:sz w:val="18"/>
                <w:szCs w:val="18"/>
              </w:rPr>
              <w:t>12.0</w:t>
            </w:r>
          </w:p>
        </w:tc>
        <w:tc>
          <w:tcPr>
            <w:tcW w:w="1524" w:type="dxa"/>
            <w:shd w:val="clear" w:color="auto" w:fill="BFCED6"/>
          </w:tcPr>
          <w:p w14:paraId="64ED0F29" w14:textId="2847A066" w:rsidR="0065124E" w:rsidRPr="007B08C1" w:rsidRDefault="0065124E" w:rsidP="0065124E">
            <w:pPr>
              <w:jc w:val="center"/>
              <w:rPr>
                <w:rFonts w:ascii="VIC" w:hAnsi="VIC"/>
                <w:sz w:val="18"/>
                <w:szCs w:val="18"/>
              </w:rPr>
            </w:pPr>
            <w:r w:rsidRPr="00BF7527">
              <w:rPr>
                <w:rFonts w:ascii="VIC" w:eastAsia="Verdana" w:hAnsi="VIC"/>
                <w:color w:val="000000"/>
                <w:sz w:val="18"/>
                <w:szCs w:val="18"/>
              </w:rPr>
              <w:t>41 %</w:t>
            </w:r>
          </w:p>
        </w:tc>
        <w:tc>
          <w:tcPr>
            <w:tcW w:w="1524" w:type="dxa"/>
            <w:shd w:val="clear" w:color="auto" w:fill="BFCED6"/>
          </w:tcPr>
          <w:p w14:paraId="756B7806" w14:textId="5EE12333" w:rsidR="0065124E" w:rsidRPr="007B08C1" w:rsidRDefault="0065124E" w:rsidP="0065124E">
            <w:pPr>
              <w:jc w:val="center"/>
              <w:rPr>
                <w:rFonts w:ascii="VIC" w:hAnsi="VIC"/>
                <w:sz w:val="18"/>
                <w:szCs w:val="18"/>
              </w:rPr>
            </w:pPr>
            <w:r w:rsidRPr="00BF7527">
              <w:rPr>
                <w:rFonts w:ascii="VIC" w:eastAsia="Verdana" w:hAnsi="VIC"/>
                <w:color w:val="000000"/>
                <w:sz w:val="18"/>
                <w:szCs w:val="18"/>
              </w:rPr>
              <w:t>0 %</w:t>
            </w:r>
          </w:p>
        </w:tc>
        <w:tc>
          <w:tcPr>
            <w:tcW w:w="1524" w:type="dxa"/>
            <w:shd w:val="clear" w:color="auto" w:fill="BFCED6"/>
          </w:tcPr>
          <w:p w14:paraId="36E8801B" w14:textId="7E103391" w:rsidR="0065124E" w:rsidRPr="007B08C1" w:rsidRDefault="0065124E" w:rsidP="0065124E">
            <w:pPr>
              <w:jc w:val="center"/>
              <w:rPr>
                <w:rFonts w:ascii="VIC" w:hAnsi="VIC"/>
                <w:sz w:val="18"/>
                <w:szCs w:val="18"/>
              </w:rPr>
            </w:pPr>
            <w:r w:rsidRPr="00BF7527">
              <w:rPr>
                <w:rFonts w:ascii="VIC" w:eastAsia="Verdana" w:hAnsi="VIC"/>
                <w:color w:val="000000"/>
                <w:sz w:val="18"/>
                <w:szCs w:val="18"/>
              </w:rPr>
              <w:t>1.3</w:t>
            </w:r>
          </w:p>
        </w:tc>
      </w:tr>
      <w:tr w:rsidR="0065124E" w:rsidRPr="007B08C1" w14:paraId="6B86FDAD" w14:textId="77777777" w:rsidTr="003B4630">
        <w:trPr>
          <w:trHeight w:val="454"/>
        </w:trPr>
        <w:tc>
          <w:tcPr>
            <w:tcW w:w="1570" w:type="dxa"/>
            <w:vMerge/>
            <w:shd w:val="clear" w:color="auto" w:fill="BFCED6"/>
          </w:tcPr>
          <w:p w14:paraId="7CD62114" w14:textId="77777777" w:rsidR="0065124E" w:rsidRPr="00625339" w:rsidRDefault="0065124E" w:rsidP="0065124E">
            <w:pPr>
              <w:rPr>
                <w:rFonts w:ascii="VIC" w:eastAsia="Verdana" w:hAnsi="VIC"/>
                <w:color w:val="000000"/>
                <w:sz w:val="18"/>
              </w:rPr>
            </w:pPr>
          </w:p>
        </w:tc>
        <w:tc>
          <w:tcPr>
            <w:tcW w:w="1985" w:type="dxa"/>
            <w:shd w:val="clear" w:color="auto" w:fill="BFCED6"/>
          </w:tcPr>
          <w:p w14:paraId="3DC0047C" w14:textId="187CEC75" w:rsidR="0065124E" w:rsidRPr="00625339" w:rsidRDefault="0065124E" w:rsidP="0065124E">
            <w:pPr>
              <w:rPr>
                <w:rFonts w:ascii="VIC" w:eastAsia="Verdana" w:hAnsi="VIC"/>
                <w:color w:val="000000"/>
                <w:sz w:val="18"/>
              </w:rPr>
            </w:pPr>
            <w:r w:rsidRPr="00BF7527">
              <w:rPr>
                <w:rFonts w:ascii="VIC" w:eastAsia="Verdana" w:hAnsi="VIC"/>
                <w:color w:val="000000"/>
                <w:sz w:val="18"/>
                <w:szCs w:val="18"/>
              </w:rPr>
              <w:t>TOTAL</w:t>
            </w:r>
          </w:p>
        </w:tc>
        <w:tc>
          <w:tcPr>
            <w:tcW w:w="1523" w:type="dxa"/>
            <w:shd w:val="clear" w:color="auto" w:fill="BFCED6"/>
          </w:tcPr>
          <w:p w14:paraId="0A78EB95" w14:textId="0B87F151" w:rsidR="0065124E" w:rsidRPr="007B08C1" w:rsidRDefault="0065124E" w:rsidP="0065124E">
            <w:pPr>
              <w:jc w:val="center"/>
              <w:rPr>
                <w:rFonts w:ascii="VIC" w:hAnsi="VIC"/>
                <w:sz w:val="18"/>
                <w:szCs w:val="18"/>
              </w:rPr>
            </w:pPr>
            <w:r w:rsidRPr="00BF7527">
              <w:rPr>
                <w:rFonts w:ascii="VIC" w:eastAsia="Verdana" w:hAnsi="VIC"/>
                <w:color w:val="000000"/>
                <w:sz w:val="18"/>
                <w:szCs w:val="18"/>
              </w:rPr>
              <w:t>25 %</w:t>
            </w:r>
          </w:p>
        </w:tc>
        <w:tc>
          <w:tcPr>
            <w:tcW w:w="1524" w:type="dxa"/>
            <w:shd w:val="clear" w:color="auto" w:fill="BFCED6"/>
          </w:tcPr>
          <w:p w14:paraId="5BF26122" w14:textId="7941555D" w:rsidR="0065124E" w:rsidRPr="007B08C1" w:rsidRDefault="0065124E" w:rsidP="0065124E">
            <w:pPr>
              <w:jc w:val="center"/>
              <w:rPr>
                <w:rFonts w:ascii="VIC" w:hAnsi="VIC"/>
                <w:sz w:val="18"/>
                <w:szCs w:val="18"/>
              </w:rPr>
            </w:pPr>
            <w:r w:rsidRPr="00BF7527">
              <w:rPr>
                <w:rFonts w:ascii="VIC" w:eastAsia="Verdana" w:hAnsi="VIC"/>
                <w:color w:val="000000"/>
                <w:sz w:val="18"/>
                <w:szCs w:val="18"/>
              </w:rPr>
              <w:t>3.4</w:t>
            </w:r>
          </w:p>
        </w:tc>
        <w:tc>
          <w:tcPr>
            <w:tcW w:w="1524" w:type="dxa"/>
            <w:shd w:val="clear" w:color="auto" w:fill="BFCED6"/>
          </w:tcPr>
          <w:p w14:paraId="7C85436B" w14:textId="5A74BFAE" w:rsidR="0065124E" w:rsidRPr="007B08C1" w:rsidRDefault="0065124E" w:rsidP="0065124E">
            <w:pPr>
              <w:jc w:val="center"/>
              <w:rPr>
                <w:rFonts w:ascii="VIC" w:hAnsi="VIC"/>
                <w:sz w:val="18"/>
                <w:szCs w:val="18"/>
              </w:rPr>
            </w:pPr>
            <w:r w:rsidRPr="00BF7527">
              <w:rPr>
                <w:rFonts w:ascii="VIC" w:eastAsia="Verdana" w:hAnsi="VIC"/>
                <w:color w:val="000000"/>
                <w:sz w:val="18"/>
                <w:szCs w:val="18"/>
              </w:rPr>
              <w:t>0 %</w:t>
            </w:r>
          </w:p>
        </w:tc>
        <w:tc>
          <w:tcPr>
            <w:tcW w:w="1524" w:type="dxa"/>
            <w:shd w:val="clear" w:color="auto" w:fill="BFCED6"/>
          </w:tcPr>
          <w:p w14:paraId="1F78598F" w14:textId="4BEA4975" w:rsidR="0065124E" w:rsidRPr="007B08C1" w:rsidRDefault="0065124E" w:rsidP="0065124E">
            <w:pPr>
              <w:jc w:val="center"/>
              <w:rPr>
                <w:rFonts w:ascii="VIC" w:hAnsi="VIC"/>
                <w:sz w:val="18"/>
                <w:szCs w:val="18"/>
              </w:rPr>
            </w:pPr>
            <w:r w:rsidRPr="00BF7527">
              <w:rPr>
                <w:rFonts w:ascii="VIC" w:eastAsia="Verdana" w:hAnsi="VIC"/>
                <w:color w:val="000000"/>
                <w:sz w:val="18"/>
                <w:szCs w:val="18"/>
              </w:rPr>
              <w:t>70 %</w:t>
            </w:r>
          </w:p>
        </w:tc>
        <w:tc>
          <w:tcPr>
            <w:tcW w:w="1523" w:type="dxa"/>
            <w:shd w:val="clear" w:color="auto" w:fill="BFCED6"/>
          </w:tcPr>
          <w:p w14:paraId="671075D3" w14:textId="7610DFC6" w:rsidR="0065124E" w:rsidRPr="007B08C1" w:rsidRDefault="0065124E" w:rsidP="0065124E">
            <w:pPr>
              <w:jc w:val="center"/>
              <w:rPr>
                <w:rFonts w:ascii="VIC" w:hAnsi="VIC"/>
                <w:sz w:val="18"/>
                <w:szCs w:val="18"/>
              </w:rPr>
            </w:pPr>
            <w:r w:rsidRPr="00BF7527">
              <w:rPr>
                <w:rFonts w:ascii="VIC" w:eastAsia="Verdana" w:hAnsi="VIC"/>
                <w:color w:val="000000"/>
                <w:sz w:val="18"/>
                <w:szCs w:val="18"/>
              </w:rPr>
              <w:t>13.9</w:t>
            </w:r>
          </w:p>
        </w:tc>
        <w:tc>
          <w:tcPr>
            <w:tcW w:w="1524" w:type="dxa"/>
            <w:shd w:val="clear" w:color="auto" w:fill="BFCED6"/>
          </w:tcPr>
          <w:p w14:paraId="7D85064D" w14:textId="006599B5" w:rsidR="0065124E" w:rsidRPr="007B08C1" w:rsidRDefault="0065124E" w:rsidP="0065124E">
            <w:pPr>
              <w:jc w:val="center"/>
              <w:rPr>
                <w:rFonts w:ascii="VIC" w:hAnsi="VIC"/>
                <w:sz w:val="18"/>
                <w:szCs w:val="18"/>
              </w:rPr>
            </w:pPr>
            <w:r w:rsidRPr="00BF7527">
              <w:rPr>
                <w:rFonts w:ascii="VIC" w:eastAsia="Verdana" w:hAnsi="VIC"/>
                <w:color w:val="000000"/>
                <w:sz w:val="18"/>
                <w:szCs w:val="18"/>
              </w:rPr>
              <w:t>40 %</w:t>
            </w:r>
          </w:p>
        </w:tc>
        <w:tc>
          <w:tcPr>
            <w:tcW w:w="1524" w:type="dxa"/>
            <w:shd w:val="clear" w:color="auto" w:fill="BFCED6"/>
          </w:tcPr>
          <w:p w14:paraId="734FB254" w14:textId="54C66216" w:rsidR="0065124E" w:rsidRPr="007B08C1" w:rsidRDefault="0065124E" w:rsidP="0065124E">
            <w:pPr>
              <w:jc w:val="center"/>
              <w:rPr>
                <w:rFonts w:ascii="VIC" w:hAnsi="VIC"/>
                <w:sz w:val="18"/>
                <w:szCs w:val="18"/>
              </w:rPr>
            </w:pPr>
            <w:r w:rsidRPr="00BF7527">
              <w:rPr>
                <w:rFonts w:ascii="VIC" w:eastAsia="Verdana" w:hAnsi="VIC"/>
                <w:color w:val="000000"/>
                <w:sz w:val="18"/>
                <w:szCs w:val="18"/>
              </w:rPr>
              <w:t>0 %</w:t>
            </w:r>
          </w:p>
        </w:tc>
        <w:tc>
          <w:tcPr>
            <w:tcW w:w="1524" w:type="dxa"/>
            <w:shd w:val="clear" w:color="auto" w:fill="BFCED6"/>
          </w:tcPr>
          <w:p w14:paraId="5379322E" w14:textId="59ADBBB6" w:rsidR="0065124E" w:rsidRPr="007B08C1" w:rsidRDefault="0065124E" w:rsidP="0065124E">
            <w:pPr>
              <w:jc w:val="center"/>
              <w:rPr>
                <w:rFonts w:ascii="VIC" w:hAnsi="VIC"/>
                <w:sz w:val="18"/>
                <w:szCs w:val="18"/>
              </w:rPr>
            </w:pPr>
            <w:r w:rsidRPr="00BF7527">
              <w:rPr>
                <w:rFonts w:ascii="VIC" w:eastAsia="Verdana" w:hAnsi="VIC"/>
                <w:color w:val="000000"/>
                <w:sz w:val="18"/>
                <w:szCs w:val="18"/>
              </w:rPr>
              <w:t>1.2</w:t>
            </w:r>
          </w:p>
        </w:tc>
      </w:tr>
      <w:tr w:rsidR="0065124E" w:rsidRPr="007B08C1" w14:paraId="608E4949" w14:textId="77777777" w:rsidTr="003B4630">
        <w:trPr>
          <w:trHeight w:val="454"/>
        </w:trPr>
        <w:tc>
          <w:tcPr>
            <w:tcW w:w="1570" w:type="dxa"/>
            <w:shd w:val="clear" w:color="auto" w:fill="FFFFFF" w:themeFill="background1"/>
          </w:tcPr>
          <w:p w14:paraId="41811258" w14:textId="1FD2934C" w:rsidR="0065124E" w:rsidRPr="007B08C1" w:rsidRDefault="0065124E" w:rsidP="0065124E">
            <w:pPr>
              <w:rPr>
                <w:rFonts w:ascii="VIC" w:hAnsi="VIC"/>
                <w:sz w:val="18"/>
                <w:szCs w:val="18"/>
              </w:rPr>
            </w:pPr>
            <w:r w:rsidRPr="00BF7527">
              <w:rPr>
                <w:rFonts w:ascii="VIC" w:eastAsia="Verdana" w:hAnsi="VIC"/>
                <w:color w:val="000000"/>
                <w:sz w:val="18"/>
                <w:szCs w:val="18"/>
              </w:rPr>
              <w:t>South West Health</w:t>
            </w:r>
          </w:p>
        </w:tc>
        <w:tc>
          <w:tcPr>
            <w:tcW w:w="1985" w:type="dxa"/>
            <w:shd w:val="clear" w:color="auto" w:fill="FFFFFF" w:themeFill="background1"/>
          </w:tcPr>
          <w:p w14:paraId="0FA98979" w14:textId="29303FF9" w:rsidR="0065124E" w:rsidRPr="007B08C1" w:rsidRDefault="0065124E" w:rsidP="0065124E">
            <w:pPr>
              <w:rPr>
                <w:rFonts w:ascii="VIC" w:hAnsi="VIC"/>
                <w:sz w:val="18"/>
                <w:szCs w:val="18"/>
              </w:rPr>
            </w:pPr>
            <w:r w:rsidRPr="00BF7527">
              <w:rPr>
                <w:rFonts w:ascii="VIC" w:eastAsia="Verdana" w:hAnsi="VIC"/>
                <w:color w:val="000000"/>
                <w:sz w:val="18"/>
                <w:szCs w:val="18"/>
              </w:rPr>
              <w:t>South West Health Care</w:t>
            </w:r>
          </w:p>
        </w:tc>
        <w:tc>
          <w:tcPr>
            <w:tcW w:w="1523" w:type="dxa"/>
            <w:shd w:val="clear" w:color="auto" w:fill="FFFFFF" w:themeFill="background1"/>
          </w:tcPr>
          <w:p w14:paraId="760B8FB7" w14:textId="3B12F41F" w:rsidR="0065124E" w:rsidRPr="007B08C1" w:rsidRDefault="0065124E" w:rsidP="0065124E">
            <w:pPr>
              <w:jc w:val="center"/>
              <w:rPr>
                <w:rFonts w:ascii="VIC" w:hAnsi="VIC"/>
                <w:sz w:val="18"/>
                <w:szCs w:val="18"/>
              </w:rPr>
            </w:pPr>
            <w:r w:rsidRPr="00BF7527">
              <w:rPr>
                <w:rFonts w:ascii="VIC" w:eastAsia="Verdana" w:hAnsi="VIC"/>
                <w:color w:val="000000"/>
                <w:sz w:val="18"/>
                <w:szCs w:val="18"/>
              </w:rPr>
              <w:t>14 %</w:t>
            </w:r>
          </w:p>
        </w:tc>
        <w:tc>
          <w:tcPr>
            <w:tcW w:w="1524" w:type="dxa"/>
            <w:shd w:val="clear" w:color="auto" w:fill="FFFFFF" w:themeFill="background1"/>
          </w:tcPr>
          <w:p w14:paraId="3495587E" w14:textId="612C19BC" w:rsidR="0065124E" w:rsidRPr="007B08C1" w:rsidRDefault="0065124E" w:rsidP="0065124E">
            <w:pPr>
              <w:jc w:val="center"/>
              <w:rPr>
                <w:rFonts w:ascii="VIC" w:hAnsi="VIC"/>
                <w:sz w:val="18"/>
                <w:szCs w:val="18"/>
              </w:rPr>
            </w:pPr>
            <w:r w:rsidRPr="00BF7527">
              <w:rPr>
                <w:rFonts w:ascii="VIC" w:eastAsia="Verdana" w:hAnsi="VIC"/>
                <w:color w:val="000000"/>
                <w:sz w:val="18"/>
                <w:szCs w:val="18"/>
              </w:rPr>
              <w:t>5.0</w:t>
            </w:r>
          </w:p>
        </w:tc>
        <w:tc>
          <w:tcPr>
            <w:tcW w:w="1524" w:type="dxa"/>
            <w:shd w:val="clear" w:color="auto" w:fill="FFFFFF" w:themeFill="background1"/>
          </w:tcPr>
          <w:p w14:paraId="60709ABC" w14:textId="73E41E48" w:rsidR="0065124E" w:rsidRPr="007B08C1" w:rsidRDefault="0065124E" w:rsidP="0065124E">
            <w:pPr>
              <w:jc w:val="center"/>
              <w:rPr>
                <w:rFonts w:ascii="VIC" w:hAnsi="VIC"/>
                <w:sz w:val="18"/>
                <w:szCs w:val="18"/>
              </w:rPr>
            </w:pPr>
            <w:r w:rsidRPr="00BF7527">
              <w:rPr>
                <w:rFonts w:ascii="VIC" w:eastAsia="Verdana" w:hAnsi="VIC"/>
                <w:color w:val="000000"/>
                <w:sz w:val="18"/>
                <w:szCs w:val="18"/>
              </w:rPr>
              <w:t>5 %</w:t>
            </w:r>
          </w:p>
        </w:tc>
        <w:tc>
          <w:tcPr>
            <w:tcW w:w="1524" w:type="dxa"/>
            <w:shd w:val="clear" w:color="auto" w:fill="FFFFFF" w:themeFill="background1"/>
          </w:tcPr>
          <w:p w14:paraId="5AED0AA4" w14:textId="116A99F5" w:rsidR="0065124E" w:rsidRPr="007B08C1" w:rsidRDefault="0065124E" w:rsidP="0065124E">
            <w:pPr>
              <w:jc w:val="center"/>
              <w:rPr>
                <w:rFonts w:ascii="VIC" w:hAnsi="VIC"/>
                <w:sz w:val="18"/>
                <w:szCs w:val="18"/>
              </w:rPr>
            </w:pPr>
            <w:r w:rsidRPr="00BF7527">
              <w:rPr>
                <w:rFonts w:ascii="VIC" w:eastAsia="Verdana" w:hAnsi="VIC"/>
                <w:color w:val="000000"/>
                <w:sz w:val="18"/>
                <w:szCs w:val="18"/>
              </w:rPr>
              <w:t>90 %</w:t>
            </w:r>
          </w:p>
        </w:tc>
        <w:tc>
          <w:tcPr>
            <w:tcW w:w="1523" w:type="dxa"/>
            <w:shd w:val="clear" w:color="auto" w:fill="FFFFFF" w:themeFill="background1"/>
          </w:tcPr>
          <w:p w14:paraId="52BE2871" w14:textId="41A111C3" w:rsidR="0065124E" w:rsidRPr="007B08C1" w:rsidRDefault="0065124E" w:rsidP="0065124E">
            <w:pPr>
              <w:jc w:val="center"/>
              <w:rPr>
                <w:rFonts w:ascii="VIC" w:hAnsi="VIC"/>
                <w:sz w:val="18"/>
                <w:szCs w:val="18"/>
              </w:rPr>
            </w:pPr>
            <w:r w:rsidRPr="00BF7527">
              <w:rPr>
                <w:rFonts w:ascii="VIC" w:eastAsia="Verdana" w:hAnsi="VIC"/>
                <w:color w:val="000000"/>
                <w:sz w:val="18"/>
                <w:szCs w:val="18"/>
              </w:rPr>
              <w:t>12.5</w:t>
            </w:r>
          </w:p>
        </w:tc>
        <w:tc>
          <w:tcPr>
            <w:tcW w:w="1524" w:type="dxa"/>
            <w:shd w:val="clear" w:color="auto" w:fill="FFFFFF" w:themeFill="background1"/>
          </w:tcPr>
          <w:p w14:paraId="64226259" w14:textId="5B3343CC" w:rsidR="0065124E" w:rsidRPr="007B08C1" w:rsidRDefault="0065124E" w:rsidP="0065124E">
            <w:pPr>
              <w:jc w:val="center"/>
              <w:rPr>
                <w:rFonts w:ascii="VIC" w:hAnsi="VIC"/>
                <w:sz w:val="18"/>
                <w:szCs w:val="18"/>
              </w:rPr>
            </w:pPr>
            <w:r w:rsidRPr="00BF7527">
              <w:rPr>
                <w:rFonts w:ascii="VIC" w:eastAsia="Verdana" w:hAnsi="VIC"/>
                <w:color w:val="000000"/>
                <w:sz w:val="18"/>
                <w:szCs w:val="18"/>
              </w:rPr>
              <w:t>56 %</w:t>
            </w:r>
          </w:p>
        </w:tc>
        <w:tc>
          <w:tcPr>
            <w:tcW w:w="1524" w:type="dxa"/>
            <w:shd w:val="clear" w:color="auto" w:fill="FFFFFF" w:themeFill="background1"/>
          </w:tcPr>
          <w:p w14:paraId="1623CE5F" w14:textId="58BCE0C5" w:rsidR="0065124E" w:rsidRPr="007B08C1" w:rsidRDefault="0065124E" w:rsidP="0065124E">
            <w:pPr>
              <w:jc w:val="center"/>
              <w:rPr>
                <w:rFonts w:ascii="VIC" w:hAnsi="VIC"/>
                <w:sz w:val="18"/>
                <w:szCs w:val="18"/>
              </w:rPr>
            </w:pPr>
            <w:r w:rsidRPr="00BF7527">
              <w:rPr>
                <w:rFonts w:ascii="VIC" w:eastAsia="Verdana" w:hAnsi="VIC"/>
                <w:color w:val="000000"/>
                <w:sz w:val="18"/>
                <w:szCs w:val="18"/>
              </w:rPr>
              <w:t>4 %</w:t>
            </w:r>
          </w:p>
        </w:tc>
        <w:tc>
          <w:tcPr>
            <w:tcW w:w="1524" w:type="dxa"/>
            <w:shd w:val="clear" w:color="auto" w:fill="FFFFFF" w:themeFill="background1"/>
          </w:tcPr>
          <w:p w14:paraId="76B0C469" w14:textId="6674335C" w:rsidR="0065124E" w:rsidRPr="007B08C1" w:rsidRDefault="0065124E" w:rsidP="0065124E">
            <w:pPr>
              <w:jc w:val="center"/>
              <w:rPr>
                <w:rFonts w:ascii="VIC" w:hAnsi="VIC"/>
                <w:sz w:val="18"/>
                <w:szCs w:val="18"/>
              </w:rPr>
            </w:pPr>
          </w:p>
        </w:tc>
      </w:tr>
      <w:tr w:rsidR="0065124E" w:rsidRPr="0065124E" w14:paraId="60C6F927" w14:textId="77777777" w:rsidTr="003B4630">
        <w:trPr>
          <w:trHeight w:val="454"/>
        </w:trPr>
        <w:tc>
          <w:tcPr>
            <w:tcW w:w="1570" w:type="dxa"/>
            <w:shd w:val="clear" w:color="auto" w:fill="B1C9E8"/>
          </w:tcPr>
          <w:p w14:paraId="4D9E525B" w14:textId="01BCA528" w:rsidR="0065124E" w:rsidRPr="0065124E" w:rsidRDefault="0065124E" w:rsidP="0065124E">
            <w:pPr>
              <w:rPr>
                <w:rFonts w:ascii="VIC SemiBold" w:hAnsi="VIC SemiBold"/>
                <w:color w:val="000000" w:themeColor="text1"/>
                <w:sz w:val="18"/>
                <w:szCs w:val="18"/>
              </w:rPr>
            </w:pPr>
            <w:r w:rsidRPr="0065124E">
              <w:rPr>
                <w:rFonts w:ascii="VIC" w:eastAsia="Verdana" w:hAnsi="VIC"/>
                <w:color w:val="000000" w:themeColor="text1"/>
                <w:sz w:val="18"/>
                <w:szCs w:val="18"/>
              </w:rPr>
              <w:t>TOTAL RURAL</w:t>
            </w:r>
          </w:p>
        </w:tc>
        <w:tc>
          <w:tcPr>
            <w:tcW w:w="1985" w:type="dxa"/>
            <w:shd w:val="clear" w:color="auto" w:fill="B1C9E8"/>
          </w:tcPr>
          <w:p w14:paraId="4DCA48EC" w14:textId="72CE10F2" w:rsidR="0065124E" w:rsidRPr="0065124E" w:rsidRDefault="0065124E" w:rsidP="0065124E">
            <w:pPr>
              <w:rPr>
                <w:rFonts w:ascii="VIC SemiBold" w:hAnsi="VIC SemiBold"/>
                <w:color w:val="000000" w:themeColor="text1"/>
                <w:sz w:val="18"/>
                <w:szCs w:val="18"/>
              </w:rPr>
            </w:pPr>
            <w:r w:rsidRPr="0065124E">
              <w:rPr>
                <w:rFonts w:ascii="VIC" w:eastAsia="Verdana" w:hAnsi="VIC"/>
                <w:color w:val="000000" w:themeColor="text1"/>
                <w:sz w:val="18"/>
                <w:szCs w:val="18"/>
              </w:rPr>
              <w:t xml:space="preserve"> </w:t>
            </w:r>
          </w:p>
        </w:tc>
        <w:tc>
          <w:tcPr>
            <w:tcW w:w="1523" w:type="dxa"/>
            <w:shd w:val="clear" w:color="auto" w:fill="B1C9E8"/>
          </w:tcPr>
          <w:p w14:paraId="645C53BC" w14:textId="666CFFBC"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20 %</w:t>
            </w:r>
          </w:p>
        </w:tc>
        <w:tc>
          <w:tcPr>
            <w:tcW w:w="1524" w:type="dxa"/>
            <w:shd w:val="clear" w:color="auto" w:fill="B1C9E8"/>
          </w:tcPr>
          <w:p w14:paraId="45053082" w14:textId="7E9BB7D1"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5.4</w:t>
            </w:r>
          </w:p>
        </w:tc>
        <w:tc>
          <w:tcPr>
            <w:tcW w:w="1524" w:type="dxa"/>
            <w:shd w:val="clear" w:color="auto" w:fill="B1C9E8"/>
          </w:tcPr>
          <w:p w14:paraId="7322C390" w14:textId="36E7DC0A"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3 %</w:t>
            </w:r>
          </w:p>
        </w:tc>
        <w:tc>
          <w:tcPr>
            <w:tcW w:w="1524" w:type="dxa"/>
            <w:shd w:val="clear" w:color="auto" w:fill="B1C9E8"/>
          </w:tcPr>
          <w:p w14:paraId="17B57170" w14:textId="77F14312"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83 %</w:t>
            </w:r>
          </w:p>
        </w:tc>
        <w:tc>
          <w:tcPr>
            <w:tcW w:w="1523" w:type="dxa"/>
            <w:shd w:val="clear" w:color="auto" w:fill="B1C9E8"/>
          </w:tcPr>
          <w:p w14:paraId="26CD8E8F" w14:textId="7DA708C4"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14.4</w:t>
            </w:r>
          </w:p>
        </w:tc>
        <w:tc>
          <w:tcPr>
            <w:tcW w:w="1524" w:type="dxa"/>
            <w:shd w:val="clear" w:color="auto" w:fill="B1C9E8"/>
          </w:tcPr>
          <w:p w14:paraId="36E2D89E" w14:textId="0C083188"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61 %</w:t>
            </w:r>
          </w:p>
        </w:tc>
        <w:tc>
          <w:tcPr>
            <w:tcW w:w="1524" w:type="dxa"/>
            <w:shd w:val="clear" w:color="auto" w:fill="B1C9E8"/>
          </w:tcPr>
          <w:p w14:paraId="379D08FB" w14:textId="3160D84B"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11 %</w:t>
            </w:r>
          </w:p>
        </w:tc>
        <w:tc>
          <w:tcPr>
            <w:tcW w:w="1524" w:type="dxa"/>
            <w:shd w:val="clear" w:color="auto" w:fill="B1C9E8"/>
          </w:tcPr>
          <w:p w14:paraId="1E6E4806" w14:textId="6B567D53"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1.8</w:t>
            </w:r>
          </w:p>
        </w:tc>
      </w:tr>
      <w:tr w:rsidR="0065124E" w:rsidRPr="007B08C1" w14:paraId="0BD2BF8F" w14:textId="77777777" w:rsidTr="003B4630">
        <w:tc>
          <w:tcPr>
            <w:tcW w:w="1570" w:type="dxa"/>
            <w:shd w:val="clear" w:color="auto" w:fill="244C5A"/>
          </w:tcPr>
          <w:p w14:paraId="4C512A4E" w14:textId="1CA81B23" w:rsidR="0065124E" w:rsidRPr="007B08C1" w:rsidRDefault="0065124E" w:rsidP="0065124E">
            <w:pPr>
              <w:rPr>
                <w:rFonts w:ascii="VIC SemiBold" w:hAnsi="VIC SemiBold"/>
                <w:color w:val="FFFFFF" w:themeColor="background1"/>
                <w:sz w:val="18"/>
                <w:szCs w:val="18"/>
              </w:rPr>
            </w:pPr>
            <w:r w:rsidRPr="00BF7527">
              <w:rPr>
                <w:rFonts w:ascii="VIC" w:eastAsia="Verdana" w:hAnsi="VIC"/>
                <w:color w:val="FFFFFF"/>
                <w:sz w:val="18"/>
                <w:szCs w:val="18"/>
              </w:rPr>
              <w:t>TOTAL STATEWIDE</w:t>
            </w:r>
          </w:p>
        </w:tc>
        <w:tc>
          <w:tcPr>
            <w:tcW w:w="1985" w:type="dxa"/>
            <w:shd w:val="clear" w:color="auto" w:fill="244C5A"/>
          </w:tcPr>
          <w:p w14:paraId="60D0C3B5" w14:textId="5EB2E0F7" w:rsidR="0065124E" w:rsidRPr="00592F37" w:rsidRDefault="0065124E" w:rsidP="0065124E">
            <w:pPr>
              <w:pStyle w:val="DHHStabletext"/>
              <w:spacing w:before="0" w:after="0"/>
              <w:rPr>
                <w:rFonts w:ascii="VIC SemiBold" w:eastAsia="Verdana" w:hAnsi="VIC SemiBold" w:cs="Verdana"/>
                <w:color w:val="FFFFFF" w:themeColor="background1"/>
                <w:sz w:val="18"/>
                <w:szCs w:val="18"/>
              </w:rPr>
            </w:pPr>
            <w:r w:rsidRPr="00BF7527">
              <w:rPr>
                <w:rFonts w:ascii="VIC" w:eastAsia="Verdana" w:hAnsi="VIC"/>
                <w:color w:val="FFFFFF"/>
                <w:sz w:val="18"/>
                <w:szCs w:val="18"/>
              </w:rPr>
              <w:t xml:space="preserve"> </w:t>
            </w:r>
          </w:p>
        </w:tc>
        <w:tc>
          <w:tcPr>
            <w:tcW w:w="1523" w:type="dxa"/>
            <w:shd w:val="clear" w:color="auto" w:fill="244C5A"/>
          </w:tcPr>
          <w:p w14:paraId="43F0DAA2" w14:textId="0F6D5DA4"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23 %</w:t>
            </w:r>
          </w:p>
        </w:tc>
        <w:tc>
          <w:tcPr>
            <w:tcW w:w="1524" w:type="dxa"/>
            <w:shd w:val="clear" w:color="auto" w:fill="244C5A"/>
          </w:tcPr>
          <w:p w14:paraId="0A005791" w14:textId="71AE245B"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5.5</w:t>
            </w:r>
          </w:p>
        </w:tc>
        <w:tc>
          <w:tcPr>
            <w:tcW w:w="1524" w:type="dxa"/>
            <w:shd w:val="clear" w:color="auto" w:fill="244C5A"/>
          </w:tcPr>
          <w:p w14:paraId="4A2BF991" w14:textId="40B5B7B6"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5 %</w:t>
            </w:r>
          </w:p>
        </w:tc>
        <w:tc>
          <w:tcPr>
            <w:tcW w:w="1524" w:type="dxa"/>
            <w:shd w:val="clear" w:color="auto" w:fill="244C5A"/>
          </w:tcPr>
          <w:p w14:paraId="141209BE" w14:textId="16559650"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82 %</w:t>
            </w:r>
          </w:p>
        </w:tc>
        <w:tc>
          <w:tcPr>
            <w:tcW w:w="1523" w:type="dxa"/>
            <w:shd w:val="clear" w:color="auto" w:fill="244C5A"/>
          </w:tcPr>
          <w:p w14:paraId="130C7E3D" w14:textId="6C7442B1"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14.5</w:t>
            </w:r>
          </w:p>
        </w:tc>
        <w:tc>
          <w:tcPr>
            <w:tcW w:w="1524" w:type="dxa"/>
            <w:shd w:val="clear" w:color="auto" w:fill="244C5A"/>
          </w:tcPr>
          <w:p w14:paraId="6153B72F" w14:textId="432F7304"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60 %</w:t>
            </w:r>
          </w:p>
        </w:tc>
        <w:tc>
          <w:tcPr>
            <w:tcW w:w="1524" w:type="dxa"/>
            <w:shd w:val="clear" w:color="auto" w:fill="244C5A"/>
          </w:tcPr>
          <w:p w14:paraId="63A77BC9" w14:textId="0E5C3DE4"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5 %</w:t>
            </w:r>
          </w:p>
        </w:tc>
        <w:tc>
          <w:tcPr>
            <w:tcW w:w="1524" w:type="dxa"/>
            <w:shd w:val="clear" w:color="auto" w:fill="244C5A"/>
          </w:tcPr>
          <w:p w14:paraId="2B44B592" w14:textId="03BF1AB7"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1.8</w:t>
            </w:r>
          </w:p>
        </w:tc>
      </w:tr>
    </w:tbl>
    <w:p w14:paraId="667092AC" w14:textId="77777777" w:rsidR="00973843" w:rsidRDefault="00973843" w:rsidP="00E36C2D">
      <w:pPr>
        <w:pStyle w:val="Heading1"/>
      </w:pPr>
    </w:p>
    <w:p w14:paraId="06902FFC" w14:textId="77777777" w:rsidR="00F91472" w:rsidRDefault="00F91472">
      <w:pPr>
        <w:widowControl/>
        <w:rPr>
          <w:rFonts w:ascii="VIC" w:hAnsi="VIC"/>
        </w:rPr>
      </w:pPr>
      <w:r>
        <w:rPr>
          <w:rFonts w:ascii="VIC" w:hAnsi="VIC"/>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F91472" w:rsidRPr="00A6366B" w14:paraId="48D9B35C" w14:textId="77777777" w:rsidTr="009D3084">
        <w:trPr>
          <w:trHeight w:val="1062"/>
          <w:tblHeader/>
        </w:trPr>
        <w:tc>
          <w:tcPr>
            <w:tcW w:w="2846" w:type="dxa"/>
            <w:gridSpan w:val="2"/>
            <w:shd w:val="clear" w:color="auto" w:fill="FFFFFF"/>
            <w:vAlign w:val="bottom"/>
          </w:tcPr>
          <w:p w14:paraId="648D988F" w14:textId="650EBB26" w:rsidR="00F91472" w:rsidRPr="00592F37" w:rsidRDefault="00F91472" w:rsidP="009D3084">
            <w:pPr>
              <w:pStyle w:val="Heading1"/>
              <w:spacing w:before="0" w:line="240" w:lineRule="auto"/>
              <w:rPr>
                <w:color w:val="244C5A"/>
                <w:sz w:val="28"/>
                <w:szCs w:val="28"/>
              </w:rPr>
            </w:pPr>
            <w:bookmarkStart w:id="10" w:name="_Toc37865453"/>
            <w:r w:rsidRPr="00052DAD">
              <w:rPr>
                <w:color w:val="244C5A"/>
                <w:sz w:val="22"/>
                <w:szCs w:val="28"/>
              </w:rPr>
              <w:lastRenderedPageBreak/>
              <w:t>Inpatient</w:t>
            </w:r>
            <w:r w:rsidRPr="00052DAD">
              <w:rPr>
                <w:color w:val="244C5A"/>
                <w:sz w:val="22"/>
                <w:szCs w:val="28"/>
              </w:rPr>
              <w:br w:type="textWrapping" w:clear="all"/>
            </w:r>
            <w:r>
              <w:rPr>
                <w:color w:val="244C5A"/>
                <w:sz w:val="22"/>
                <w:szCs w:val="28"/>
              </w:rPr>
              <w:t>2019–20 Q1–Q</w:t>
            </w:r>
            <w:r w:rsidR="004A1C0F">
              <w:rPr>
                <w:color w:val="244C5A"/>
                <w:sz w:val="22"/>
                <w:szCs w:val="28"/>
              </w:rPr>
              <w:t>3</w:t>
            </w:r>
            <w:r w:rsidRPr="00052DAD">
              <w:rPr>
                <w:color w:val="244C5A"/>
                <w:sz w:val="22"/>
                <w:szCs w:val="28"/>
              </w:rPr>
              <w:t xml:space="preserve"> Metro</w:t>
            </w:r>
            <w:bookmarkEnd w:id="10"/>
          </w:p>
        </w:tc>
        <w:tc>
          <w:tcPr>
            <w:tcW w:w="1074" w:type="dxa"/>
            <w:shd w:val="clear" w:color="auto" w:fill="FFFFFF"/>
            <w:vAlign w:val="bottom"/>
          </w:tcPr>
          <w:p w14:paraId="272280C4" w14:textId="77777777" w:rsidR="00F91472" w:rsidRPr="00C41C2E" w:rsidRDefault="00F91472" w:rsidP="009D3084">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71B2985F" w14:textId="77777777" w:rsidR="00F91472" w:rsidRPr="00C41C2E" w:rsidRDefault="00F91472" w:rsidP="009D3084">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6B8C650D" w14:textId="77777777" w:rsidR="00F91472" w:rsidRPr="00C41C2E" w:rsidRDefault="00F91472" w:rsidP="009D3084">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040D9D56" w14:textId="77777777" w:rsidR="00F91472" w:rsidRPr="00C41C2E" w:rsidRDefault="00F91472" w:rsidP="009D3084">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1959983A" w14:textId="77777777" w:rsidR="00F91472" w:rsidRPr="00C41C2E" w:rsidRDefault="00F91472" w:rsidP="009D3084">
            <w:pPr>
              <w:pStyle w:val="VAHItablecolhead"/>
              <w:rPr>
                <w:rFonts w:eastAsia="Verdana"/>
                <w:color w:val="244C5A"/>
                <w:sz w:val="16"/>
              </w:rPr>
            </w:pPr>
            <w:r w:rsidRPr="00C41C2E">
              <w:rPr>
                <w:sz w:val="16"/>
              </w:rPr>
              <w:t>28 day readmission</w:t>
            </w:r>
          </w:p>
        </w:tc>
        <w:tc>
          <w:tcPr>
            <w:tcW w:w="1063" w:type="dxa"/>
            <w:shd w:val="clear" w:color="auto" w:fill="FFFFFF"/>
            <w:vAlign w:val="bottom"/>
          </w:tcPr>
          <w:p w14:paraId="1D31B473" w14:textId="77777777" w:rsidR="00F91472" w:rsidRPr="00C41C2E" w:rsidRDefault="00F91472" w:rsidP="009D3084">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16E46F47" w14:textId="77777777" w:rsidR="00F91472" w:rsidRPr="00C41C2E" w:rsidRDefault="00F91472" w:rsidP="009D3084">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548DC5EB" w14:textId="77777777" w:rsidR="00F91472" w:rsidRPr="00C41C2E" w:rsidRDefault="00F91472" w:rsidP="009D3084">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5DEE9B04" w14:textId="77777777" w:rsidR="00F91472" w:rsidRPr="00C41C2E" w:rsidRDefault="00F91472" w:rsidP="009D3084">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5BDCFB5" w14:textId="77777777" w:rsidR="00F91472" w:rsidRPr="00C41C2E" w:rsidRDefault="00F91472" w:rsidP="009D3084">
            <w:pPr>
              <w:pStyle w:val="VAHItablecolhead"/>
              <w:rPr>
                <w:rFonts w:eastAsia="Verdana"/>
                <w:color w:val="244C5A"/>
                <w:sz w:val="16"/>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7DD611C4" w14:textId="77777777" w:rsidR="00F91472" w:rsidRPr="00C41C2E" w:rsidRDefault="00F91472" w:rsidP="009D3084">
            <w:pPr>
              <w:pStyle w:val="VAHItablecolhead"/>
              <w:rPr>
                <w:rFonts w:eastAsia="Verdana"/>
                <w:color w:val="244C5A"/>
                <w:sz w:val="16"/>
              </w:rPr>
            </w:pPr>
            <w:r w:rsidRPr="00C41C2E">
              <w:rPr>
                <w:sz w:val="16"/>
              </w:rPr>
              <w:t>7 day post discharge follow up</w:t>
            </w:r>
          </w:p>
        </w:tc>
        <w:tc>
          <w:tcPr>
            <w:tcW w:w="1075" w:type="dxa"/>
            <w:shd w:val="clear" w:color="auto" w:fill="FFFFFF"/>
            <w:vAlign w:val="bottom"/>
          </w:tcPr>
          <w:p w14:paraId="18748331" w14:textId="77777777" w:rsidR="00F91472" w:rsidRPr="00C41C2E" w:rsidRDefault="00F91472" w:rsidP="009D3084">
            <w:pPr>
              <w:pStyle w:val="VAHItablecolhead"/>
              <w:rPr>
                <w:rFonts w:eastAsia="Verdana"/>
                <w:color w:val="244C5A"/>
                <w:sz w:val="16"/>
              </w:rPr>
            </w:pPr>
            <w:r w:rsidRPr="00C41C2E">
              <w:rPr>
                <w:sz w:val="16"/>
              </w:rPr>
              <w:t>HoNOS compliance</w:t>
            </w:r>
          </w:p>
        </w:tc>
      </w:tr>
      <w:tr w:rsidR="0065124E" w:rsidRPr="00BF031D" w14:paraId="4CC0F7B7" w14:textId="77777777" w:rsidTr="009D3084">
        <w:trPr>
          <w:trHeight w:val="454"/>
        </w:trPr>
        <w:tc>
          <w:tcPr>
            <w:tcW w:w="1145" w:type="dxa"/>
            <w:shd w:val="clear" w:color="auto" w:fill="BFCED6"/>
          </w:tcPr>
          <w:p w14:paraId="62C2B1FA" w14:textId="705B9A73"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Alfred Health</w:t>
            </w:r>
          </w:p>
        </w:tc>
        <w:tc>
          <w:tcPr>
            <w:tcW w:w="1701" w:type="dxa"/>
            <w:shd w:val="clear" w:color="auto" w:fill="BFCED6"/>
          </w:tcPr>
          <w:p w14:paraId="6232B0B0" w14:textId="2C5D983F"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Inner South East (Caulfield)</w:t>
            </w:r>
          </w:p>
        </w:tc>
        <w:tc>
          <w:tcPr>
            <w:tcW w:w="1074" w:type="dxa"/>
            <w:shd w:val="clear" w:color="auto" w:fill="BFCED6"/>
          </w:tcPr>
          <w:p w14:paraId="4DB14D38" w14:textId="1DA66C79" w:rsidR="0065124E" w:rsidRPr="00BF031D" w:rsidRDefault="0065124E" w:rsidP="0065124E">
            <w:pPr>
              <w:jc w:val="center"/>
              <w:rPr>
                <w:rFonts w:ascii="VIC" w:hAnsi="VIC"/>
                <w:sz w:val="18"/>
                <w:szCs w:val="18"/>
              </w:rPr>
            </w:pPr>
            <w:r w:rsidRPr="00BF7527">
              <w:rPr>
                <w:rFonts w:ascii="VIC" w:eastAsia="Verdana" w:hAnsi="VIC"/>
                <w:color w:val="000000"/>
                <w:sz w:val="18"/>
                <w:szCs w:val="18"/>
              </w:rPr>
              <w:t>3.3</w:t>
            </w:r>
          </w:p>
        </w:tc>
        <w:tc>
          <w:tcPr>
            <w:tcW w:w="1075" w:type="dxa"/>
            <w:shd w:val="clear" w:color="auto" w:fill="BFCED6"/>
          </w:tcPr>
          <w:p w14:paraId="25EC2BCC" w14:textId="149C31A8" w:rsidR="0065124E" w:rsidRPr="00BF031D" w:rsidRDefault="0065124E" w:rsidP="0065124E">
            <w:pPr>
              <w:jc w:val="center"/>
              <w:rPr>
                <w:rFonts w:ascii="VIC" w:hAnsi="VIC"/>
                <w:sz w:val="18"/>
                <w:szCs w:val="18"/>
              </w:rPr>
            </w:pPr>
            <w:r w:rsidRPr="00BF7527">
              <w:rPr>
                <w:rFonts w:ascii="VIC" w:eastAsia="Verdana" w:hAnsi="VIC"/>
                <w:color w:val="000000"/>
                <w:sz w:val="18"/>
                <w:szCs w:val="18"/>
              </w:rPr>
              <w:t>82 %</w:t>
            </w:r>
          </w:p>
        </w:tc>
        <w:tc>
          <w:tcPr>
            <w:tcW w:w="1075" w:type="dxa"/>
            <w:shd w:val="clear" w:color="auto" w:fill="BFCED6"/>
          </w:tcPr>
          <w:p w14:paraId="7058EB67" w14:textId="4729A963" w:rsidR="0065124E" w:rsidRPr="00BF031D" w:rsidRDefault="0065124E" w:rsidP="0065124E">
            <w:pPr>
              <w:jc w:val="center"/>
              <w:rPr>
                <w:rFonts w:ascii="VIC" w:hAnsi="VIC"/>
                <w:sz w:val="18"/>
                <w:szCs w:val="18"/>
              </w:rPr>
            </w:pPr>
            <w:r w:rsidRPr="00BF7527">
              <w:rPr>
                <w:rFonts w:ascii="VIC" w:eastAsia="Verdana" w:hAnsi="VIC"/>
                <w:color w:val="000000"/>
                <w:sz w:val="18"/>
                <w:szCs w:val="18"/>
              </w:rPr>
              <w:t>17.7</w:t>
            </w:r>
          </w:p>
        </w:tc>
        <w:tc>
          <w:tcPr>
            <w:tcW w:w="1075" w:type="dxa"/>
            <w:shd w:val="clear" w:color="auto" w:fill="BFCED6"/>
          </w:tcPr>
          <w:p w14:paraId="1E4BB466" w14:textId="24540D03" w:rsidR="0065124E" w:rsidRPr="00BF031D" w:rsidRDefault="0065124E" w:rsidP="0065124E">
            <w:pPr>
              <w:jc w:val="center"/>
              <w:rPr>
                <w:rFonts w:ascii="VIC" w:hAnsi="VIC"/>
                <w:sz w:val="18"/>
                <w:szCs w:val="18"/>
              </w:rPr>
            </w:pPr>
            <w:r w:rsidRPr="00BF7527">
              <w:rPr>
                <w:rFonts w:ascii="VIC" w:eastAsia="Verdana" w:hAnsi="VIC"/>
                <w:color w:val="000000"/>
                <w:sz w:val="18"/>
                <w:szCs w:val="18"/>
              </w:rPr>
              <w:t>9 %</w:t>
            </w:r>
          </w:p>
        </w:tc>
        <w:tc>
          <w:tcPr>
            <w:tcW w:w="1087" w:type="dxa"/>
            <w:shd w:val="clear" w:color="auto" w:fill="BFCED6"/>
          </w:tcPr>
          <w:p w14:paraId="595468C5" w14:textId="478401F5" w:rsidR="0065124E" w:rsidRPr="00BF031D" w:rsidRDefault="0065124E" w:rsidP="0065124E">
            <w:pPr>
              <w:jc w:val="center"/>
              <w:rPr>
                <w:rFonts w:ascii="VIC" w:hAnsi="VIC"/>
                <w:sz w:val="18"/>
                <w:szCs w:val="18"/>
              </w:rPr>
            </w:pPr>
            <w:r w:rsidRPr="00BF7527">
              <w:rPr>
                <w:rFonts w:ascii="VIC" w:eastAsia="Verdana" w:hAnsi="VIC"/>
                <w:color w:val="000000"/>
                <w:sz w:val="18"/>
                <w:szCs w:val="18"/>
              </w:rPr>
              <w:t>6 %</w:t>
            </w:r>
          </w:p>
        </w:tc>
        <w:tc>
          <w:tcPr>
            <w:tcW w:w="1063" w:type="dxa"/>
            <w:shd w:val="clear" w:color="auto" w:fill="BFCED6"/>
          </w:tcPr>
          <w:p w14:paraId="164444DB" w14:textId="2E4BF3FD" w:rsidR="0065124E" w:rsidRPr="00BF031D" w:rsidRDefault="0065124E" w:rsidP="0065124E">
            <w:pPr>
              <w:jc w:val="center"/>
              <w:rPr>
                <w:rFonts w:ascii="VIC" w:hAnsi="VIC"/>
                <w:sz w:val="18"/>
                <w:szCs w:val="18"/>
              </w:rPr>
            </w:pPr>
            <w:r w:rsidRPr="00BF7527">
              <w:rPr>
                <w:rFonts w:ascii="VIC" w:eastAsia="Verdana" w:hAnsi="VIC"/>
                <w:color w:val="000000"/>
                <w:sz w:val="18"/>
                <w:szCs w:val="18"/>
              </w:rPr>
              <w:t>33 %</w:t>
            </w:r>
          </w:p>
        </w:tc>
        <w:tc>
          <w:tcPr>
            <w:tcW w:w="1075" w:type="dxa"/>
            <w:shd w:val="clear" w:color="auto" w:fill="BFCED6"/>
          </w:tcPr>
          <w:p w14:paraId="54123FA1" w14:textId="32DBFE89" w:rsidR="0065124E" w:rsidRPr="00BF031D"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BFCED6"/>
          </w:tcPr>
          <w:p w14:paraId="5B1FD48F" w14:textId="3CC0AE81" w:rsidR="0065124E" w:rsidRPr="00BF031D" w:rsidRDefault="0065124E" w:rsidP="0065124E">
            <w:pPr>
              <w:jc w:val="center"/>
              <w:rPr>
                <w:rFonts w:ascii="VIC" w:hAnsi="VIC"/>
                <w:sz w:val="18"/>
                <w:szCs w:val="18"/>
              </w:rPr>
            </w:pPr>
            <w:r w:rsidRPr="00BF7527">
              <w:rPr>
                <w:rFonts w:ascii="VIC" w:eastAsia="Verdana" w:hAnsi="VIC"/>
                <w:color w:val="000000"/>
                <w:sz w:val="18"/>
                <w:szCs w:val="18"/>
              </w:rPr>
              <w:t>4.7</w:t>
            </w:r>
          </w:p>
        </w:tc>
        <w:tc>
          <w:tcPr>
            <w:tcW w:w="1075" w:type="dxa"/>
            <w:shd w:val="clear" w:color="auto" w:fill="BFCED6"/>
          </w:tcPr>
          <w:p w14:paraId="6F2A6051" w14:textId="46F35172" w:rsidR="0065124E" w:rsidRPr="00BF031D"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shd w:val="clear" w:color="auto" w:fill="BFCED6"/>
          </w:tcPr>
          <w:p w14:paraId="47BDF29F" w14:textId="7F88604C" w:rsidR="0065124E" w:rsidRPr="00BF031D" w:rsidRDefault="0065124E" w:rsidP="0065124E">
            <w:pPr>
              <w:jc w:val="center"/>
              <w:rPr>
                <w:rFonts w:ascii="VIC" w:hAnsi="VIC"/>
                <w:sz w:val="18"/>
                <w:szCs w:val="18"/>
              </w:rPr>
            </w:pPr>
            <w:r w:rsidRPr="00BF7527">
              <w:rPr>
                <w:rFonts w:ascii="VIC" w:eastAsia="Verdana" w:hAnsi="VIC"/>
                <w:color w:val="000000"/>
                <w:sz w:val="18"/>
                <w:szCs w:val="18"/>
              </w:rPr>
              <w:t>69 %</w:t>
            </w:r>
          </w:p>
        </w:tc>
        <w:tc>
          <w:tcPr>
            <w:tcW w:w="1075" w:type="dxa"/>
            <w:shd w:val="clear" w:color="auto" w:fill="BFCED6"/>
          </w:tcPr>
          <w:p w14:paraId="5D118684" w14:textId="2DE3344E" w:rsidR="0065124E" w:rsidRPr="00BF031D" w:rsidRDefault="0065124E" w:rsidP="0065124E">
            <w:pPr>
              <w:jc w:val="center"/>
              <w:rPr>
                <w:rFonts w:ascii="VIC" w:hAnsi="VIC"/>
                <w:sz w:val="18"/>
                <w:szCs w:val="18"/>
              </w:rPr>
            </w:pPr>
            <w:r w:rsidRPr="00BF7527">
              <w:rPr>
                <w:rFonts w:ascii="VIC" w:eastAsia="Verdana" w:hAnsi="VIC"/>
                <w:color w:val="000000"/>
                <w:sz w:val="18"/>
                <w:szCs w:val="18"/>
              </w:rPr>
              <w:t>97 %</w:t>
            </w:r>
          </w:p>
        </w:tc>
        <w:tc>
          <w:tcPr>
            <w:tcW w:w="1075" w:type="dxa"/>
            <w:shd w:val="clear" w:color="auto" w:fill="BFCED6"/>
          </w:tcPr>
          <w:p w14:paraId="04625E1B" w14:textId="005A4F02" w:rsidR="0065124E" w:rsidRPr="00BF031D" w:rsidRDefault="0065124E" w:rsidP="0065124E">
            <w:pPr>
              <w:jc w:val="center"/>
              <w:rPr>
                <w:rFonts w:ascii="VIC" w:hAnsi="VIC"/>
                <w:sz w:val="18"/>
                <w:szCs w:val="18"/>
              </w:rPr>
            </w:pPr>
            <w:r w:rsidRPr="00BF7527">
              <w:rPr>
                <w:rFonts w:ascii="VIC" w:eastAsia="Verdana" w:hAnsi="VIC"/>
                <w:color w:val="000000"/>
                <w:sz w:val="18"/>
                <w:szCs w:val="18"/>
              </w:rPr>
              <w:t>94 %</w:t>
            </w:r>
          </w:p>
        </w:tc>
      </w:tr>
      <w:tr w:rsidR="0065124E" w:rsidRPr="00BF031D" w14:paraId="1198D488" w14:textId="77777777" w:rsidTr="009D3084">
        <w:trPr>
          <w:trHeight w:val="454"/>
        </w:trPr>
        <w:tc>
          <w:tcPr>
            <w:tcW w:w="1145" w:type="dxa"/>
            <w:shd w:val="clear" w:color="auto" w:fill="auto"/>
          </w:tcPr>
          <w:p w14:paraId="21EC1361" w14:textId="425334B1"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Eastern Health</w:t>
            </w:r>
          </w:p>
        </w:tc>
        <w:tc>
          <w:tcPr>
            <w:tcW w:w="1701" w:type="dxa"/>
            <w:shd w:val="clear" w:color="auto" w:fill="auto"/>
          </w:tcPr>
          <w:p w14:paraId="78B0394A" w14:textId="1D664A1B"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Central/Outer East (Peter James Centre)</w:t>
            </w:r>
          </w:p>
        </w:tc>
        <w:tc>
          <w:tcPr>
            <w:tcW w:w="1074" w:type="dxa"/>
            <w:shd w:val="clear" w:color="auto" w:fill="auto"/>
          </w:tcPr>
          <w:p w14:paraId="1B92CFE9" w14:textId="7835B297" w:rsidR="0065124E" w:rsidRPr="00BF031D" w:rsidRDefault="0065124E" w:rsidP="0065124E">
            <w:pPr>
              <w:jc w:val="center"/>
              <w:rPr>
                <w:rFonts w:ascii="VIC" w:hAnsi="VIC"/>
                <w:sz w:val="18"/>
                <w:szCs w:val="18"/>
              </w:rPr>
            </w:pPr>
            <w:r w:rsidRPr="00BF7527">
              <w:rPr>
                <w:rFonts w:ascii="VIC" w:eastAsia="Verdana" w:hAnsi="VIC"/>
                <w:color w:val="000000"/>
                <w:sz w:val="18"/>
                <w:szCs w:val="18"/>
              </w:rPr>
              <w:t>1.9</w:t>
            </w:r>
          </w:p>
        </w:tc>
        <w:tc>
          <w:tcPr>
            <w:tcW w:w="1075" w:type="dxa"/>
            <w:shd w:val="clear" w:color="auto" w:fill="auto"/>
          </w:tcPr>
          <w:p w14:paraId="6A3ED337" w14:textId="3F114151" w:rsidR="0065124E" w:rsidRPr="00BF031D" w:rsidRDefault="0065124E" w:rsidP="0065124E">
            <w:pPr>
              <w:jc w:val="center"/>
              <w:rPr>
                <w:rFonts w:ascii="VIC" w:hAnsi="VIC"/>
                <w:sz w:val="18"/>
                <w:szCs w:val="18"/>
              </w:rPr>
            </w:pPr>
            <w:r w:rsidRPr="00BF7527">
              <w:rPr>
                <w:rFonts w:ascii="VIC" w:eastAsia="Verdana" w:hAnsi="VIC"/>
                <w:color w:val="000000"/>
                <w:sz w:val="18"/>
                <w:szCs w:val="18"/>
              </w:rPr>
              <w:t>79 %</w:t>
            </w:r>
          </w:p>
        </w:tc>
        <w:tc>
          <w:tcPr>
            <w:tcW w:w="1075" w:type="dxa"/>
            <w:shd w:val="clear" w:color="auto" w:fill="auto"/>
          </w:tcPr>
          <w:p w14:paraId="0739E051" w14:textId="1403A103" w:rsidR="0065124E" w:rsidRPr="00BF031D" w:rsidRDefault="0065124E" w:rsidP="0065124E">
            <w:pPr>
              <w:jc w:val="center"/>
              <w:rPr>
                <w:rFonts w:ascii="VIC" w:hAnsi="VIC"/>
                <w:sz w:val="18"/>
                <w:szCs w:val="18"/>
              </w:rPr>
            </w:pPr>
            <w:r w:rsidRPr="00BF7527">
              <w:rPr>
                <w:rFonts w:ascii="VIC" w:eastAsia="Verdana" w:hAnsi="VIC"/>
                <w:color w:val="000000"/>
                <w:sz w:val="18"/>
                <w:szCs w:val="18"/>
              </w:rPr>
              <w:t>16.0</w:t>
            </w:r>
          </w:p>
        </w:tc>
        <w:tc>
          <w:tcPr>
            <w:tcW w:w="1075" w:type="dxa"/>
            <w:shd w:val="clear" w:color="auto" w:fill="auto"/>
          </w:tcPr>
          <w:p w14:paraId="525F3627" w14:textId="6A44A8BC" w:rsidR="0065124E" w:rsidRPr="00BF031D" w:rsidRDefault="0065124E" w:rsidP="0065124E">
            <w:pPr>
              <w:jc w:val="center"/>
              <w:rPr>
                <w:rFonts w:ascii="VIC" w:hAnsi="VIC"/>
                <w:sz w:val="18"/>
                <w:szCs w:val="18"/>
              </w:rPr>
            </w:pPr>
            <w:r w:rsidRPr="00BF7527">
              <w:rPr>
                <w:rFonts w:ascii="VIC" w:eastAsia="Verdana" w:hAnsi="VIC"/>
                <w:color w:val="000000"/>
                <w:sz w:val="18"/>
                <w:szCs w:val="18"/>
              </w:rPr>
              <w:t>9 %</w:t>
            </w:r>
          </w:p>
        </w:tc>
        <w:tc>
          <w:tcPr>
            <w:tcW w:w="1087" w:type="dxa"/>
            <w:shd w:val="clear" w:color="auto" w:fill="auto"/>
          </w:tcPr>
          <w:p w14:paraId="29AD4EE2" w14:textId="670A1A6C" w:rsidR="0065124E" w:rsidRPr="00BF031D" w:rsidRDefault="0065124E" w:rsidP="0065124E">
            <w:pPr>
              <w:jc w:val="center"/>
              <w:rPr>
                <w:rFonts w:ascii="VIC" w:hAnsi="VIC"/>
                <w:sz w:val="18"/>
                <w:szCs w:val="18"/>
              </w:rPr>
            </w:pPr>
            <w:r w:rsidRPr="00BF7527">
              <w:rPr>
                <w:rFonts w:ascii="VIC" w:eastAsia="Verdana" w:hAnsi="VIC"/>
                <w:color w:val="000000"/>
                <w:sz w:val="18"/>
                <w:szCs w:val="18"/>
              </w:rPr>
              <w:t>19 %</w:t>
            </w:r>
          </w:p>
        </w:tc>
        <w:tc>
          <w:tcPr>
            <w:tcW w:w="1063" w:type="dxa"/>
            <w:shd w:val="clear" w:color="auto" w:fill="auto"/>
          </w:tcPr>
          <w:p w14:paraId="78B81056" w14:textId="09A4912E" w:rsidR="0065124E" w:rsidRPr="00BF031D" w:rsidRDefault="0065124E" w:rsidP="0065124E">
            <w:pPr>
              <w:jc w:val="center"/>
              <w:rPr>
                <w:rFonts w:ascii="VIC" w:hAnsi="VIC"/>
                <w:sz w:val="18"/>
                <w:szCs w:val="18"/>
              </w:rPr>
            </w:pPr>
            <w:r w:rsidRPr="00BF7527">
              <w:rPr>
                <w:rFonts w:ascii="VIC" w:eastAsia="Verdana" w:hAnsi="VIC"/>
                <w:color w:val="000000"/>
                <w:sz w:val="18"/>
                <w:szCs w:val="18"/>
              </w:rPr>
              <w:t>29 %</w:t>
            </w:r>
          </w:p>
        </w:tc>
        <w:tc>
          <w:tcPr>
            <w:tcW w:w="1075" w:type="dxa"/>
            <w:shd w:val="clear" w:color="auto" w:fill="auto"/>
          </w:tcPr>
          <w:p w14:paraId="4857A416" w14:textId="0962536D" w:rsidR="0065124E" w:rsidRPr="00BF031D"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auto"/>
          </w:tcPr>
          <w:p w14:paraId="653EA8BF" w14:textId="1C273B8A" w:rsidR="0065124E" w:rsidRPr="00BF031D" w:rsidRDefault="0065124E" w:rsidP="0065124E">
            <w:pPr>
              <w:jc w:val="center"/>
              <w:rPr>
                <w:rFonts w:ascii="VIC" w:hAnsi="VIC"/>
                <w:sz w:val="18"/>
                <w:szCs w:val="18"/>
              </w:rPr>
            </w:pPr>
            <w:r w:rsidRPr="00BF7527">
              <w:rPr>
                <w:rFonts w:ascii="VIC" w:eastAsia="Verdana" w:hAnsi="VIC"/>
                <w:color w:val="000000"/>
                <w:sz w:val="18"/>
                <w:szCs w:val="18"/>
              </w:rPr>
              <w:t>7.8</w:t>
            </w:r>
          </w:p>
        </w:tc>
        <w:tc>
          <w:tcPr>
            <w:tcW w:w="1075" w:type="dxa"/>
            <w:shd w:val="clear" w:color="auto" w:fill="auto"/>
          </w:tcPr>
          <w:p w14:paraId="2FDC8F8A" w14:textId="2823E6CA" w:rsidR="0065124E" w:rsidRPr="00BF031D" w:rsidRDefault="0065124E" w:rsidP="0065124E">
            <w:pPr>
              <w:jc w:val="center"/>
              <w:rPr>
                <w:rFonts w:ascii="VIC" w:hAnsi="VIC"/>
                <w:sz w:val="18"/>
                <w:szCs w:val="18"/>
              </w:rPr>
            </w:pPr>
            <w:r w:rsidRPr="00BF7527">
              <w:rPr>
                <w:rFonts w:ascii="VIC" w:eastAsia="Verdana" w:hAnsi="VIC"/>
                <w:color w:val="000000"/>
                <w:sz w:val="18"/>
                <w:szCs w:val="18"/>
              </w:rPr>
              <w:t>0.9</w:t>
            </w:r>
          </w:p>
        </w:tc>
        <w:tc>
          <w:tcPr>
            <w:tcW w:w="1075" w:type="dxa"/>
            <w:shd w:val="clear" w:color="auto" w:fill="auto"/>
          </w:tcPr>
          <w:p w14:paraId="3B7B670B" w14:textId="04599C11" w:rsidR="0065124E" w:rsidRPr="00BF031D" w:rsidRDefault="0065124E" w:rsidP="0065124E">
            <w:pPr>
              <w:jc w:val="center"/>
              <w:rPr>
                <w:rFonts w:ascii="VIC" w:hAnsi="VIC"/>
                <w:sz w:val="18"/>
                <w:szCs w:val="18"/>
              </w:rPr>
            </w:pPr>
            <w:r w:rsidRPr="00BF7527">
              <w:rPr>
                <w:rFonts w:ascii="VIC" w:eastAsia="Verdana" w:hAnsi="VIC"/>
                <w:color w:val="000000"/>
                <w:sz w:val="18"/>
                <w:szCs w:val="18"/>
              </w:rPr>
              <w:t>49 %</w:t>
            </w:r>
          </w:p>
        </w:tc>
        <w:tc>
          <w:tcPr>
            <w:tcW w:w="1075" w:type="dxa"/>
            <w:shd w:val="clear" w:color="auto" w:fill="auto"/>
          </w:tcPr>
          <w:p w14:paraId="082CD689" w14:textId="7CC4F2FE" w:rsidR="0065124E" w:rsidRPr="00BF031D" w:rsidRDefault="0065124E" w:rsidP="0065124E">
            <w:pPr>
              <w:jc w:val="center"/>
              <w:rPr>
                <w:rFonts w:ascii="VIC" w:hAnsi="VIC"/>
                <w:sz w:val="18"/>
                <w:szCs w:val="18"/>
              </w:rPr>
            </w:pPr>
            <w:r w:rsidRPr="00BF7527">
              <w:rPr>
                <w:rFonts w:ascii="VIC" w:eastAsia="Verdana" w:hAnsi="VIC"/>
                <w:color w:val="000000"/>
                <w:sz w:val="18"/>
                <w:szCs w:val="18"/>
              </w:rPr>
              <w:t>96 %</w:t>
            </w:r>
          </w:p>
        </w:tc>
        <w:tc>
          <w:tcPr>
            <w:tcW w:w="1075" w:type="dxa"/>
            <w:shd w:val="clear" w:color="auto" w:fill="auto"/>
          </w:tcPr>
          <w:p w14:paraId="3B2EE876" w14:textId="2AAAEAAB" w:rsidR="0065124E" w:rsidRPr="00BF031D" w:rsidRDefault="0065124E" w:rsidP="0065124E">
            <w:pPr>
              <w:jc w:val="center"/>
              <w:rPr>
                <w:rFonts w:ascii="VIC" w:hAnsi="VIC"/>
                <w:sz w:val="18"/>
                <w:szCs w:val="18"/>
              </w:rPr>
            </w:pPr>
            <w:r w:rsidRPr="00BF7527">
              <w:rPr>
                <w:rFonts w:ascii="VIC" w:eastAsia="Verdana" w:hAnsi="VIC"/>
                <w:color w:val="000000"/>
                <w:sz w:val="18"/>
                <w:szCs w:val="18"/>
              </w:rPr>
              <w:t>97 %</w:t>
            </w:r>
          </w:p>
        </w:tc>
      </w:tr>
      <w:tr w:rsidR="0065124E" w:rsidRPr="00BF031D" w14:paraId="6F1C0E36" w14:textId="77777777" w:rsidTr="009D3084">
        <w:trPr>
          <w:trHeight w:val="454"/>
        </w:trPr>
        <w:tc>
          <w:tcPr>
            <w:tcW w:w="1145" w:type="dxa"/>
            <w:vMerge w:val="restart"/>
            <w:shd w:val="clear" w:color="auto" w:fill="BFCED6"/>
          </w:tcPr>
          <w:p w14:paraId="2F1E1AD5" w14:textId="6FFC01BB"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Melbourne Health</w:t>
            </w:r>
          </w:p>
        </w:tc>
        <w:tc>
          <w:tcPr>
            <w:tcW w:w="1701" w:type="dxa"/>
            <w:shd w:val="clear" w:color="auto" w:fill="BFCED6"/>
          </w:tcPr>
          <w:p w14:paraId="30F8246A" w14:textId="46661F42"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Mid West/South West Aged (Sunshine)</w:t>
            </w:r>
          </w:p>
        </w:tc>
        <w:tc>
          <w:tcPr>
            <w:tcW w:w="1074" w:type="dxa"/>
            <w:shd w:val="clear" w:color="auto" w:fill="BFCED6"/>
          </w:tcPr>
          <w:p w14:paraId="3A99B17A" w14:textId="56C9FE58" w:rsidR="0065124E" w:rsidRPr="00BF031D" w:rsidRDefault="0065124E" w:rsidP="0065124E">
            <w:pPr>
              <w:jc w:val="center"/>
              <w:rPr>
                <w:rFonts w:ascii="VIC" w:hAnsi="VIC"/>
                <w:sz w:val="18"/>
                <w:szCs w:val="18"/>
              </w:rPr>
            </w:pPr>
            <w:r w:rsidRPr="00BF7527">
              <w:rPr>
                <w:rFonts w:ascii="VIC" w:eastAsia="Verdana" w:hAnsi="VIC"/>
                <w:color w:val="000000"/>
                <w:sz w:val="18"/>
                <w:szCs w:val="18"/>
              </w:rPr>
              <w:t>2.0</w:t>
            </w:r>
          </w:p>
        </w:tc>
        <w:tc>
          <w:tcPr>
            <w:tcW w:w="1075" w:type="dxa"/>
            <w:shd w:val="clear" w:color="auto" w:fill="BFCED6"/>
          </w:tcPr>
          <w:p w14:paraId="353A6D4A" w14:textId="1E2F47DE" w:rsidR="0065124E" w:rsidRPr="00BF031D" w:rsidRDefault="0065124E" w:rsidP="0065124E">
            <w:pPr>
              <w:jc w:val="center"/>
              <w:rPr>
                <w:rFonts w:ascii="VIC" w:hAnsi="VIC"/>
                <w:sz w:val="18"/>
                <w:szCs w:val="18"/>
              </w:rPr>
            </w:pPr>
            <w:r w:rsidRPr="00BF7527">
              <w:rPr>
                <w:rFonts w:ascii="VIC" w:eastAsia="Verdana" w:hAnsi="VIC"/>
                <w:color w:val="000000"/>
                <w:sz w:val="18"/>
                <w:szCs w:val="18"/>
              </w:rPr>
              <w:t>85 %</w:t>
            </w:r>
          </w:p>
        </w:tc>
        <w:tc>
          <w:tcPr>
            <w:tcW w:w="1075" w:type="dxa"/>
            <w:shd w:val="clear" w:color="auto" w:fill="BFCED6"/>
          </w:tcPr>
          <w:p w14:paraId="1D7F6CCD" w14:textId="16E4D795" w:rsidR="0065124E" w:rsidRPr="00BF031D" w:rsidRDefault="0065124E" w:rsidP="0065124E">
            <w:pPr>
              <w:jc w:val="center"/>
              <w:rPr>
                <w:rFonts w:ascii="VIC" w:hAnsi="VIC"/>
                <w:sz w:val="18"/>
                <w:szCs w:val="18"/>
              </w:rPr>
            </w:pPr>
            <w:r w:rsidRPr="00BF7527">
              <w:rPr>
                <w:rFonts w:ascii="VIC" w:eastAsia="Verdana" w:hAnsi="VIC"/>
                <w:color w:val="000000"/>
                <w:sz w:val="18"/>
                <w:szCs w:val="18"/>
              </w:rPr>
              <w:t>22.5</w:t>
            </w:r>
          </w:p>
        </w:tc>
        <w:tc>
          <w:tcPr>
            <w:tcW w:w="1075" w:type="dxa"/>
            <w:shd w:val="clear" w:color="auto" w:fill="BFCED6"/>
          </w:tcPr>
          <w:p w14:paraId="3C7DC1CD" w14:textId="642F30FD" w:rsidR="0065124E" w:rsidRPr="00BF031D" w:rsidRDefault="0065124E" w:rsidP="0065124E">
            <w:pPr>
              <w:jc w:val="center"/>
              <w:rPr>
                <w:rFonts w:ascii="VIC" w:hAnsi="VIC"/>
                <w:sz w:val="18"/>
                <w:szCs w:val="18"/>
              </w:rPr>
            </w:pPr>
            <w:r w:rsidRPr="00BF7527">
              <w:rPr>
                <w:rFonts w:ascii="VIC" w:eastAsia="Verdana" w:hAnsi="VIC"/>
                <w:color w:val="000000"/>
                <w:sz w:val="18"/>
                <w:szCs w:val="18"/>
              </w:rPr>
              <w:t>16 %</w:t>
            </w:r>
          </w:p>
        </w:tc>
        <w:tc>
          <w:tcPr>
            <w:tcW w:w="1087" w:type="dxa"/>
            <w:shd w:val="clear" w:color="auto" w:fill="BFCED6"/>
          </w:tcPr>
          <w:p w14:paraId="3F809A55" w14:textId="01774D27" w:rsidR="0065124E" w:rsidRPr="00BF031D" w:rsidRDefault="0065124E" w:rsidP="0065124E">
            <w:pPr>
              <w:jc w:val="center"/>
              <w:rPr>
                <w:rFonts w:ascii="VIC" w:hAnsi="VIC"/>
                <w:sz w:val="18"/>
                <w:szCs w:val="18"/>
              </w:rPr>
            </w:pPr>
            <w:r w:rsidRPr="00BF7527">
              <w:rPr>
                <w:rFonts w:ascii="VIC" w:eastAsia="Verdana" w:hAnsi="VIC"/>
                <w:color w:val="000000"/>
                <w:sz w:val="18"/>
                <w:szCs w:val="18"/>
              </w:rPr>
              <w:t>6 %</w:t>
            </w:r>
          </w:p>
        </w:tc>
        <w:tc>
          <w:tcPr>
            <w:tcW w:w="1063" w:type="dxa"/>
            <w:shd w:val="clear" w:color="auto" w:fill="BFCED6"/>
          </w:tcPr>
          <w:p w14:paraId="43AD85F2" w14:textId="58D79294" w:rsidR="0065124E" w:rsidRPr="00BF031D" w:rsidRDefault="0065124E" w:rsidP="0065124E">
            <w:pPr>
              <w:jc w:val="center"/>
              <w:rPr>
                <w:rFonts w:ascii="VIC" w:hAnsi="VIC"/>
                <w:sz w:val="18"/>
                <w:szCs w:val="18"/>
              </w:rPr>
            </w:pPr>
            <w:r w:rsidRPr="00BF7527">
              <w:rPr>
                <w:rFonts w:ascii="VIC" w:eastAsia="Verdana" w:hAnsi="VIC"/>
                <w:color w:val="000000"/>
                <w:sz w:val="18"/>
                <w:szCs w:val="18"/>
              </w:rPr>
              <w:t>22 %</w:t>
            </w:r>
          </w:p>
        </w:tc>
        <w:tc>
          <w:tcPr>
            <w:tcW w:w="1075" w:type="dxa"/>
            <w:shd w:val="clear" w:color="auto" w:fill="BFCED6"/>
          </w:tcPr>
          <w:p w14:paraId="72F8714C" w14:textId="611F278F" w:rsidR="0065124E" w:rsidRPr="00BF031D"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BFCED6"/>
          </w:tcPr>
          <w:p w14:paraId="401F6F63" w14:textId="033D7E8E" w:rsidR="0065124E" w:rsidRPr="00BF031D" w:rsidRDefault="0065124E" w:rsidP="0065124E">
            <w:pPr>
              <w:jc w:val="center"/>
              <w:rPr>
                <w:rFonts w:ascii="VIC" w:hAnsi="VIC"/>
                <w:sz w:val="18"/>
                <w:szCs w:val="18"/>
              </w:rPr>
            </w:pPr>
            <w:r w:rsidRPr="00BF7527">
              <w:rPr>
                <w:rFonts w:ascii="VIC" w:eastAsia="Verdana" w:hAnsi="VIC"/>
                <w:color w:val="000000"/>
                <w:sz w:val="18"/>
                <w:szCs w:val="18"/>
              </w:rPr>
              <w:t>7.9</w:t>
            </w:r>
          </w:p>
        </w:tc>
        <w:tc>
          <w:tcPr>
            <w:tcW w:w="1075" w:type="dxa"/>
            <w:shd w:val="clear" w:color="auto" w:fill="BFCED6"/>
          </w:tcPr>
          <w:p w14:paraId="11010FB2" w14:textId="692CCCC0" w:rsidR="0065124E" w:rsidRPr="00BF031D" w:rsidRDefault="0065124E" w:rsidP="0065124E">
            <w:pPr>
              <w:jc w:val="center"/>
              <w:rPr>
                <w:rFonts w:ascii="VIC" w:hAnsi="VIC"/>
                <w:sz w:val="18"/>
                <w:szCs w:val="18"/>
              </w:rPr>
            </w:pPr>
            <w:r w:rsidRPr="00BF7527">
              <w:rPr>
                <w:rFonts w:ascii="VIC" w:eastAsia="Verdana" w:hAnsi="VIC"/>
                <w:color w:val="000000"/>
                <w:sz w:val="18"/>
                <w:szCs w:val="18"/>
              </w:rPr>
              <w:t>0.4</w:t>
            </w:r>
          </w:p>
        </w:tc>
        <w:tc>
          <w:tcPr>
            <w:tcW w:w="1075" w:type="dxa"/>
            <w:shd w:val="clear" w:color="auto" w:fill="BFCED6"/>
          </w:tcPr>
          <w:p w14:paraId="70C3D443" w14:textId="76B7C04F" w:rsidR="0065124E" w:rsidRPr="00BF031D" w:rsidRDefault="0065124E" w:rsidP="0065124E">
            <w:pPr>
              <w:jc w:val="center"/>
              <w:rPr>
                <w:rFonts w:ascii="VIC" w:hAnsi="VIC"/>
                <w:sz w:val="18"/>
                <w:szCs w:val="18"/>
              </w:rPr>
            </w:pPr>
            <w:r w:rsidRPr="00BF7527">
              <w:rPr>
                <w:rFonts w:ascii="VIC" w:eastAsia="Verdana" w:hAnsi="VIC"/>
                <w:color w:val="000000"/>
                <w:sz w:val="18"/>
                <w:szCs w:val="18"/>
              </w:rPr>
              <w:t>66 %</w:t>
            </w:r>
          </w:p>
        </w:tc>
        <w:tc>
          <w:tcPr>
            <w:tcW w:w="1075" w:type="dxa"/>
            <w:shd w:val="clear" w:color="auto" w:fill="BFCED6"/>
          </w:tcPr>
          <w:p w14:paraId="23B2FBD0" w14:textId="02599063" w:rsidR="0065124E" w:rsidRPr="00BF031D" w:rsidRDefault="0065124E" w:rsidP="0065124E">
            <w:pPr>
              <w:jc w:val="center"/>
              <w:rPr>
                <w:rFonts w:ascii="VIC" w:hAnsi="VIC"/>
                <w:sz w:val="18"/>
                <w:szCs w:val="18"/>
              </w:rPr>
            </w:pPr>
            <w:r w:rsidRPr="00BF7527">
              <w:rPr>
                <w:rFonts w:ascii="VIC" w:eastAsia="Verdana" w:hAnsi="VIC"/>
                <w:color w:val="000000"/>
                <w:sz w:val="18"/>
                <w:szCs w:val="18"/>
              </w:rPr>
              <w:t>95 %</w:t>
            </w:r>
          </w:p>
        </w:tc>
        <w:tc>
          <w:tcPr>
            <w:tcW w:w="1075" w:type="dxa"/>
            <w:shd w:val="clear" w:color="auto" w:fill="BFCED6"/>
          </w:tcPr>
          <w:p w14:paraId="24731C94" w14:textId="4104D8D7" w:rsidR="0065124E" w:rsidRPr="00BF031D" w:rsidRDefault="0065124E" w:rsidP="0065124E">
            <w:pPr>
              <w:jc w:val="center"/>
              <w:rPr>
                <w:rFonts w:ascii="VIC" w:hAnsi="VIC"/>
                <w:sz w:val="18"/>
                <w:szCs w:val="18"/>
              </w:rPr>
            </w:pPr>
            <w:r w:rsidRPr="00BF7527">
              <w:rPr>
                <w:rFonts w:ascii="VIC" w:eastAsia="Verdana" w:hAnsi="VIC"/>
                <w:color w:val="000000"/>
                <w:sz w:val="18"/>
                <w:szCs w:val="18"/>
              </w:rPr>
              <w:t>94 %</w:t>
            </w:r>
          </w:p>
        </w:tc>
      </w:tr>
      <w:tr w:rsidR="0065124E" w:rsidRPr="00BF031D" w14:paraId="1C3D55B4" w14:textId="77777777" w:rsidTr="009D3084">
        <w:trPr>
          <w:trHeight w:val="454"/>
        </w:trPr>
        <w:tc>
          <w:tcPr>
            <w:tcW w:w="1145" w:type="dxa"/>
            <w:vMerge/>
            <w:shd w:val="clear" w:color="auto" w:fill="BFCED6"/>
          </w:tcPr>
          <w:p w14:paraId="225A3384" w14:textId="77777777" w:rsidR="0065124E" w:rsidRPr="00BF031D" w:rsidRDefault="0065124E" w:rsidP="0065124E">
            <w:pPr>
              <w:pStyle w:val="DHHStabletext"/>
              <w:spacing w:before="0" w:after="0"/>
              <w:rPr>
                <w:rFonts w:ascii="VIC" w:hAnsi="VIC"/>
                <w:sz w:val="18"/>
                <w:szCs w:val="18"/>
              </w:rPr>
            </w:pPr>
          </w:p>
        </w:tc>
        <w:tc>
          <w:tcPr>
            <w:tcW w:w="1701" w:type="dxa"/>
            <w:shd w:val="clear" w:color="auto" w:fill="BFCED6"/>
          </w:tcPr>
          <w:p w14:paraId="79771934" w14:textId="75477B79"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North East Aged (Bundoora)</w:t>
            </w:r>
          </w:p>
        </w:tc>
        <w:tc>
          <w:tcPr>
            <w:tcW w:w="1074" w:type="dxa"/>
            <w:shd w:val="clear" w:color="auto" w:fill="BFCED6"/>
          </w:tcPr>
          <w:p w14:paraId="690EE051" w14:textId="5258B97B" w:rsidR="0065124E" w:rsidRPr="00BF031D" w:rsidRDefault="0065124E" w:rsidP="0065124E">
            <w:pPr>
              <w:jc w:val="center"/>
              <w:rPr>
                <w:rFonts w:ascii="VIC" w:hAnsi="VIC"/>
                <w:sz w:val="18"/>
                <w:szCs w:val="18"/>
              </w:rPr>
            </w:pPr>
            <w:r w:rsidRPr="00BF7527">
              <w:rPr>
                <w:rFonts w:ascii="VIC" w:eastAsia="Verdana" w:hAnsi="VIC"/>
                <w:color w:val="000000"/>
                <w:sz w:val="18"/>
                <w:szCs w:val="18"/>
              </w:rPr>
              <w:t>1.9</w:t>
            </w:r>
          </w:p>
        </w:tc>
        <w:tc>
          <w:tcPr>
            <w:tcW w:w="1075" w:type="dxa"/>
            <w:shd w:val="clear" w:color="auto" w:fill="BFCED6"/>
          </w:tcPr>
          <w:p w14:paraId="7AC06A26" w14:textId="30D08C82" w:rsidR="0065124E" w:rsidRPr="00BF031D" w:rsidRDefault="0065124E" w:rsidP="0065124E">
            <w:pPr>
              <w:jc w:val="center"/>
              <w:rPr>
                <w:rFonts w:ascii="VIC" w:hAnsi="VIC"/>
                <w:sz w:val="18"/>
                <w:szCs w:val="18"/>
              </w:rPr>
            </w:pPr>
            <w:r w:rsidRPr="00BF7527">
              <w:rPr>
                <w:rFonts w:ascii="VIC" w:eastAsia="Verdana" w:hAnsi="VIC"/>
                <w:color w:val="000000"/>
                <w:sz w:val="18"/>
                <w:szCs w:val="18"/>
              </w:rPr>
              <w:t>77 %</w:t>
            </w:r>
          </w:p>
        </w:tc>
        <w:tc>
          <w:tcPr>
            <w:tcW w:w="1075" w:type="dxa"/>
            <w:shd w:val="clear" w:color="auto" w:fill="BFCED6"/>
          </w:tcPr>
          <w:p w14:paraId="42B53522" w14:textId="4BAB357C" w:rsidR="0065124E" w:rsidRPr="00BF031D" w:rsidRDefault="0065124E" w:rsidP="0065124E">
            <w:pPr>
              <w:jc w:val="center"/>
              <w:rPr>
                <w:rFonts w:ascii="VIC" w:hAnsi="VIC"/>
                <w:sz w:val="18"/>
                <w:szCs w:val="18"/>
              </w:rPr>
            </w:pPr>
            <w:r w:rsidRPr="00BF7527">
              <w:rPr>
                <w:rFonts w:ascii="VIC" w:eastAsia="Verdana" w:hAnsi="VIC"/>
                <w:color w:val="000000"/>
                <w:sz w:val="18"/>
                <w:szCs w:val="18"/>
              </w:rPr>
              <w:t>20.6</w:t>
            </w:r>
          </w:p>
        </w:tc>
        <w:tc>
          <w:tcPr>
            <w:tcW w:w="1075" w:type="dxa"/>
            <w:shd w:val="clear" w:color="auto" w:fill="BFCED6"/>
          </w:tcPr>
          <w:p w14:paraId="3CC4209C" w14:textId="022FC339" w:rsidR="0065124E" w:rsidRPr="00BF031D" w:rsidRDefault="0065124E" w:rsidP="0065124E">
            <w:pPr>
              <w:jc w:val="center"/>
              <w:rPr>
                <w:rFonts w:ascii="VIC" w:hAnsi="VIC"/>
                <w:sz w:val="18"/>
                <w:szCs w:val="18"/>
              </w:rPr>
            </w:pPr>
            <w:r w:rsidRPr="00BF7527">
              <w:rPr>
                <w:rFonts w:ascii="VIC" w:eastAsia="Verdana" w:hAnsi="VIC"/>
                <w:color w:val="000000"/>
                <w:sz w:val="18"/>
                <w:szCs w:val="18"/>
              </w:rPr>
              <w:t>9 %</w:t>
            </w:r>
          </w:p>
        </w:tc>
        <w:tc>
          <w:tcPr>
            <w:tcW w:w="1087" w:type="dxa"/>
            <w:shd w:val="clear" w:color="auto" w:fill="BFCED6"/>
          </w:tcPr>
          <w:p w14:paraId="4B23D08C" w14:textId="7D6107C4" w:rsidR="0065124E" w:rsidRPr="00BF031D" w:rsidRDefault="0065124E" w:rsidP="0065124E">
            <w:pPr>
              <w:jc w:val="center"/>
              <w:rPr>
                <w:rFonts w:ascii="VIC" w:hAnsi="VIC"/>
                <w:sz w:val="18"/>
                <w:szCs w:val="18"/>
              </w:rPr>
            </w:pPr>
            <w:r w:rsidRPr="00BF7527">
              <w:rPr>
                <w:rFonts w:ascii="VIC" w:eastAsia="Verdana" w:hAnsi="VIC"/>
                <w:color w:val="000000"/>
                <w:sz w:val="18"/>
                <w:szCs w:val="18"/>
              </w:rPr>
              <w:t>6 %</w:t>
            </w:r>
          </w:p>
        </w:tc>
        <w:tc>
          <w:tcPr>
            <w:tcW w:w="1063" w:type="dxa"/>
            <w:shd w:val="clear" w:color="auto" w:fill="BFCED6"/>
          </w:tcPr>
          <w:p w14:paraId="38045676" w14:textId="0E73F4E7" w:rsidR="0065124E" w:rsidRPr="00BF031D" w:rsidRDefault="0065124E" w:rsidP="0065124E">
            <w:pPr>
              <w:jc w:val="center"/>
              <w:rPr>
                <w:rFonts w:ascii="VIC" w:hAnsi="VIC"/>
                <w:sz w:val="18"/>
                <w:szCs w:val="18"/>
              </w:rPr>
            </w:pPr>
            <w:r w:rsidRPr="00BF7527">
              <w:rPr>
                <w:rFonts w:ascii="VIC" w:eastAsia="Verdana" w:hAnsi="VIC"/>
                <w:color w:val="000000"/>
                <w:sz w:val="18"/>
                <w:szCs w:val="18"/>
              </w:rPr>
              <w:t>12 %</w:t>
            </w:r>
          </w:p>
        </w:tc>
        <w:tc>
          <w:tcPr>
            <w:tcW w:w="1075" w:type="dxa"/>
            <w:shd w:val="clear" w:color="auto" w:fill="BFCED6"/>
          </w:tcPr>
          <w:p w14:paraId="1975D146" w14:textId="1186EE5B" w:rsidR="0065124E" w:rsidRPr="00BF031D"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BFCED6"/>
          </w:tcPr>
          <w:p w14:paraId="57EA2D31" w14:textId="0072C186" w:rsidR="0065124E" w:rsidRPr="00BF031D" w:rsidRDefault="0065124E" w:rsidP="0065124E">
            <w:pPr>
              <w:jc w:val="center"/>
              <w:rPr>
                <w:rFonts w:ascii="VIC" w:hAnsi="VIC"/>
                <w:sz w:val="18"/>
                <w:szCs w:val="18"/>
              </w:rPr>
            </w:pPr>
            <w:r w:rsidRPr="00BF7527">
              <w:rPr>
                <w:rFonts w:ascii="VIC" w:eastAsia="Verdana" w:hAnsi="VIC"/>
                <w:color w:val="000000"/>
                <w:sz w:val="18"/>
                <w:szCs w:val="18"/>
              </w:rPr>
              <w:t>3.5</w:t>
            </w:r>
          </w:p>
        </w:tc>
        <w:tc>
          <w:tcPr>
            <w:tcW w:w="1075" w:type="dxa"/>
            <w:shd w:val="clear" w:color="auto" w:fill="BFCED6"/>
          </w:tcPr>
          <w:p w14:paraId="4DD48492" w14:textId="4D76E874" w:rsidR="0065124E" w:rsidRPr="00BF031D" w:rsidRDefault="0065124E" w:rsidP="0065124E">
            <w:pPr>
              <w:jc w:val="center"/>
              <w:rPr>
                <w:rFonts w:ascii="VIC" w:hAnsi="VIC"/>
                <w:sz w:val="18"/>
                <w:szCs w:val="18"/>
              </w:rPr>
            </w:pPr>
            <w:r w:rsidRPr="00BF7527">
              <w:rPr>
                <w:rFonts w:ascii="VIC" w:eastAsia="Verdana" w:hAnsi="VIC"/>
                <w:color w:val="000000"/>
                <w:sz w:val="18"/>
                <w:szCs w:val="18"/>
              </w:rPr>
              <w:t>0.3</w:t>
            </w:r>
          </w:p>
        </w:tc>
        <w:tc>
          <w:tcPr>
            <w:tcW w:w="1075" w:type="dxa"/>
            <w:shd w:val="clear" w:color="auto" w:fill="BFCED6"/>
          </w:tcPr>
          <w:p w14:paraId="6CEEB1B9" w14:textId="65C07B83" w:rsidR="0065124E" w:rsidRPr="00BF031D" w:rsidRDefault="0065124E" w:rsidP="0065124E">
            <w:pPr>
              <w:jc w:val="center"/>
              <w:rPr>
                <w:rFonts w:ascii="VIC" w:hAnsi="VIC"/>
                <w:sz w:val="18"/>
                <w:szCs w:val="18"/>
              </w:rPr>
            </w:pPr>
            <w:r w:rsidRPr="00BF7527">
              <w:rPr>
                <w:rFonts w:ascii="VIC" w:eastAsia="Verdana" w:hAnsi="VIC"/>
                <w:color w:val="000000"/>
                <w:sz w:val="18"/>
                <w:szCs w:val="18"/>
              </w:rPr>
              <w:t>82 %</w:t>
            </w:r>
          </w:p>
        </w:tc>
        <w:tc>
          <w:tcPr>
            <w:tcW w:w="1075" w:type="dxa"/>
            <w:shd w:val="clear" w:color="auto" w:fill="BFCED6"/>
          </w:tcPr>
          <w:p w14:paraId="1C24FA80" w14:textId="244F3FEF" w:rsidR="0065124E" w:rsidRPr="00BF031D"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BFCED6"/>
          </w:tcPr>
          <w:p w14:paraId="51AAB061" w14:textId="0F548A85" w:rsidR="0065124E" w:rsidRPr="00BF031D" w:rsidRDefault="0065124E" w:rsidP="0065124E">
            <w:pPr>
              <w:jc w:val="center"/>
              <w:rPr>
                <w:rFonts w:ascii="VIC" w:hAnsi="VIC"/>
                <w:sz w:val="18"/>
                <w:szCs w:val="18"/>
              </w:rPr>
            </w:pPr>
            <w:r w:rsidRPr="00BF7527">
              <w:rPr>
                <w:rFonts w:ascii="VIC" w:eastAsia="Verdana" w:hAnsi="VIC"/>
                <w:color w:val="000000"/>
                <w:sz w:val="18"/>
                <w:szCs w:val="18"/>
              </w:rPr>
              <w:t>97 %</w:t>
            </w:r>
          </w:p>
        </w:tc>
      </w:tr>
      <w:tr w:rsidR="0065124E" w:rsidRPr="00BF031D" w14:paraId="02DC074C" w14:textId="77777777" w:rsidTr="009D3084">
        <w:trPr>
          <w:trHeight w:val="454"/>
        </w:trPr>
        <w:tc>
          <w:tcPr>
            <w:tcW w:w="1145" w:type="dxa"/>
            <w:vMerge/>
            <w:shd w:val="clear" w:color="auto" w:fill="BFCED6"/>
          </w:tcPr>
          <w:p w14:paraId="780D9368" w14:textId="77777777" w:rsidR="0065124E" w:rsidRPr="00BF031D" w:rsidRDefault="0065124E" w:rsidP="0065124E">
            <w:pPr>
              <w:pStyle w:val="DHHStabletext"/>
              <w:spacing w:before="0" w:after="0"/>
              <w:rPr>
                <w:rFonts w:ascii="VIC" w:hAnsi="VIC"/>
                <w:sz w:val="18"/>
                <w:szCs w:val="18"/>
              </w:rPr>
            </w:pPr>
          </w:p>
        </w:tc>
        <w:tc>
          <w:tcPr>
            <w:tcW w:w="1701" w:type="dxa"/>
            <w:shd w:val="clear" w:color="auto" w:fill="BFCED6"/>
          </w:tcPr>
          <w:p w14:paraId="3BDD05C0" w14:textId="3816E9F1"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North West/Inner West (Broadmeadows)</w:t>
            </w:r>
          </w:p>
        </w:tc>
        <w:tc>
          <w:tcPr>
            <w:tcW w:w="1074" w:type="dxa"/>
            <w:shd w:val="clear" w:color="auto" w:fill="BFCED6"/>
          </w:tcPr>
          <w:p w14:paraId="29327217" w14:textId="6219A767" w:rsidR="0065124E" w:rsidRPr="00BF031D" w:rsidRDefault="0065124E" w:rsidP="0065124E">
            <w:pPr>
              <w:jc w:val="center"/>
              <w:rPr>
                <w:rFonts w:ascii="VIC" w:hAnsi="VIC"/>
                <w:sz w:val="18"/>
                <w:szCs w:val="18"/>
              </w:rPr>
            </w:pPr>
            <w:r w:rsidRPr="00BF7527">
              <w:rPr>
                <w:rFonts w:ascii="VIC" w:eastAsia="Verdana" w:hAnsi="VIC"/>
                <w:color w:val="000000"/>
                <w:sz w:val="18"/>
                <w:szCs w:val="18"/>
              </w:rPr>
              <w:t>2.4</w:t>
            </w:r>
          </w:p>
        </w:tc>
        <w:tc>
          <w:tcPr>
            <w:tcW w:w="1075" w:type="dxa"/>
            <w:shd w:val="clear" w:color="auto" w:fill="BFCED6"/>
          </w:tcPr>
          <w:p w14:paraId="0F4F9FF2" w14:textId="0D3806FE" w:rsidR="0065124E" w:rsidRPr="00BF031D" w:rsidRDefault="0065124E" w:rsidP="0065124E">
            <w:pPr>
              <w:jc w:val="center"/>
              <w:rPr>
                <w:rFonts w:ascii="VIC" w:hAnsi="VIC"/>
                <w:sz w:val="18"/>
                <w:szCs w:val="18"/>
              </w:rPr>
            </w:pPr>
            <w:r w:rsidRPr="00BF7527">
              <w:rPr>
                <w:rFonts w:ascii="VIC" w:eastAsia="Verdana" w:hAnsi="VIC"/>
                <w:color w:val="000000"/>
                <w:sz w:val="18"/>
                <w:szCs w:val="18"/>
              </w:rPr>
              <w:t>76 %</w:t>
            </w:r>
          </w:p>
        </w:tc>
        <w:tc>
          <w:tcPr>
            <w:tcW w:w="1075" w:type="dxa"/>
            <w:shd w:val="clear" w:color="auto" w:fill="BFCED6"/>
          </w:tcPr>
          <w:p w14:paraId="7CB7B43E" w14:textId="3970F951" w:rsidR="0065124E" w:rsidRPr="00BF031D" w:rsidRDefault="0065124E" w:rsidP="0065124E">
            <w:pPr>
              <w:jc w:val="center"/>
              <w:rPr>
                <w:rFonts w:ascii="VIC" w:hAnsi="VIC"/>
                <w:sz w:val="18"/>
                <w:szCs w:val="18"/>
              </w:rPr>
            </w:pPr>
            <w:r w:rsidRPr="00BF7527">
              <w:rPr>
                <w:rFonts w:ascii="VIC" w:eastAsia="Verdana" w:hAnsi="VIC"/>
                <w:color w:val="000000"/>
                <w:sz w:val="18"/>
                <w:szCs w:val="18"/>
              </w:rPr>
              <w:t>26.8</w:t>
            </w:r>
          </w:p>
        </w:tc>
        <w:tc>
          <w:tcPr>
            <w:tcW w:w="1075" w:type="dxa"/>
            <w:shd w:val="clear" w:color="auto" w:fill="BFCED6"/>
          </w:tcPr>
          <w:p w14:paraId="2E8AAA9B" w14:textId="3E19775C" w:rsidR="0065124E" w:rsidRPr="00BF031D" w:rsidRDefault="0065124E" w:rsidP="0065124E">
            <w:pPr>
              <w:jc w:val="center"/>
              <w:rPr>
                <w:rFonts w:ascii="VIC" w:hAnsi="VIC"/>
                <w:sz w:val="18"/>
                <w:szCs w:val="18"/>
              </w:rPr>
            </w:pPr>
            <w:r w:rsidRPr="00BF7527">
              <w:rPr>
                <w:rFonts w:ascii="VIC" w:eastAsia="Verdana" w:hAnsi="VIC"/>
                <w:color w:val="000000"/>
                <w:sz w:val="18"/>
                <w:szCs w:val="18"/>
              </w:rPr>
              <w:t>12 %</w:t>
            </w:r>
          </w:p>
        </w:tc>
        <w:tc>
          <w:tcPr>
            <w:tcW w:w="1087" w:type="dxa"/>
            <w:shd w:val="clear" w:color="auto" w:fill="BFCED6"/>
          </w:tcPr>
          <w:p w14:paraId="18BFCE5C" w14:textId="7204E394" w:rsidR="0065124E" w:rsidRPr="00BF031D" w:rsidRDefault="0065124E" w:rsidP="0065124E">
            <w:pPr>
              <w:jc w:val="center"/>
              <w:rPr>
                <w:rFonts w:ascii="VIC" w:hAnsi="VIC"/>
                <w:sz w:val="18"/>
                <w:szCs w:val="18"/>
              </w:rPr>
            </w:pPr>
            <w:r w:rsidRPr="00BF7527">
              <w:rPr>
                <w:rFonts w:ascii="VIC" w:eastAsia="Verdana" w:hAnsi="VIC"/>
                <w:color w:val="000000"/>
                <w:sz w:val="18"/>
                <w:szCs w:val="18"/>
              </w:rPr>
              <w:t>7 %</w:t>
            </w:r>
          </w:p>
        </w:tc>
        <w:tc>
          <w:tcPr>
            <w:tcW w:w="1063" w:type="dxa"/>
            <w:shd w:val="clear" w:color="auto" w:fill="BFCED6"/>
          </w:tcPr>
          <w:p w14:paraId="115C4EEE" w14:textId="409B98D4" w:rsidR="0065124E" w:rsidRPr="00BF031D" w:rsidRDefault="0065124E" w:rsidP="0065124E">
            <w:pPr>
              <w:jc w:val="center"/>
              <w:rPr>
                <w:rFonts w:ascii="VIC" w:hAnsi="VIC"/>
                <w:sz w:val="18"/>
                <w:szCs w:val="18"/>
              </w:rPr>
            </w:pPr>
            <w:r w:rsidRPr="00BF7527">
              <w:rPr>
                <w:rFonts w:ascii="VIC" w:eastAsia="Verdana" w:hAnsi="VIC"/>
                <w:color w:val="000000"/>
                <w:sz w:val="18"/>
                <w:szCs w:val="18"/>
              </w:rPr>
              <w:t>17 %</w:t>
            </w:r>
          </w:p>
        </w:tc>
        <w:tc>
          <w:tcPr>
            <w:tcW w:w="1075" w:type="dxa"/>
            <w:shd w:val="clear" w:color="auto" w:fill="BFCED6"/>
          </w:tcPr>
          <w:p w14:paraId="1D4CBA15" w14:textId="2C42E4CB" w:rsidR="0065124E" w:rsidRPr="00BF031D"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BFCED6"/>
          </w:tcPr>
          <w:p w14:paraId="238B8542" w14:textId="1D50092E" w:rsidR="0065124E" w:rsidRPr="00BF031D" w:rsidRDefault="0065124E" w:rsidP="0065124E">
            <w:pPr>
              <w:jc w:val="center"/>
              <w:rPr>
                <w:rFonts w:ascii="VIC" w:hAnsi="VIC"/>
                <w:sz w:val="18"/>
                <w:szCs w:val="18"/>
              </w:rPr>
            </w:pPr>
            <w:r w:rsidRPr="00BF7527">
              <w:rPr>
                <w:rFonts w:ascii="VIC" w:eastAsia="Verdana" w:hAnsi="VIC"/>
                <w:color w:val="000000"/>
                <w:sz w:val="18"/>
                <w:szCs w:val="18"/>
              </w:rPr>
              <w:t>10.6</w:t>
            </w:r>
          </w:p>
        </w:tc>
        <w:tc>
          <w:tcPr>
            <w:tcW w:w="1075" w:type="dxa"/>
            <w:shd w:val="clear" w:color="auto" w:fill="BFCED6"/>
          </w:tcPr>
          <w:p w14:paraId="3A83EF59" w14:textId="227CDD7D" w:rsidR="0065124E" w:rsidRPr="00BF031D" w:rsidRDefault="0065124E" w:rsidP="0065124E">
            <w:pPr>
              <w:jc w:val="center"/>
              <w:rPr>
                <w:rFonts w:ascii="VIC" w:hAnsi="VIC"/>
                <w:sz w:val="18"/>
                <w:szCs w:val="18"/>
              </w:rPr>
            </w:pPr>
            <w:r w:rsidRPr="00BF7527">
              <w:rPr>
                <w:rFonts w:ascii="VIC" w:eastAsia="Verdana" w:hAnsi="VIC"/>
                <w:color w:val="000000"/>
                <w:sz w:val="18"/>
                <w:szCs w:val="18"/>
              </w:rPr>
              <w:t>1.5</w:t>
            </w:r>
          </w:p>
        </w:tc>
        <w:tc>
          <w:tcPr>
            <w:tcW w:w="1075" w:type="dxa"/>
            <w:shd w:val="clear" w:color="auto" w:fill="BFCED6"/>
          </w:tcPr>
          <w:p w14:paraId="7281EFE9" w14:textId="2B49CB98" w:rsidR="0065124E" w:rsidRPr="00BF031D" w:rsidRDefault="0065124E" w:rsidP="0065124E">
            <w:pPr>
              <w:jc w:val="center"/>
              <w:rPr>
                <w:rFonts w:ascii="VIC" w:hAnsi="VIC"/>
                <w:sz w:val="18"/>
                <w:szCs w:val="18"/>
              </w:rPr>
            </w:pPr>
            <w:r w:rsidRPr="00BF7527">
              <w:rPr>
                <w:rFonts w:ascii="VIC" w:eastAsia="Verdana" w:hAnsi="VIC"/>
                <w:color w:val="000000"/>
                <w:sz w:val="18"/>
                <w:szCs w:val="18"/>
              </w:rPr>
              <w:t>62 %</w:t>
            </w:r>
          </w:p>
        </w:tc>
        <w:tc>
          <w:tcPr>
            <w:tcW w:w="1075" w:type="dxa"/>
            <w:shd w:val="clear" w:color="auto" w:fill="BFCED6"/>
          </w:tcPr>
          <w:p w14:paraId="7DDDC1E4" w14:textId="49144F20" w:rsidR="0065124E" w:rsidRPr="00BF031D" w:rsidRDefault="0065124E" w:rsidP="0065124E">
            <w:pPr>
              <w:jc w:val="center"/>
              <w:rPr>
                <w:rFonts w:ascii="VIC" w:hAnsi="VIC"/>
                <w:sz w:val="18"/>
                <w:szCs w:val="18"/>
              </w:rPr>
            </w:pPr>
            <w:r w:rsidRPr="00BF7527">
              <w:rPr>
                <w:rFonts w:ascii="VIC" w:eastAsia="Verdana" w:hAnsi="VIC"/>
                <w:color w:val="000000"/>
                <w:sz w:val="18"/>
                <w:szCs w:val="18"/>
              </w:rPr>
              <w:t>96 %</w:t>
            </w:r>
          </w:p>
        </w:tc>
        <w:tc>
          <w:tcPr>
            <w:tcW w:w="1075" w:type="dxa"/>
            <w:shd w:val="clear" w:color="auto" w:fill="BFCED6"/>
          </w:tcPr>
          <w:p w14:paraId="3F643898" w14:textId="2B2C4E5A" w:rsidR="0065124E" w:rsidRPr="00BF031D" w:rsidRDefault="0065124E" w:rsidP="0065124E">
            <w:pPr>
              <w:jc w:val="center"/>
              <w:rPr>
                <w:rFonts w:ascii="VIC" w:hAnsi="VIC"/>
                <w:sz w:val="18"/>
                <w:szCs w:val="18"/>
              </w:rPr>
            </w:pPr>
            <w:r w:rsidRPr="00BF7527">
              <w:rPr>
                <w:rFonts w:ascii="VIC" w:eastAsia="Verdana" w:hAnsi="VIC"/>
                <w:color w:val="000000"/>
                <w:sz w:val="18"/>
                <w:szCs w:val="18"/>
              </w:rPr>
              <w:t>82 %</w:t>
            </w:r>
          </w:p>
        </w:tc>
      </w:tr>
      <w:tr w:rsidR="0065124E" w:rsidRPr="00BF031D" w14:paraId="267D6D1E" w14:textId="77777777" w:rsidTr="009D3084">
        <w:trPr>
          <w:trHeight w:val="454"/>
        </w:trPr>
        <w:tc>
          <w:tcPr>
            <w:tcW w:w="1145" w:type="dxa"/>
            <w:vMerge/>
            <w:shd w:val="clear" w:color="auto" w:fill="BFCED6"/>
          </w:tcPr>
          <w:p w14:paraId="4E10AD8C" w14:textId="77777777" w:rsidR="0065124E" w:rsidRPr="00BF031D" w:rsidRDefault="0065124E" w:rsidP="0065124E">
            <w:pPr>
              <w:pStyle w:val="DHHStabletext"/>
              <w:spacing w:before="0" w:after="0"/>
              <w:rPr>
                <w:rFonts w:ascii="VIC" w:hAnsi="VIC"/>
                <w:sz w:val="18"/>
                <w:szCs w:val="18"/>
              </w:rPr>
            </w:pPr>
          </w:p>
        </w:tc>
        <w:tc>
          <w:tcPr>
            <w:tcW w:w="1701" w:type="dxa"/>
            <w:shd w:val="clear" w:color="auto" w:fill="BFCED6"/>
          </w:tcPr>
          <w:p w14:paraId="70DEC3E0" w14:textId="259D0612"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TOTAL</w:t>
            </w:r>
          </w:p>
        </w:tc>
        <w:tc>
          <w:tcPr>
            <w:tcW w:w="1074" w:type="dxa"/>
            <w:shd w:val="clear" w:color="auto" w:fill="BFCED6"/>
          </w:tcPr>
          <w:p w14:paraId="2D0D6E6C" w14:textId="13FEA28E" w:rsidR="0065124E" w:rsidRPr="00BF031D" w:rsidRDefault="0065124E" w:rsidP="0065124E">
            <w:pPr>
              <w:jc w:val="center"/>
              <w:rPr>
                <w:rFonts w:ascii="VIC" w:hAnsi="VIC"/>
                <w:sz w:val="18"/>
                <w:szCs w:val="18"/>
              </w:rPr>
            </w:pPr>
            <w:r w:rsidRPr="00BF7527">
              <w:rPr>
                <w:rFonts w:ascii="VIC" w:eastAsia="Verdana" w:hAnsi="VIC"/>
                <w:color w:val="000000"/>
                <w:sz w:val="18"/>
                <w:szCs w:val="18"/>
              </w:rPr>
              <w:t>2.1</w:t>
            </w:r>
          </w:p>
        </w:tc>
        <w:tc>
          <w:tcPr>
            <w:tcW w:w="1075" w:type="dxa"/>
            <w:shd w:val="clear" w:color="auto" w:fill="BFCED6"/>
          </w:tcPr>
          <w:p w14:paraId="7751FD6C" w14:textId="2AAED60A" w:rsidR="0065124E" w:rsidRPr="00BF031D" w:rsidRDefault="0065124E" w:rsidP="0065124E">
            <w:pPr>
              <w:jc w:val="center"/>
              <w:rPr>
                <w:rFonts w:ascii="VIC" w:hAnsi="VIC"/>
                <w:sz w:val="18"/>
                <w:szCs w:val="18"/>
              </w:rPr>
            </w:pPr>
            <w:r w:rsidRPr="00BF7527">
              <w:rPr>
                <w:rFonts w:ascii="VIC" w:eastAsia="Verdana" w:hAnsi="VIC"/>
                <w:color w:val="000000"/>
                <w:sz w:val="18"/>
                <w:szCs w:val="18"/>
              </w:rPr>
              <w:t>80 %</w:t>
            </w:r>
          </w:p>
        </w:tc>
        <w:tc>
          <w:tcPr>
            <w:tcW w:w="1075" w:type="dxa"/>
            <w:shd w:val="clear" w:color="auto" w:fill="BFCED6"/>
          </w:tcPr>
          <w:p w14:paraId="1F74106C" w14:textId="1055F6CE" w:rsidR="0065124E" w:rsidRPr="00BF031D" w:rsidRDefault="0065124E" w:rsidP="0065124E">
            <w:pPr>
              <w:jc w:val="center"/>
              <w:rPr>
                <w:rFonts w:ascii="VIC" w:hAnsi="VIC"/>
                <w:sz w:val="18"/>
                <w:szCs w:val="18"/>
              </w:rPr>
            </w:pPr>
            <w:r w:rsidRPr="00BF7527">
              <w:rPr>
                <w:rFonts w:ascii="VIC" w:eastAsia="Verdana" w:hAnsi="VIC"/>
                <w:color w:val="000000"/>
                <w:sz w:val="18"/>
                <w:szCs w:val="18"/>
              </w:rPr>
              <w:t>23.1</w:t>
            </w:r>
          </w:p>
        </w:tc>
        <w:tc>
          <w:tcPr>
            <w:tcW w:w="1075" w:type="dxa"/>
            <w:shd w:val="clear" w:color="auto" w:fill="BFCED6"/>
          </w:tcPr>
          <w:p w14:paraId="42A6C033" w14:textId="4CEA0704" w:rsidR="0065124E" w:rsidRPr="00BF031D" w:rsidRDefault="0065124E" w:rsidP="0065124E">
            <w:pPr>
              <w:jc w:val="center"/>
              <w:rPr>
                <w:rFonts w:ascii="VIC" w:hAnsi="VIC"/>
                <w:sz w:val="18"/>
                <w:szCs w:val="18"/>
              </w:rPr>
            </w:pPr>
            <w:r w:rsidRPr="00BF7527">
              <w:rPr>
                <w:rFonts w:ascii="VIC" w:eastAsia="Verdana" w:hAnsi="VIC"/>
                <w:color w:val="000000"/>
                <w:sz w:val="18"/>
                <w:szCs w:val="18"/>
              </w:rPr>
              <w:t>13 %</w:t>
            </w:r>
          </w:p>
        </w:tc>
        <w:tc>
          <w:tcPr>
            <w:tcW w:w="1087" w:type="dxa"/>
            <w:shd w:val="clear" w:color="auto" w:fill="BFCED6"/>
          </w:tcPr>
          <w:p w14:paraId="12282A83" w14:textId="491BF78C" w:rsidR="0065124E" w:rsidRPr="00BF031D" w:rsidRDefault="0065124E" w:rsidP="0065124E">
            <w:pPr>
              <w:jc w:val="center"/>
              <w:rPr>
                <w:rFonts w:ascii="VIC" w:hAnsi="VIC"/>
                <w:sz w:val="18"/>
                <w:szCs w:val="18"/>
              </w:rPr>
            </w:pPr>
            <w:r w:rsidRPr="00BF7527">
              <w:rPr>
                <w:rFonts w:ascii="VIC" w:eastAsia="Verdana" w:hAnsi="VIC"/>
                <w:color w:val="000000"/>
                <w:sz w:val="18"/>
                <w:szCs w:val="18"/>
              </w:rPr>
              <w:t>6 %</w:t>
            </w:r>
          </w:p>
        </w:tc>
        <w:tc>
          <w:tcPr>
            <w:tcW w:w="1063" w:type="dxa"/>
            <w:shd w:val="clear" w:color="auto" w:fill="BFCED6"/>
          </w:tcPr>
          <w:p w14:paraId="29F3B018" w14:textId="50F4A08E" w:rsidR="0065124E" w:rsidRPr="00BF031D" w:rsidRDefault="0065124E" w:rsidP="0065124E">
            <w:pPr>
              <w:jc w:val="center"/>
              <w:rPr>
                <w:rFonts w:ascii="VIC" w:hAnsi="VIC"/>
                <w:sz w:val="18"/>
                <w:szCs w:val="18"/>
              </w:rPr>
            </w:pPr>
            <w:r w:rsidRPr="00BF7527">
              <w:rPr>
                <w:rFonts w:ascii="VIC" w:eastAsia="Verdana" w:hAnsi="VIC"/>
                <w:color w:val="000000"/>
                <w:sz w:val="18"/>
                <w:szCs w:val="18"/>
              </w:rPr>
              <w:t>17 %</w:t>
            </w:r>
          </w:p>
        </w:tc>
        <w:tc>
          <w:tcPr>
            <w:tcW w:w="1075" w:type="dxa"/>
            <w:shd w:val="clear" w:color="auto" w:fill="BFCED6"/>
          </w:tcPr>
          <w:p w14:paraId="04B74DA8" w14:textId="53C05A9A" w:rsidR="0065124E" w:rsidRPr="00BF031D"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BFCED6"/>
          </w:tcPr>
          <w:p w14:paraId="072ADDB5" w14:textId="156098D2" w:rsidR="0065124E" w:rsidRPr="00BF031D" w:rsidRDefault="0065124E" w:rsidP="0065124E">
            <w:pPr>
              <w:jc w:val="center"/>
              <w:rPr>
                <w:rFonts w:ascii="VIC" w:hAnsi="VIC"/>
                <w:sz w:val="18"/>
                <w:szCs w:val="18"/>
              </w:rPr>
            </w:pPr>
            <w:r w:rsidRPr="00BF7527">
              <w:rPr>
                <w:rFonts w:ascii="VIC" w:eastAsia="Verdana" w:hAnsi="VIC"/>
                <w:color w:val="000000"/>
                <w:sz w:val="18"/>
                <w:szCs w:val="18"/>
              </w:rPr>
              <w:t>7.9</w:t>
            </w:r>
          </w:p>
        </w:tc>
        <w:tc>
          <w:tcPr>
            <w:tcW w:w="1075" w:type="dxa"/>
            <w:shd w:val="clear" w:color="auto" w:fill="BFCED6"/>
          </w:tcPr>
          <w:p w14:paraId="12881AA9" w14:textId="35D35FB8" w:rsidR="0065124E" w:rsidRPr="00BF031D" w:rsidRDefault="0065124E" w:rsidP="0065124E">
            <w:pPr>
              <w:jc w:val="center"/>
              <w:rPr>
                <w:rFonts w:ascii="VIC" w:hAnsi="VIC"/>
                <w:sz w:val="18"/>
                <w:szCs w:val="18"/>
              </w:rPr>
            </w:pPr>
            <w:r w:rsidRPr="00BF7527">
              <w:rPr>
                <w:rFonts w:ascii="VIC" w:eastAsia="Verdana" w:hAnsi="VIC"/>
                <w:color w:val="000000"/>
                <w:sz w:val="18"/>
                <w:szCs w:val="18"/>
              </w:rPr>
              <w:t>0.8</w:t>
            </w:r>
          </w:p>
        </w:tc>
        <w:tc>
          <w:tcPr>
            <w:tcW w:w="1075" w:type="dxa"/>
            <w:shd w:val="clear" w:color="auto" w:fill="BFCED6"/>
          </w:tcPr>
          <w:p w14:paraId="0A7377D3" w14:textId="090BEEDD" w:rsidR="0065124E" w:rsidRPr="00BF031D" w:rsidRDefault="0065124E" w:rsidP="0065124E">
            <w:pPr>
              <w:jc w:val="center"/>
              <w:rPr>
                <w:rFonts w:ascii="VIC" w:hAnsi="VIC"/>
                <w:sz w:val="18"/>
                <w:szCs w:val="18"/>
              </w:rPr>
            </w:pPr>
            <w:r w:rsidRPr="00BF7527">
              <w:rPr>
                <w:rFonts w:ascii="VIC" w:eastAsia="Verdana" w:hAnsi="VIC"/>
                <w:color w:val="000000"/>
                <w:sz w:val="18"/>
                <w:szCs w:val="18"/>
              </w:rPr>
              <w:t>68 %</w:t>
            </w:r>
          </w:p>
        </w:tc>
        <w:tc>
          <w:tcPr>
            <w:tcW w:w="1075" w:type="dxa"/>
            <w:shd w:val="clear" w:color="auto" w:fill="BFCED6"/>
          </w:tcPr>
          <w:p w14:paraId="0AC8967F" w14:textId="29D73FAC" w:rsidR="0065124E" w:rsidRPr="00BF031D" w:rsidRDefault="0065124E" w:rsidP="0065124E">
            <w:pPr>
              <w:jc w:val="center"/>
              <w:rPr>
                <w:rFonts w:ascii="VIC" w:hAnsi="VIC"/>
                <w:sz w:val="18"/>
                <w:szCs w:val="18"/>
              </w:rPr>
            </w:pPr>
            <w:r w:rsidRPr="00BF7527">
              <w:rPr>
                <w:rFonts w:ascii="VIC" w:eastAsia="Verdana" w:hAnsi="VIC"/>
                <w:color w:val="000000"/>
                <w:sz w:val="18"/>
                <w:szCs w:val="18"/>
              </w:rPr>
              <w:t>97 %</w:t>
            </w:r>
          </w:p>
        </w:tc>
        <w:tc>
          <w:tcPr>
            <w:tcW w:w="1075" w:type="dxa"/>
            <w:shd w:val="clear" w:color="auto" w:fill="BFCED6"/>
          </w:tcPr>
          <w:p w14:paraId="4C424C7E" w14:textId="41B2637B" w:rsidR="0065124E" w:rsidRPr="00BF031D" w:rsidRDefault="0065124E" w:rsidP="0065124E">
            <w:pPr>
              <w:jc w:val="center"/>
              <w:rPr>
                <w:rFonts w:ascii="VIC" w:hAnsi="VIC"/>
                <w:sz w:val="18"/>
                <w:szCs w:val="18"/>
              </w:rPr>
            </w:pPr>
            <w:r w:rsidRPr="00BF7527">
              <w:rPr>
                <w:rFonts w:ascii="VIC" w:eastAsia="Verdana" w:hAnsi="VIC"/>
                <w:color w:val="000000"/>
                <w:sz w:val="18"/>
                <w:szCs w:val="18"/>
              </w:rPr>
              <w:t>92 %</w:t>
            </w:r>
          </w:p>
        </w:tc>
      </w:tr>
      <w:tr w:rsidR="0065124E" w:rsidRPr="00BF031D" w14:paraId="4796B22C" w14:textId="77777777" w:rsidTr="009D3084">
        <w:trPr>
          <w:trHeight w:val="454"/>
        </w:trPr>
        <w:tc>
          <w:tcPr>
            <w:tcW w:w="1145" w:type="dxa"/>
            <w:vMerge w:val="restart"/>
            <w:shd w:val="clear" w:color="auto" w:fill="auto"/>
          </w:tcPr>
          <w:p w14:paraId="34CFEE97" w14:textId="3CF92483"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Monash Health</w:t>
            </w:r>
          </w:p>
        </w:tc>
        <w:tc>
          <w:tcPr>
            <w:tcW w:w="1701" w:type="dxa"/>
            <w:shd w:val="clear" w:color="auto" w:fill="auto"/>
          </w:tcPr>
          <w:p w14:paraId="2800F6C4" w14:textId="70C25EA2"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Dandenong</w:t>
            </w:r>
          </w:p>
        </w:tc>
        <w:tc>
          <w:tcPr>
            <w:tcW w:w="1074" w:type="dxa"/>
            <w:shd w:val="clear" w:color="auto" w:fill="auto"/>
          </w:tcPr>
          <w:p w14:paraId="480783DC" w14:textId="6BB5699B" w:rsidR="0065124E" w:rsidRPr="00BF031D"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shd w:val="clear" w:color="auto" w:fill="auto"/>
          </w:tcPr>
          <w:p w14:paraId="635A73C6" w14:textId="77777777" w:rsidR="0065124E" w:rsidRPr="00BF031D" w:rsidRDefault="0065124E" w:rsidP="0065124E">
            <w:pPr>
              <w:jc w:val="center"/>
              <w:rPr>
                <w:rFonts w:ascii="VIC" w:hAnsi="VIC"/>
                <w:sz w:val="18"/>
                <w:szCs w:val="18"/>
              </w:rPr>
            </w:pPr>
          </w:p>
        </w:tc>
        <w:tc>
          <w:tcPr>
            <w:tcW w:w="1075" w:type="dxa"/>
            <w:shd w:val="clear" w:color="auto" w:fill="auto"/>
          </w:tcPr>
          <w:p w14:paraId="20185F81" w14:textId="77777777" w:rsidR="0065124E" w:rsidRPr="00BF031D" w:rsidRDefault="0065124E" w:rsidP="0065124E">
            <w:pPr>
              <w:jc w:val="center"/>
              <w:rPr>
                <w:rFonts w:ascii="VIC" w:hAnsi="VIC"/>
                <w:sz w:val="18"/>
                <w:szCs w:val="18"/>
              </w:rPr>
            </w:pPr>
          </w:p>
        </w:tc>
        <w:tc>
          <w:tcPr>
            <w:tcW w:w="1075" w:type="dxa"/>
            <w:shd w:val="clear" w:color="auto" w:fill="auto"/>
          </w:tcPr>
          <w:p w14:paraId="621492E8" w14:textId="77777777" w:rsidR="0065124E" w:rsidRPr="00BF031D" w:rsidRDefault="0065124E" w:rsidP="0065124E">
            <w:pPr>
              <w:jc w:val="center"/>
              <w:rPr>
                <w:rFonts w:ascii="VIC" w:hAnsi="VIC"/>
                <w:sz w:val="18"/>
                <w:szCs w:val="18"/>
              </w:rPr>
            </w:pPr>
          </w:p>
        </w:tc>
        <w:tc>
          <w:tcPr>
            <w:tcW w:w="1087" w:type="dxa"/>
            <w:shd w:val="clear" w:color="auto" w:fill="auto"/>
          </w:tcPr>
          <w:p w14:paraId="4A54AD37" w14:textId="29A149C9" w:rsidR="0065124E" w:rsidRPr="00BF031D" w:rsidRDefault="0065124E" w:rsidP="0065124E">
            <w:pPr>
              <w:jc w:val="center"/>
              <w:rPr>
                <w:rFonts w:ascii="VIC" w:hAnsi="VIC"/>
                <w:sz w:val="18"/>
                <w:szCs w:val="18"/>
              </w:rPr>
            </w:pPr>
            <w:r w:rsidRPr="00BF7527">
              <w:rPr>
                <w:rFonts w:ascii="VIC" w:eastAsia="Verdana" w:hAnsi="VIC"/>
                <w:color w:val="000000"/>
                <w:sz w:val="18"/>
                <w:szCs w:val="18"/>
              </w:rPr>
              <w:t>0 %</w:t>
            </w:r>
          </w:p>
        </w:tc>
        <w:tc>
          <w:tcPr>
            <w:tcW w:w="1063" w:type="dxa"/>
            <w:shd w:val="clear" w:color="auto" w:fill="auto"/>
          </w:tcPr>
          <w:p w14:paraId="2D85F624" w14:textId="2B985BD8" w:rsidR="0065124E" w:rsidRPr="00BF031D" w:rsidRDefault="0065124E" w:rsidP="0065124E">
            <w:pPr>
              <w:jc w:val="center"/>
              <w:rPr>
                <w:rFonts w:ascii="VIC" w:hAnsi="VIC"/>
                <w:sz w:val="18"/>
                <w:szCs w:val="18"/>
              </w:rPr>
            </w:pPr>
            <w:r w:rsidRPr="00BF7527">
              <w:rPr>
                <w:rFonts w:ascii="VIC" w:eastAsia="Verdana" w:hAnsi="VIC"/>
                <w:color w:val="000000"/>
                <w:sz w:val="18"/>
                <w:szCs w:val="18"/>
              </w:rPr>
              <w:t>50 %</w:t>
            </w:r>
          </w:p>
        </w:tc>
        <w:tc>
          <w:tcPr>
            <w:tcW w:w="1075" w:type="dxa"/>
            <w:shd w:val="clear" w:color="auto" w:fill="auto"/>
          </w:tcPr>
          <w:p w14:paraId="074090C8" w14:textId="0F082D50" w:rsidR="0065124E" w:rsidRPr="00BF031D"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auto"/>
          </w:tcPr>
          <w:p w14:paraId="52FF09FE" w14:textId="77777777" w:rsidR="0065124E" w:rsidRPr="00BF031D" w:rsidRDefault="0065124E" w:rsidP="0065124E">
            <w:pPr>
              <w:jc w:val="center"/>
              <w:rPr>
                <w:rFonts w:ascii="VIC" w:hAnsi="VIC"/>
                <w:sz w:val="18"/>
                <w:szCs w:val="18"/>
              </w:rPr>
            </w:pPr>
          </w:p>
        </w:tc>
        <w:tc>
          <w:tcPr>
            <w:tcW w:w="1075" w:type="dxa"/>
            <w:shd w:val="clear" w:color="auto" w:fill="auto"/>
          </w:tcPr>
          <w:p w14:paraId="1D2F3E1A" w14:textId="77777777" w:rsidR="0065124E" w:rsidRPr="00BF031D" w:rsidRDefault="0065124E" w:rsidP="0065124E">
            <w:pPr>
              <w:jc w:val="center"/>
              <w:rPr>
                <w:rFonts w:ascii="VIC" w:hAnsi="VIC"/>
                <w:sz w:val="18"/>
                <w:szCs w:val="18"/>
              </w:rPr>
            </w:pPr>
          </w:p>
        </w:tc>
        <w:tc>
          <w:tcPr>
            <w:tcW w:w="1075" w:type="dxa"/>
            <w:shd w:val="clear" w:color="auto" w:fill="auto"/>
          </w:tcPr>
          <w:p w14:paraId="386E2358" w14:textId="77777777" w:rsidR="0065124E" w:rsidRPr="00BF031D" w:rsidRDefault="0065124E" w:rsidP="0065124E">
            <w:pPr>
              <w:jc w:val="center"/>
              <w:rPr>
                <w:rFonts w:ascii="VIC" w:hAnsi="VIC"/>
                <w:sz w:val="18"/>
                <w:szCs w:val="18"/>
              </w:rPr>
            </w:pPr>
          </w:p>
        </w:tc>
        <w:tc>
          <w:tcPr>
            <w:tcW w:w="1075" w:type="dxa"/>
            <w:shd w:val="clear" w:color="auto" w:fill="auto"/>
          </w:tcPr>
          <w:p w14:paraId="744EADC6" w14:textId="47BF003F" w:rsidR="0065124E" w:rsidRPr="00BF031D"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auto"/>
          </w:tcPr>
          <w:p w14:paraId="096D77B9" w14:textId="77777777" w:rsidR="0065124E" w:rsidRPr="00BF031D" w:rsidRDefault="0065124E" w:rsidP="0065124E">
            <w:pPr>
              <w:jc w:val="center"/>
              <w:rPr>
                <w:rFonts w:ascii="VIC" w:hAnsi="VIC"/>
                <w:sz w:val="18"/>
                <w:szCs w:val="18"/>
              </w:rPr>
            </w:pPr>
          </w:p>
        </w:tc>
      </w:tr>
      <w:tr w:rsidR="0065124E" w:rsidRPr="00BF031D" w14:paraId="7B317A9C" w14:textId="77777777" w:rsidTr="009D3084">
        <w:trPr>
          <w:trHeight w:val="454"/>
        </w:trPr>
        <w:tc>
          <w:tcPr>
            <w:tcW w:w="1145" w:type="dxa"/>
            <w:vMerge/>
            <w:shd w:val="clear" w:color="auto" w:fill="auto"/>
          </w:tcPr>
          <w:p w14:paraId="7B3E2423" w14:textId="77777777" w:rsidR="0065124E" w:rsidRPr="00BF031D" w:rsidRDefault="0065124E" w:rsidP="0065124E">
            <w:pPr>
              <w:pStyle w:val="DHHStabletext"/>
              <w:spacing w:before="0" w:after="0"/>
              <w:rPr>
                <w:rFonts w:ascii="VIC" w:hAnsi="VIC"/>
                <w:sz w:val="18"/>
                <w:szCs w:val="18"/>
              </w:rPr>
            </w:pPr>
          </w:p>
        </w:tc>
        <w:tc>
          <w:tcPr>
            <w:tcW w:w="1701" w:type="dxa"/>
            <w:shd w:val="clear" w:color="auto" w:fill="auto"/>
          </w:tcPr>
          <w:p w14:paraId="19FD50F9" w14:textId="1AB8A1C9"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Middle South (Monash Aged)</w:t>
            </w:r>
          </w:p>
        </w:tc>
        <w:tc>
          <w:tcPr>
            <w:tcW w:w="1074" w:type="dxa"/>
            <w:shd w:val="clear" w:color="auto" w:fill="auto"/>
          </w:tcPr>
          <w:p w14:paraId="2618167B" w14:textId="38236227" w:rsidR="0065124E" w:rsidRPr="00BF031D" w:rsidRDefault="0065124E" w:rsidP="0065124E">
            <w:pPr>
              <w:jc w:val="center"/>
              <w:rPr>
                <w:rFonts w:ascii="VIC" w:hAnsi="VIC"/>
                <w:sz w:val="18"/>
                <w:szCs w:val="18"/>
              </w:rPr>
            </w:pPr>
            <w:r w:rsidRPr="00BF7527">
              <w:rPr>
                <w:rFonts w:ascii="VIC" w:eastAsia="Verdana" w:hAnsi="VIC"/>
                <w:color w:val="000000"/>
                <w:sz w:val="18"/>
                <w:szCs w:val="18"/>
              </w:rPr>
              <w:t>7.0</w:t>
            </w:r>
          </w:p>
        </w:tc>
        <w:tc>
          <w:tcPr>
            <w:tcW w:w="1075" w:type="dxa"/>
            <w:shd w:val="clear" w:color="auto" w:fill="auto"/>
          </w:tcPr>
          <w:p w14:paraId="0523451A" w14:textId="40794C9B" w:rsidR="0065124E" w:rsidRPr="00BF031D" w:rsidRDefault="0065124E" w:rsidP="0065124E">
            <w:pPr>
              <w:jc w:val="center"/>
              <w:rPr>
                <w:rFonts w:ascii="VIC" w:hAnsi="VIC"/>
                <w:sz w:val="18"/>
                <w:szCs w:val="18"/>
              </w:rPr>
            </w:pPr>
            <w:r w:rsidRPr="00BF7527">
              <w:rPr>
                <w:rFonts w:ascii="VIC" w:eastAsia="Verdana" w:hAnsi="VIC"/>
                <w:color w:val="000000"/>
                <w:sz w:val="18"/>
                <w:szCs w:val="18"/>
              </w:rPr>
              <w:t>95 %</w:t>
            </w:r>
          </w:p>
        </w:tc>
        <w:tc>
          <w:tcPr>
            <w:tcW w:w="1075" w:type="dxa"/>
            <w:shd w:val="clear" w:color="auto" w:fill="auto"/>
          </w:tcPr>
          <w:p w14:paraId="351EB6CF" w14:textId="087CB95E" w:rsidR="0065124E" w:rsidRPr="00BF031D" w:rsidRDefault="0065124E" w:rsidP="0065124E">
            <w:pPr>
              <w:jc w:val="center"/>
              <w:rPr>
                <w:rFonts w:ascii="VIC" w:hAnsi="VIC"/>
                <w:sz w:val="18"/>
                <w:szCs w:val="18"/>
              </w:rPr>
            </w:pPr>
            <w:r w:rsidRPr="00BF7527">
              <w:rPr>
                <w:rFonts w:ascii="VIC" w:eastAsia="Verdana" w:hAnsi="VIC"/>
                <w:color w:val="000000"/>
                <w:sz w:val="18"/>
                <w:szCs w:val="18"/>
              </w:rPr>
              <w:t>21.3</w:t>
            </w:r>
          </w:p>
        </w:tc>
        <w:tc>
          <w:tcPr>
            <w:tcW w:w="1075" w:type="dxa"/>
            <w:shd w:val="clear" w:color="auto" w:fill="auto"/>
          </w:tcPr>
          <w:p w14:paraId="7657FE29" w14:textId="33E00392" w:rsidR="0065124E" w:rsidRPr="00BF031D" w:rsidRDefault="0065124E" w:rsidP="0065124E">
            <w:pPr>
              <w:jc w:val="center"/>
              <w:rPr>
                <w:rFonts w:ascii="VIC" w:hAnsi="VIC"/>
                <w:sz w:val="18"/>
                <w:szCs w:val="18"/>
              </w:rPr>
            </w:pPr>
            <w:r w:rsidRPr="00BF7527">
              <w:rPr>
                <w:rFonts w:ascii="VIC" w:eastAsia="Verdana" w:hAnsi="VIC"/>
                <w:color w:val="000000"/>
                <w:sz w:val="18"/>
                <w:szCs w:val="18"/>
              </w:rPr>
              <w:t>28 %</w:t>
            </w:r>
          </w:p>
        </w:tc>
        <w:tc>
          <w:tcPr>
            <w:tcW w:w="1087" w:type="dxa"/>
            <w:shd w:val="clear" w:color="auto" w:fill="auto"/>
          </w:tcPr>
          <w:p w14:paraId="28BE585E" w14:textId="33F5C943" w:rsidR="0065124E" w:rsidRPr="00BF031D" w:rsidRDefault="0065124E" w:rsidP="0065124E">
            <w:pPr>
              <w:jc w:val="center"/>
              <w:rPr>
                <w:rFonts w:ascii="VIC" w:hAnsi="VIC"/>
                <w:sz w:val="18"/>
                <w:szCs w:val="18"/>
              </w:rPr>
            </w:pPr>
            <w:r w:rsidRPr="00BF7527">
              <w:rPr>
                <w:rFonts w:ascii="VIC" w:eastAsia="Verdana" w:hAnsi="VIC"/>
                <w:color w:val="000000"/>
                <w:sz w:val="18"/>
                <w:szCs w:val="18"/>
              </w:rPr>
              <w:t>2 %</w:t>
            </w:r>
          </w:p>
        </w:tc>
        <w:tc>
          <w:tcPr>
            <w:tcW w:w="1063" w:type="dxa"/>
            <w:shd w:val="clear" w:color="auto" w:fill="auto"/>
          </w:tcPr>
          <w:p w14:paraId="2950D029" w14:textId="7736E548" w:rsidR="0065124E" w:rsidRPr="00BF031D" w:rsidRDefault="0065124E" w:rsidP="0065124E">
            <w:pPr>
              <w:jc w:val="center"/>
              <w:rPr>
                <w:rFonts w:ascii="VIC" w:hAnsi="VIC"/>
                <w:sz w:val="18"/>
                <w:szCs w:val="18"/>
              </w:rPr>
            </w:pPr>
            <w:r w:rsidRPr="00BF7527">
              <w:rPr>
                <w:rFonts w:ascii="VIC" w:eastAsia="Verdana" w:hAnsi="VIC"/>
                <w:color w:val="000000"/>
                <w:sz w:val="18"/>
                <w:szCs w:val="18"/>
              </w:rPr>
              <w:t>34 %</w:t>
            </w:r>
          </w:p>
        </w:tc>
        <w:tc>
          <w:tcPr>
            <w:tcW w:w="1075" w:type="dxa"/>
            <w:shd w:val="clear" w:color="auto" w:fill="auto"/>
          </w:tcPr>
          <w:p w14:paraId="1C4E8FB6" w14:textId="1006E21C" w:rsidR="0065124E" w:rsidRPr="00BF031D"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auto"/>
          </w:tcPr>
          <w:p w14:paraId="0CEBF24A" w14:textId="731D15D3" w:rsidR="0065124E" w:rsidRPr="00BF031D" w:rsidRDefault="0065124E" w:rsidP="0065124E">
            <w:pPr>
              <w:jc w:val="center"/>
              <w:rPr>
                <w:rFonts w:ascii="VIC" w:hAnsi="VIC"/>
                <w:sz w:val="18"/>
                <w:szCs w:val="18"/>
              </w:rPr>
            </w:pPr>
            <w:r w:rsidRPr="00BF7527">
              <w:rPr>
                <w:rFonts w:ascii="VIC" w:eastAsia="Verdana" w:hAnsi="VIC"/>
                <w:color w:val="000000"/>
                <w:sz w:val="18"/>
                <w:szCs w:val="18"/>
              </w:rPr>
              <w:t>8.7</w:t>
            </w:r>
          </w:p>
        </w:tc>
        <w:tc>
          <w:tcPr>
            <w:tcW w:w="1075" w:type="dxa"/>
            <w:shd w:val="clear" w:color="auto" w:fill="auto"/>
          </w:tcPr>
          <w:p w14:paraId="52BACB10" w14:textId="3DDB2EB2" w:rsidR="0065124E" w:rsidRPr="00BF031D" w:rsidRDefault="0065124E" w:rsidP="0065124E">
            <w:pPr>
              <w:jc w:val="center"/>
              <w:rPr>
                <w:rFonts w:ascii="VIC" w:hAnsi="VIC"/>
                <w:sz w:val="18"/>
                <w:szCs w:val="18"/>
              </w:rPr>
            </w:pPr>
            <w:r w:rsidRPr="00BF7527">
              <w:rPr>
                <w:rFonts w:ascii="VIC" w:eastAsia="Verdana" w:hAnsi="VIC"/>
                <w:color w:val="000000"/>
                <w:sz w:val="18"/>
                <w:szCs w:val="18"/>
              </w:rPr>
              <w:t>0.1</w:t>
            </w:r>
          </w:p>
        </w:tc>
        <w:tc>
          <w:tcPr>
            <w:tcW w:w="1075" w:type="dxa"/>
            <w:shd w:val="clear" w:color="auto" w:fill="auto"/>
          </w:tcPr>
          <w:p w14:paraId="630CF7E8" w14:textId="1C9B4400" w:rsidR="0065124E" w:rsidRPr="00BF031D" w:rsidRDefault="0065124E" w:rsidP="0065124E">
            <w:pPr>
              <w:jc w:val="center"/>
              <w:rPr>
                <w:rFonts w:ascii="VIC" w:hAnsi="VIC"/>
                <w:sz w:val="18"/>
                <w:szCs w:val="18"/>
              </w:rPr>
            </w:pPr>
            <w:r w:rsidRPr="00BF7527">
              <w:rPr>
                <w:rFonts w:ascii="VIC" w:eastAsia="Verdana" w:hAnsi="VIC"/>
                <w:color w:val="000000"/>
                <w:sz w:val="18"/>
                <w:szCs w:val="18"/>
              </w:rPr>
              <w:t>75 %</w:t>
            </w:r>
          </w:p>
        </w:tc>
        <w:tc>
          <w:tcPr>
            <w:tcW w:w="1075" w:type="dxa"/>
            <w:shd w:val="clear" w:color="auto" w:fill="auto"/>
          </w:tcPr>
          <w:p w14:paraId="038F69FC" w14:textId="0B8C659B" w:rsidR="0065124E" w:rsidRPr="00BF031D" w:rsidRDefault="0065124E" w:rsidP="0065124E">
            <w:pPr>
              <w:jc w:val="center"/>
              <w:rPr>
                <w:rFonts w:ascii="VIC" w:hAnsi="VIC"/>
                <w:sz w:val="18"/>
                <w:szCs w:val="18"/>
              </w:rPr>
            </w:pPr>
            <w:r w:rsidRPr="00BF7527">
              <w:rPr>
                <w:rFonts w:ascii="VIC" w:eastAsia="Verdana" w:hAnsi="VIC"/>
                <w:color w:val="000000"/>
                <w:sz w:val="18"/>
                <w:szCs w:val="18"/>
              </w:rPr>
              <w:t>95 %</w:t>
            </w:r>
          </w:p>
        </w:tc>
        <w:tc>
          <w:tcPr>
            <w:tcW w:w="1075" w:type="dxa"/>
            <w:shd w:val="clear" w:color="auto" w:fill="auto"/>
          </w:tcPr>
          <w:p w14:paraId="2FE18ED6" w14:textId="2422A83A" w:rsidR="0065124E" w:rsidRPr="00BF031D" w:rsidRDefault="0065124E" w:rsidP="0065124E">
            <w:pPr>
              <w:jc w:val="center"/>
              <w:rPr>
                <w:rFonts w:ascii="VIC" w:hAnsi="VIC"/>
                <w:sz w:val="18"/>
                <w:szCs w:val="18"/>
              </w:rPr>
            </w:pPr>
            <w:r w:rsidRPr="00BF7527">
              <w:rPr>
                <w:rFonts w:ascii="VIC" w:eastAsia="Verdana" w:hAnsi="VIC"/>
                <w:color w:val="000000"/>
                <w:sz w:val="18"/>
                <w:szCs w:val="18"/>
              </w:rPr>
              <w:t>98 %</w:t>
            </w:r>
          </w:p>
        </w:tc>
      </w:tr>
      <w:tr w:rsidR="0065124E" w:rsidRPr="00BF031D" w14:paraId="4D6ABAAE" w14:textId="77777777" w:rsidTr="009D3084">
        <w:trPr>
          <w:trHeight w:val="454"/>
        </w:trPr>
        <w:tc>
          <w:tcPr>
            <w:tcW w:w="1145" w:type="dxa"/>
            <w:vMerge/>
            <w:shd w:val="clear" w:color="auto" w:fill="auto"/>
          </w:tcPr>
          <w:p w14:paraId="3439AED4" w14:textId="77777777" w:rsidR="0065124E" w:rsidRPr="00BF031D" w:rsidRDefault="0065124E" w:rsidP="0065124E">
            <w:pPr>
              <w:pStyle w:val="DHHStabletext"/>
              <w:spacing w:before="0" w:after="0"/>
              <w:rPr>
                <w:rFonts w:ascii="VIC" w:hAnsi="VIC"/>
                <w:sz w:val="18"/>
                <w:szCs w:val="18"/>
              </w:rPr>
            </w:pPr>
          </w:p>
        </w:tc>
        <w:tc>
          <w:tcPr>
            <w:tcW w:w="1701" w:type="dxa"/>
            <w:shd w:val="clear" w:color="auto" w:fill="auto"/>
          </w:tcPr>
          <w:p w14:paraId="23F4D41B" w14:textId="6FDCBBE9"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TOTAL</w:t>
            </w:r>
          </w:p>
        </w:tc>
        <w:tc>
          <w:tcPr>
            <w:tcW w:w="1074" w:type="dxa"/>
            <w:shd w:val="clear" w:color="auto" w:fill="auto"/>
          </w:tcPr>
          <w:p w14:paraId="0279E887" w14:textId="0221D714" w:rsidR="0065124E" w:rsidRPr="00BF031D" w:rsidRDefault="0065124E" w:rsidP="0065124E">
            <w:pPr>
              <w:jc w:val="center"/>
              <w:rPr>
                <w:rFonts w:ascii="VIC" w:hAnsi="VIC"/>
                <w:sz w:val="18"/>
                <w:szCs w:val="18"/>
              </w:rPr>
            </w:pPr>
            <w:r w:rsidRPr="00BF7527">
              <w:rPr>
                <w:rFonts w:ascii="VIC" w:eastAsia="Verdana" w:hAnsi="VIC"/>
                <w:color w:val="000000"/>
                <w:sz w:val="18"/>
                <w:szCs w:val="18"/>
              </w:rPr>
              <w:t>2.8</w:t>
            </w:r>
          </w:p>
        </w:tc>
        <w:tc>
          <w:tcPr>
            <w:tcW w:w="1075" w:type="dxa"/>
            <w:shd w:val="clear" w:color="auto" w:fill="auto"/>
          </w:tcPr>
          <w:p w14:paraId="19DA38EB" w14:textId="6744D070" w:rsidR="0065124E" w:rsidRPr="00BF031D" w:rsidRDefault="0065124E" w:rsidP="0065124E">
            <w:pPr>
              <w:jc w:val="center"/>
              <w:rPr>
                <w:rFonts w:ascii="VIC" w:hAnsi="VIC"/>
                <w:sz w:val="18"/>
                <w:szCs w:val="18"/>
              </w:rPr>
            </w:pPr>
            <w:r w:rsidRPr="00BF7527">
              <w:rPr>
                <w:rFonts w:ascii="VIC" w:eastAsia="Verdana" w:hAnsi="VIC"/>
                <w:color w:val="000000"/>
                <w:sz w:val="18"/>
                <w:szCs w:val="18"/>
              </w:rPr>
              <w:t>95 %</w:t>
            </w:r>
          </w:p>
        </w:tc>
        <w:tc>
          <w:tcPr>
            <w:tcW w:w="1075" w:type="dxa"/>
            <w:shd w:val="clear" w:color="auto" w:fill="auto"/>
          </w:tcPr>
          <w:p w14:paraId="63C659DA" w14:textId="55FD3F0A" w:rsidR="0065124E" w:rsidRPr="00BF031D" w:rsidRDefault="0065124E" w:rsidP="0065124E">
            <w:pPr>
              <w:jc w:val="center"/>
              <w:rPr>
                <w:rFonts w:ascii="VIC" w:hAnsi="VIC"/>
                <w:sz w:val="18"/>
                <w:szCs w:val="18"/>
              </w:rPr>
            </w:pPr>
            <w:r w:rsidRPr="00BF7527">
              <w:rPr>
                <w:rFonts w:ascii="VIC" w:eastAsia="Verdana" w:hAnsi="VIC"/>
                <w:color w:val="000000"/>
                <w:sz w:val="18"/>
                <w:szCs w:val="18"/>
              </w:rPr>
              <w:t>21.3</w:t>
            </w:r>
          </w:p>
        </w:tc>
        <w:tc>
          <w:tcPr>
            <w:tcW w:w="1075" w:type="dxa"/>
            <w:shd w:val="clear" w:color="auto" w:fill="auto"/>
          </w:tcPr>
          <w:p w14:paraId="4B71DFCE" w14:textId="6F68581E" w:rsidR="0065124E" w:rsidRPr="00BF031D" w:rsidRDefault="0065124E" w:rsidP="0065124E">
            <w:pPr>
              <w:jc w:val="center"/>
              <w:rPr>
                <w:rFonts w:ascii="VIC" w:hAnsi="VIC"/>
                <w:sz w:val="18"/>
                <w:szCs w:val="18"/>
              </w:rPr>
            </w:pPr>
            <w:r w:rsidRPr="00BF7527">
              <w:rPr>
                <w:rFonts w:ascii="VIC" w:eastAsia="Verdana" w:hAnsi="VIC"/>
                <w:color w:val="000000"/>
                <w:sz w:val="18"/>
                <w:szCs w:val="18"/>
              </w:rPr>
              <w:t>28 %</w:t>
            </w:r>
          </w:p>
        </w:tc>
        <w:tc>
          <w:tcPr>
            <w:tcW w:w="1087" w:type="dxa"/>
            <w:shd w:val="clear" w:color="auto" w:fill="auto"/>
          </w:tcPr>
          <w:p w14:paraId="6AA3B2FB" w14:textId="11096FE9" w:rsidR="0065124E" w:rsidRPr="00BF031D" w:rsidRDefault="0065124E" w:rsidP="0065124E">
            <w:pPr>
              <w:jc w:val="center"/>
              <w:rPr>
                <w:rFonts w:ascii="VIC" w:hAnsi="VIC"/>
                <w:sz w:val="18"/>
                <w:szCs w:val="18"/>
              </w:rPr>
            </w:pPr>
            <w:r w:rsidRPr="00BF7527">
              <w:rPr>
                <w:rFonts w:ascii="VIC" w:eastAsia="Verdana" w:hAnsi="VIC"/>
                <w:color w:val="000000"/>
                <w:sz w:val="18"/>
                <w:szCs w:val="18"/>
              </w:rPr>
              <w:t>2 %</w:t>
            </w:r>
          </w:p>
        </w:tc>
        <w:tc>
          <w:tcPr>
            <w:tcW w:w="1063" w:type="dxa"/>
            <w:shd w:val="clear" w:color="auto" w:fill="auto"/>
          </w:tcPr>
          <w:p w14:paraId="25163C86" w14:textId="3216FE9C" w:rsidR="0065124E" w:rsidRPr="00BF031D" w:rsidRDefault="0065124E" w:rsidP="0065124E">
            <w:pPr>
              <w:jc w:val="center"/>
              <w:rPr>
                <w:rFonts w:ascii="VIC" w:hAnsi="VIC"/>
                <w:sz w:val="18"/>
                <w:szCs w:val="18"/>
              </w:rPr>
            </w:pPr>
            <w:r w:rsidRPr="00BF7527">
              <w:rPr>
                <w:rFonts w:ascii="VIC" w:eastAsia="Verdana" w:hAnsi="VIC"/>
                <w:color w:val="000000"/>
                <w:sz w:val="18"/>
                <w:szCs w:val="18"/>
              </w:rPr>
              <w:t>35 %</w:t>
            </w:r>
          </w:p>
        </w:tc>
        <w:tc>
          <w:tcPr>
            <w:tcW w:w="1075" w:type="dxa"/>
            <w:shd w:val="clear" w:color="auto" w:fill="auto"/>
          </w:tcPr>
          <w:p w14:paraId="611CA563" w14:textId="37326CA8" w:rsidR="0065124E" w:rsidRPr="00BF031D"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auto"/>
          </w:tcPr>
          <w:p w14:paraId="2301B676" w14:textId="247F3589" w:rsidR="0065124E" w:rsidRPr="00BF031D" w:rsidRDefault="0065124E" w:rsidP="0065124E">
            <w:pPr>
              <w:jc w:val="center"/>
              <w:rPr>
                <w:rFonts w:ascii="VIC" w:hAnsi="VIC"/>
                <w:sz w:val="18"/>
                <w:szCs w:val="18"/>
              </w:rPr>
            </w:pPr>
            <w:r w:rsidRPr="00BF7527">
              <w:rPr>
                <w:rFonts w:ascii="VIC" w:eastAsia="Verdana" w:hAnsi="VIC"/>
                <w:color w:val="000000"/>
                <w:sz w:val="18"/>
                <w:szCs w:val="18"/>
              </w:rPr>
              <w:t>8.7</w:t>
            </w:r>
          </w:p>
        </w:tc>
        <w:tc>
          <w:tcPr>
            <w:tcW w:w="1075" w:type="dxa"/>
            <w:shd w:val="clear" w:color="auto" w:fill="auto"/>
          </w:tcPr>
          <w:p w14:paraId="13C18B23" w14:textId="3F358DB4" w:rsidR="0065124E" w:rsidRPr="00BF031D" w:rsidRDefault="0065124E" w:rsidP="0065124E">
            <w:pPr>
              <w:jc w:val="center"/>
              <w:rPr>
                <w:rFonts w:ascii="VIC" w:hAnsi="VIC"/>
                <w:sz w:val="18"/>
                <w:szCs w:val="18"/>
              </w:rPr>
            </w:pPr>
            <w:r w:rsidRPr="00BF7527">
              <w:rPr>
                <w:rFonts w:ascii="VIC" w:eastAsia="Verdana" w:hAnsi="VIC"/>
                <w:color w:val="000000"/>
                <w:sz w:val="18"/>
                <w:szCs w:val="18"/>
              </w:rPr>
              <w:t>0.1</w:t>
            </w:r>
          </w:p>
        </w:tc>
        <w:tc>
          <w:tcPr>
            <w:tcW w:w="1075" w:type="dxa"/>
            <w:shd w:val="clear" w:color="auto" w:fill="auto"/>
          </w:tcPr>
          <w:p w14:paraId="03036F06" w14:textId="048A106E" w:rsidR="0065124E" w:rsidRPr="00BF031D" w:rsidRDefault="0065124E" w:rsidP="0065124E">
            <w:pPr>
              <w:jc w:val="center"/>
              <w:rPr>
                <w:rFonts w:ascii="VIC" w:hAnsi="VIC"/>
                <w:sz w:val="18"/>
                <w:szCs w:val="18"/>
              </w:rPr>
            </w:pPr>
            <w:r w:rsidRPr="00BF7527">
              <w:rPr>
                <w:rFonts w:ascii="VIC" w:eastAsia="Verdana" w:hAnsi="VIC"/>
                <w:color w:val="000000"/>
                <w:sz w:val="18"/>
                <w:szCs w:val="18"/>
              </w:rPr>
              <w:t>75 %</w:t>
            </w:r>
          </w:p>
        </w:tc>
        <w:tc>
          <w:tcPr>
            <w:tcW w:w="1075" w:type="dxa"/>
            <w:shd w:val="clear" w:color="auto" w:fill="auto"/>
          </w:tcPr>
          <w:p w14:paraId="35C6DA39" w14:textId="3FA4FDDD" w:rsidR="0065124E" w:rsidRPr="00BF031D" w:rsidRDefault="0065124E" w:rsidP="0065124E">
            <w:pPr>
              <w:jc w:val="center"/>
              <w:rPr>
                <w:rFonts w:ascii="VIC" w:hAnsi="VIC"/>
                <w:sz w:val="18"/>
                <w:szCs w:val="18"/>
              </w:rPr>
            </w:pPr>
            <w:r w:rsidRPr="00BF7527">
              <w:rPr>
                <w:rFonts w:ascii="VIC" w:eastAsia="Verdana" w:hAnsi="VIC"/>
                <w:color w:val="000000"/>
                <w:sz w:val="18"/>
                <w:szCs w:val="18"/>
              </w:rPr>
              <w:t>95 %</w:t>
            </w:r>
          </w:p>
        </w:tc>
        <w:tc>
          <w:tcPr>
            <w:tcW w:w="1075" w:type="dxa"/>
            <w:shd w:val="clear" w:color="auto" w:fill="auto"/>
          </w:tcPr>
          <w:p w14:paraId="28AE9A85" w14:textId="37ABE013" w:rsidR="0065124E" w:rsidRPr="00BF031D" w:rsidRDefault="0065124E" w:rsidP="0065124E">
            <w:pPr>
              <w:jc w:val="center"/>
              <w:rPr>
                <w:rFonts w:ascii="VIC" w:hAnsi="VIC"/>
                <w:sz w:val="18"/>
                <w:szCs w:val="18"/>
              </w:rPr>
            </w:pPr>
            <w:r w:rsidRPr="00BF7527">
              <w:rPr>
                <w:rFonts w:ascii="VIC" w:eastAsia="Verdana" w:hAnsi="VIC"/>
                <w:color w:val="000000"/>
                <w:sz w:val="18"/>
                <w:szCs w:val="18"/>
              </w:rPr>
              <w:t>98 %</w:t>
            </w:r>
          </w:p>
        </w:tc>
      </w:tr>
      <w:tr w:rsidR="0065124E" w:rsidRPr="00BF031D" w14:paraId="5FAAF153" w14:textId="77777777" w:rsidTr="009D3084">
        <w:trPr>
          <w:trHeight w:val="454"/>
        </w:trPr>
        <w:tc>
          <w:tcPr>
            <w:tcW w:w="1145" w:type="dxa"/>
            <w:shd w:val="clear" w:color="auto" w:fill="BFCED6"/>
          </w:tcPr>
          <w:p w14:paraId="1288814D" w14:textId="00032489"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Peninsula Health</w:t>
            </w:r>
          </w:p>
        </w:tc>
        <w:tc>
          <w:tcPr>
            <w:tcW w:w="1701" w:type="dxa"/>
            <w:shd w:val="clear" w:color="auto" w:fill="BFCED6"/>
          </w:tcPr>
          <w:p w14:paraId="19D52384" w14:textId="126F32A9"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Peninsula</w:t>
            </w:r>
          </w:p>
        </w:tc>
        <w:tc>
          <w:tcPr>
            <w:tcW w:w="1074" w:type="dxa"/>
            <w:shd w:val="clear" w:color="auto" w:fill="BFCED6"/>
          </w:tcPr>
          <w:p w14:paraId="20C04FCE" w14:textId="4EF744C3" w:rsidR="0065124E" w:rsidRPr="00BF031D" w:rsidRDefault="0065124E" w:rsidP="0065124E">
            <w:pPr>
              <w:jc w:val="center"/>
              <w:rPr>
                <w:rFonts w:ascii="VIC" w:hAnsi="VIC"/>
                <w:sz w:val="18"/>
                <w:szCs w:val="18"/>
              </w:rPr>
            </w:pPr>
            <w:r w:rsidRPr="00BF7527">
              <w:rPr>
                <w:rFonts w:ascii="VIC" w:eastAsia="Verdana" w:hAnsi="VIC"/>
                <w:color w:val="000000"/>
                <w:sz w:val="18"/>
                <w:szCs w:val="18"/>
              </w:rPr>
              <w:t>2.3</w:t>
            </w:r>
          </w:p>
        </w:tc>
        <w:tc>
          <w:tcPr>
            <w:tcW w:w="1075" w:type="dxa"/>
            <w:shd w:val="clear" w:color="auto" w:fill="BFCED6"/>
          </w:tcPr>
          <w:p w14:paraId="0CC244F1" w14:textId="7F15DA58" w:rsidR="0065124E" w:rsidRPr="00BF031D" w:rsidRDefault="0065124E" w:rsidP="0065124E">
            <w:pPr>
              <w:jc w:val="center"/>
              <w:rPr>
                <w:rFonts w:ascii="VIC" w:hAnsi="VIC"/>
                <w:sz w:val="18"/>
                <w:szCs w:val="18"/>
              </w:rPr>
            </w:pPr>
            <w:r w:rsidRPr="00BF7527">
              <w:rPr>
                <w:rFonts w:ascii="VIC" w:eastAsia="Verdana" w:hAnsi="VIC"/>
                <w:color w:val="000000"/>
                <w:sz w:val="18"/>
                <w:szCs w:val="18"/>
              </w:rPr>
              <w:t>89 %</w:t>
            </w:r>
          </w:p>
        </w:tc>
        <w:tc>
          <w:tcPr>
            <w:tcW w:w="1075" w:type="dxa"/>
            <w:shd w:val="clear" w:color="auto" w:fill="BFCED6"/>
          </w:tcPr>
          <w:p w14:paraId="13DB8062" w14:textId="046660E7" w:rsidR="0065124E" w:rsidRPr="00BF031D" w:rsidRDefault="0065124E" w:rsidP="0065124E">
            <w:pPr>
              <w:jc w:val="center"/>
              <w:rPr>
                <w:rFonts w:ascii="VIC" w:hAnsi="VIC"/>
                <w:sz w:val="18"/>
                <w:szCs w:val="18"/>
              </w:rPr>
            </w:pPr>
            <w:r w:rsidRPr="00BF7527">
              <w:rPr>
                <w:rFonts w:ascii="VIC" w:eastAsia="Verdana" w:hAnsi="VIC"/>
                <w:color w:val="000000"/>
                <w:sz w:val="18"/>
                <w:szCs w:val="18"/>
              </w:rPr>
              <w:t>18.1</w:t>
            </w:r>
          </w:p>
        </w:tc>
        <w:tc>
          <w:tcPr>
            <w:tcW w:w="1075" w:type="dxa"/>
            <w:shd w:val="clear" w:color="auto" w:fill="BFCED6"/>
          </w:tcPr>
          <w:p w14:paraId="66D8F73B" w14:textId="66A02601" w:rsidR="0065124E" w:rsidRPr="00BF031D" w:rsidRDefault="0065124E" w:rsidP="0065124E">
            <w:pPr>
              <w:jc w:val="center"/>
              <w:rPr>
                <w:rFonts w:ascii="VIC" w:hAnsi="VIC"/>
                <w:sz w:val="18"/>
                <w:szCs w:val="18"/>
              </w:rPr>
            </w:pPr>
            <w:r w:rsidRPr="00BF7527">
              <w:rPr>
                <w:rFonts w:ascii="VIC" w:eastAsia="Verdana" w:hAnsi="VIC"/>
                <w:color w:val="000000"/>
                <w:sz w:val="18"/>
                <w:szCs w:val="18"/>
              </w:rPr>
              <w:t>8 %</w:t>
            </w:r>
          </w:p>
        </w:tc>
        <w:tc>
          <w:tcPr>
            <w:tcW w:w="1087" w:type="dxa"/>
            <w:shd w:val="clear" w:color="auto" w:fill="BFCED6"/>
          </w:tcPr>
          <w:p w14:paraId="2C918526" w14:textId="28DED506" w:rsidR="0065124E" w:rsidRPr="00BF031D" w:rsidRDefault="0065124E" w:rsidP="0065124E">
            <w:pPr>
              <w:jc w:val="center"/>
              <w:rPr>
                <w:rFonts w:ascii="VIC" w:hAnsi="VIC"/>
                <w:sz w:val="18"/>
                <w:szCs w:val="18"/>
              </w:rPr>
            </w:pPr>
            <w:r w:rsidRPr="00BF7527">
              <w:rPr>
                <w:rFonts w:ascii="VIC" w:eastAsia="Verdana" w:hAnsi="VIC"/>
                <w:color w:val="000000"/>
                <w:sz w:val="18"/>
                <w:szCs w:val="18"/>
              </w:rPr>
              <w:t>8 %</w:t>
            </w:r>
          </w:p>
        </w:tc>
        <w:tc>
          <w:tcPr>
            <w:tcW w:w="1063" w:type="dxa"/>
            <w:shd w:val="clear" w:color="auto" w:fill="BFCED6"/>
          </w:tcPr>
          <w:p w14:paraId="65ADE02A" w14:textId="079F06CC" w:rsidR="0065124E" w:rsidRPr="00BF031D" w:rsidRDefault="0065124E" w:rsidP="0065124E">
            <w:pPr>
              <w:jc w:val="center"/>
              <w:rPr>
                <w:rFonts w:ascii="VIC" w:hAnsi="VIC"/>
                <w:sz w:val="18"/>
                <w:szCs w:val="18"/>
              </w:rPr>
            </w:pPr>
            <w:r w:rsidRPr="00BF7527">
              <w:rPr>
                <w:rFonts w:ascii="VIC" w:eastAsia="Verdana" w:hAnsi="VIC"/>
                <w:color w:val="000000"/>
                <w:sz w:val="18"/>
                <w:szCs w:val="18"/>
              </w:rPr>
              <w:t>41 %</w:t>
            </w:r>
          </w:p>
        </w:tc>
        <w:tc>
          <w:tcPr>
            <w:tcW w:w="1075" w:type="dxa"/>
            <w:shd w:val="clear" w:color="auto" w:fill="BFCED6"/>
          </w:tcPr>
          <w:p w14:paraId="5A7D9189" w14:textId="7AD47BC0" w:rsidR="0065124E" w:rsidRPr="00BF031D" w:rsidRDefault="0065124E" w:rsidP="0065124E">
            <w:pPr>
              <w:jc w:val="center"/>
              <w:rPr>
                <w:rFonts w:ascii="VIC" w:hAnsi="VIC"/>
                <w:sz w:val="18"/>
                <w:szCs w:val="18"/>
              </w:rPr>
            </w:pPr>
            <w:r w:rsidRPr="00BF7527">
              <w:rPr>
                <w:rFonts w:ascii="VIC" w:eastAsia="Verdana" w:hAnsi="VIC"/>
                <w:color w:val="000000"/>
                <w:sz w:val="18"/>
                <w:szCs w:val="18"/>
              </w:rPr>
              <w:t>99 %</w:t>
            </w:r>
          </w:p>
        </w:tc>
        <w:tc>
          <w:tcPr>
            <w:tcW w:w="1075" w:type="dxa"/>
            <w:shd w:val="clear" w:color="auto" w:fill="BFCED6"/>
          </w:tcPr>
          <w:p w14:paraId="1E450C4A" w14:textId="449C6511" w:rsidR="0065124E" w:rsidRPr="00BF031D" w:rsidRDefault="0065124E" w:rsidP="0065124E">
            <w:pPr>
              <w:jc w:val="center"/>
              <w:rPr>
                <w:rFonts w:ascii="VIC" w:hAnsi="VIC"/>
                <w:sz w:val="18"/>
                <w:szCs w:val="18"/>
              </w:rPr>
            </w:pPr>
            <w:r w:rsidRPr="00BF7527">
              <w:rPr>
                <w:rFonts w:ascii="VIC" w:eastAsia="Verdana" w:hAnsi="VIC"/>
                <w:color w:val="000000"/>
                <w:sz w:val="18"/>
                <w:szCs w:val="18"/>
              </w:rPr>
              <w:t>31.1</w:t>
            </w:r>
          </w:p>
        </w:tc>
        <w:tc>
          <w:tcPr>
            <w:tcW w:w="1075" w:type="dxa"/>
            <w:shd w:val="clear" w:color="auto" w:fill="BFCED6"/>
          </w:tcPr>
          <w:p w14:paraId="59F52C5A" w14:textId="3EDE21CE" w:rsidR="0065124E" w:rsidRPr="00BF031D"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shd w:val="clear" w:color="auto" w:fill="BFCED6"/>
          </w:tcPr>
          <w:p w14:paraId="2DB35EC0" w14:textId="6AC3B380" w:rsidR="0065124E" w:rsidRPr="00BF031D" w:rsidRDefault="0065124E" w:rsidP="0065124E">
            <w:pPr>
              <w:jc w:val="center"/>
              <w:rPr>
                <w:rFonts w:ascii="VIC" w:hAnsi="VIC"/>
                <w:sz w:val="18"/>
                <w:szCs w:val="18"/>
              </w:rPr>
            </w:pPr>
            <w:r w:rsidRPr="00BF7527">
              <w:rPr>
                <w:rFonts w:ascii="VIC" w:eastAsia="Verdana" w:hAnsi="VIC"/>
                <w:color w:val="000000"/>
                <w:sz w:val="18"/>
                <w:szCs w:val="18"/>
              </w:rPr>
              <w:t>75 %</w:t>
            </w:r>
          </w:p>
        </w:tc>
        <w:tc>
          <w:tcPr>
            <w:tcW w:w="1075" w:type="dxa"/>
            <w:shd w:val="clear" w:color="auto" w:fill="BFCED6"/>
          </w:tcPr>
          <w:p w14:paraId="5546AE5C" w14:textId="70CA2344" w:rsidR="0065124E" w:rsidRPr="00BF031D" w:rsidRDefault="0065124E" w:rsidP="0065124E">
            <w:pPr>
              <w:jc w:val="center"/>
              <w:rPr>
                <w:rFonts w:ascii="VIC" w:hAnsi="VIC"/>
                <w:sz w:val="18"/>
                <w:szCs w:val="18"/>
              </w:rPr>
            </w:pPr>
            <w:r w:rsidRPr="00BF7527">
              <w:rPr>
                <w:rFonts w:ascii="VIC" w:eastAsia="Verdana" w:hAnsi="VIC"/>
                <w:color w:val="000000"/>
                <w:sz w:val="18"/>
                <w:szCs w:val="18"/>
              </w:rPr>
              <w:t>98 %</w:t>
            </w:r>
          </w:p>
        </w:tc>
        <w:tc>
          <w:tcPr>
            <w:tcW w:w="1075" w:type="dxa"/>
            <w:shd w:val="clear" w:color="auto" w:fill="BFCED6"/>
          </w:tcPr>
          <w:p w14:paraId="139BEB9F" w14:textId="15B7EBE1" w:rsidR="0065124E" w:rsidRPr="00BF031D" w:rsidRDefault="0065124E" w:rsidP="0065124E">
            <w:pPr>
              <w:jc w:val="center"/>
              <w:rPr>
                <w:rFonts w:ascii="VIC" w:hAnsi="VIC"/>
                <w:sz w:val="18"/>
                <w:szCs w:val="18"/>
              </w:rPr>
            </w:pPr>
            <w:r w:rsidRPr="00BF7527">
              <w:rPr>
                <w:rFonts w:ascii="VIC" w:eastAsia="Verdana" w:hAnsi="VIC"/>
                <w:color w:val="000000"/>
                <w:sz w:val="18"/>
                <w:szCs w:val="18"/>
              </w:rPr>
              <w:t>97 %</w:t>
            </w:r>
          </w:p>
        </w:tc>
      </w:tr>
      <w:tr w:rsidR="0065124E" w:rsidRPr="00BF031D" w14:paraId="17FE4B5F" w14:textId="77777777" w:rsidTr="009D3084">
        <w:trPr>
          <w:trHeight w:val="454"/>
        </w:trPr>
        <w:tc>
          <w:tcPr>
            <w:tcW w:w="1145" w:type="dxa"/>
            <w:shd w:val="clear" w:color="auto" w:fill="auto"/>
          </w:tcPr>
          <w:p w14:paraId="3BF8F0B1" w14:textId="0C1BD63D" w:rsidR="0065124E" w:rsidRPr="00BF031D" w:rsidRDefault="0065124E" w:rsidP="0065124E">
            <w:pPr>
              <w:pStyle w:val="DHHStabletext"/>
              <w:spacing w:before="0" w:after="0"/>
              <w:rPr>
                <w:rFonts w:ascii="VIC" w:hAnsi="VIC"/>
                <w:sz w:val="18"/>
                <w:szCs w:val="18"/>
              </w:rPr>
            </w:pPr>
            <w:r w:rsidRPr="00BF7527">
              <w:rPr>
                <w:rFonts w:ascii="VIC" w:eastAsia="Verdana" w:hAnsi="VIC"/>
                <w:color w:val="000000"/>
                <w:sz w:val="18"/>
                <w:szCs w:val="18"/>
              </w:rPr>
              <w:t>St Vincent's Hospital</w:t>
            </w:r>
          </w:p>
        </w:tc>
        <w:tc>
          <w:tcPr>
            <w:tcW w:w="1701" w:type="dxa"/>
            <w:shd w:val="clear" w:color="auto" w:fill="auto"/>
          </w:tcPr>
          <w:p w14:paraId="58369396" w14:textId="6A1391A9"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Inner &amp; North East (St. George's)</w:t>
            </w:r>
          </w:p>
        </w:tc>
        <w:tc>
          <w:tcPr>
            <w:tcW w:w="1074" w:type="dxa"/>
            <w:shd w:val="clear" w:color="auto" w:fill="auto"/>
          </w:tcPr>
          <w:p w14:paraId="40C8C0CD" w14:textId="0BC7E0D5" w:rsidR="0065124E" w:rsidRPr="00BF031D" w:rsidRDefault="0065124E" w:rsidP="0065124E">
            <w:pPr>
              <w:jc w:val="center"/>
              <w:rPr>
                <w:rFonts w:ascii="VIC" w:hAnsi="VIC"/>
                <w:sz w:val="18"/>
                <w:szCs w:val="18"/>
              </w:rPr>
            </w:pPr>
            <w:r w:rsidRPr="00BF7527">
              <w:rPr>
                <w:rFonts w:ascii="VIC" w:eastAsia="Verdana" w:hAnsi="VIC"/>
                <w:color w:val="000000"/>
                <w:sz w:val="18"/>
                <w:szCs w:val="18"/>
              </w:rPr>
              <w:t>4.0</w:t>
            </w:r>
          </w:p>
        </w:tc>
        <w:tc>
          <w:tcPr>
            <w:tcW w:w="1075" w:type="dxa"/>
            <w:shd w:val="clear" w:color="auto" w:fill="auto"/>
          </w:tcPr>
          <w:p w14:paraId="7099541B" w14:textId="0E08F617" w:rsidR="0065124E" w:rsidRPr="00BF031D" w:rsidRDefault="0065124E" w:rsidP="0065124E">
            <w:pPr>
              <w:jc w:val="center"/>
              <w:rPr>
                <w:rFonts w:ascii="VIC" w:hAnsi="VIC"/>
                <w:sz w:val="18"/>
                <w:szCs w:val="18"/>
              </w:rPr>
            </w:pPr>
            <w:r w:rsidRPr="00BF7527">
              <w:rPr>
                <w:rFonts w:ascii="VIC" w:eastAsia="Verdana" w:hAnsi="VIC"/>
                <w:color w:val="000000"/>
                <w:sz w:val="18"/>
                <w:szCs w:val="18"/>
              </w:rPr>
              <w:t>88 %</w:t>
            </w:r>
          </w:p>
        </w:tc>
        <w:tc>
          <w:tcPr>
            <w:tcW w:w="1075" w:type="dxa"/>
            <w:shd w:val="clear" w:color="auto" w:fill="auto"/>
          </w:tcPr>
          <w:p w14:paraId="453C95A1" w14:textId="08D5985E" w:rsidR="0065124E" w:rsidRPr="00BF031D" w:rsidRDefault="0065124E" w:rsidP="0065124E">
            <w:pPr>
              <w:jc w:val="center"/>
              <w:rPr>
                <w:rFonts w:ascii="VIC" w:hAnsi="VIC"/>
                <w:sz w:val="18"/>
                <w:szCs w:val="18"/>
              </w:rPr>
            </w:pPr>
            <w:r w:rsidRPr="00BF7527">
              <w:rPr>
                <w:rFonts w:ascii="VIC" w:eastAsia="Verdana" w:hAnsi="VIC"/>
                <w:color w:val="000000"/>
                <w:sz w:val="18"/>
                <w:szCs w:val="18"/>
              </w:rPr>
              <w:t>21.8</w:t>
            </w:r>
          </w:p>
        </w:tc>
        <w:tc>
          <w:tcPr>
            <w:tcW w:w="1075" w:type="dxa"/>
            <w:shd w:val="clear" w:color="auto" w:fill="auto"/>
          </w:tcPr>
          <w:p w14:paraId="40452B36" w14:textId="0542F09F" w:rsidR="0065124E" w:rsidRPr="00BF031D" w:rsidRDefault="0065124E" w:rsidP="0065124E">
            <w:pPr>
              <w:jc w:val="center"/>
              <w:rPr>
                <w:rFonts w:ascii="VIC" w:hAnsi="VIC"/>
                <w:sz w:val="18"/>
                <w:szCs w:val="18"/>
              </w:rPr>
            </w:pPr>
            <w:r w:rsidRPr="00BF7527">
              <w:rPr>
                <w:rFonts w:ascii="VIC" w:eastAsia="Verdana" w:hAnsi="VIC"/>
                <w:color w:val="000000"/>
                <w:sz w:val="18"/>
                <w:szCs w:val="18"/>
              </w:rPr>
              <w:t>28 %</w:t>
            </w:r>
          </w:p>
        </w:tc>
        <w:tc>
          <w:tcPr>
            <w:tcW w:w="1087" w:type="dxa"/>
            <w:shd w:val="clear" w:color="auto" w:fill="auto"/>
          </w:tcPr>
          <w:p w14:paraId="38979BC5" w14:textId="7415A627" w:rsidR="0065124E" w:rsidRPr="00BF031D" w:rsidRDefault="0065124E" w:rsidP="0065124E">
            <w:pPr>
              <w:jc w:val="center"/>
              <w:rPr>
                <w:rFonts w:ascii="VIC" w:hAnsi="VIC"/>
                <w:sz w:val="18"/>
                <w:szCs w:val="18"/>
              </w:rPr>
            </w:pPr>
            <w:r w:rsidRPr="00BF7527">
              <w:rPr>
                <w:rFonts w:ascii="VIC" w:eastAsia="Verdana" w:hAnsi="VIC"/>
                <w:color w:val="000000"/>
                <w:sz w:val="18"/>
                <w:szCs w:val="18"/>
              </w:rPr>
              <w:t>16 %</w:t>
            </w:r>
          </w:p>
        </w:tc>
        <w:tc>
          <w:tcPr>
            <w:tcW w:w="1063" w:type="dxa"/>
            <w:shd w:val="clear" w:color="auto" w:fill="auto"/>
          </w:tcPr>
          <w:p w14:paraId="2B3FB6A6" w14:textId="7D940E51" w:rsidR="0065124E" w:rsidRPr="00BF031D" w:rsidRDefault="0065124E" w:rsidP="0065124E">
            <w:pPr>
              <w:jc w:val="center"/>
              <w:rPr>
                <w:rFonts w:ascii="VIC" w:hAnsi="VIC"/>
                <w:sz w:val="18"/>
                <w:szCs w:val="18"/>
              </w:rPr>
            </w:pPr>
            <w:r w:rsidRPr="00BF7527">
              <w:rPr>
                <w:rFonts w:ascii="VIC" w:eastAsia="Verdana" w:hAnsi="VIC"/>
                <w:color w:val="000000"/>
                <w:sz w:val="18"/>
                <w:szCs w:val="18"/>
              </w:rPr>
              <w:t>32 %</w:t>
            </w:r>
          </w:p>
        </w:tc>
        <w:tc>
          <w:tcPr>
            <w:tcW w:w="1075" w:type="dxa"/>
            <w:shd w:val="clear" w:color="auto" w:fill="auto"/>
          </w:tcPr>
          <w:p w14:paraId="464ECF3A" w14:textId="33F625D9" w:rsidR="0065124E" w:rsidRPr="00BF031D"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auto"/>
          </w:tcPr>
          <w:p w14:paraId="5870C480" w14:textId="0516C962" w:rsidR="0065124E" w:rsidRPr="00BF031D" w:rsidRDefault="0065124E" w:rsidP="0065124E">
            <w:pPr>
              <w:jc w:val="center"/>
              <w:rPr>
                <w:rFonts w:ascii="VIC" w:hAnsi="VIC"/>
                <w:sz w:val="18"/>
                <w:szCs w:val="18"/>
              </w:rPr>
            </w:pPr>
            <w:r w:rsidRPr="00BF7527">
              <w:rPr>
                <w:rFonts w:ascii="VIC" w:eastAsia="Verdana" w:hAnsi="VIC"/>
                <w:color w:val="000000"/>
                <w:sz w:val="18"/>
                <w:szCs w:val="18"/>
              </w:rPr>
              <w:t>7.7</w:t>
            </w:r>
          </w:p>
        </w:tc>
        <w:tc>
          <w:tcPr>
            <w:tcW w:w="1075" w:type="dxa"/>
            <w:shd w:val="clear" w:color="auto" w:fill="auto"/>
          </w:tcPr>
          <w:p w14:paraId="792F59EF" w14:textId="56385605" w:rsidR="0065124E" w:rsidRPr="00BF031D" w:rsidRDefault="0065124E" w:rsidP="0065124E">
            <w:pPr>
              <w:jc w:val="center"/>
              <w:rPr>
                <w:rFonts w:ascii="VIC" w:hAnsi="VIC"/>
                <w:sz w:val="18"/>
                <w:szCs w:val="18"/>
              </w:rPr>
            </w:pPr>
            <w:r w:rsidRPr="00BF7527">
              <w:rPr>
                <w:rFonts w:ascii="VIC" w:eastAsia="Verdana" w:hAnsi="VIC"/>
                <w:color w:val="000000"/>
                <w:sz w:val="18"/>
                <w:szCs w:val="18"/>
              </w:rPr>
              <w:t>0.2</w:t>
            </w:r>
          </w:p>
        </w:tc>
        <w:tc>
          <w:tcPr>
            <w:tcW w:w="1075" w:type="dxa"/>
            <w:shd w:val="clear" w:color="auto" w:fill="auto"/>
          </w:tcPr>
          <w:p w14:paraId="289A1432" w14:textId="4A48D81B" w:rsidR="0065124E" w:rsidRPr="00BF031D" w:rsidRDefault="0065124E" w:rsidP="0065124E">
            <w:pPr>
              <w:jc w:val="center"/>
              <w:rPr>
                <w:rFonts w:ascii="VIC" w:hAnsi="VIC"/>
                <w:sz w:val="18"/>
                <w:szCs w:val="18"/>
              </w:rPr>
            </w:pPr>
            <w:r w:rsidRPr="00BF7527">
              <w:rPr>
                <w:rFonts w:ascii="VIC" w:eastAsia="Verdana" w:hAnsi="VIC"/>
                <w:color w:val="000000"/>
                <w:sz w:val="18"/>
                <w:szCs w:val="18"/>
              </w:rPr>
              <w:t>71 %</w:t>
            </w:r>
          </w:p>
        </w:tc>
        <w:tc>
          <w:tcPr>
            <w:tcW w:w="1075" w:type="dxa"/>
            <w:shd w:val="clear" w:color="auto" w:fill="auto"/>
          </w:tcPr>
          <w:p w14:paraId="3A058B12" w14:textId="679758ED" w:rsidR="0065124E" w:rsidRPr="00BF031D" w:rsidRDefault="0065124E" w:rsidP="0065124E">
            <w:pPr>
              <w:jc w:val="center"/>
              <w:rPr>
                <w:rFonts w:ascii="VIC" w:hAnsi="VIC"/>
                <w:sz w:val="18"/>
                <w:szCs w:val="18"/>
              </w:rPr>
            </w:pPr>
            <w:r w:rsidRPr="00BF7527">
              <w:rPr>
                <w:rFonts w:ascii="VIC" w:eastAsia="Verdana" w:hAnsi="VIC"/>
                <w:color w:val="000000"/>
                <w:sz w:val="18"/>
                <w:szCs w:val="18"/>
              </w:rPr>
              <w:t>89 %</w:t>
            </w:r>
          </w:p>
        </w:tc>
        <w:tc>
          <w:tcPr>
            <w:tcW w:w="1075" w:type="dxa"/>
            <w:shd w:val="clear" w:color="auto" w:fill="auto"/>
          </w:tcPr>
          <w:p w14:paraId="01B50144" w14:textId="343B6320" w:rsidR="0065124E" w:rsidRPr="00BF031D" w:rsidRDefault="0065124E" w:rsidP="0065124E">
            <w:pPr>
              <w:jc w:val="center"/>
              <w:rPr>
                <w:rFonts w:ascii="VIC" w:hAnsi="VIC"/>
                <w:sz w:val="18"/>
                <w:szCs w:val="18"/>
              </w:rPr>
            </w:pPr>
            <w:r w:rsidRPr="00BF7527">
              <w:rPr>
                <w:rFonts w:ascii="VIC" w:eastAsia="Verdana" w:hAnsi="VIC"/>
                <w:color w:val="000000"/>
                <w:sz w:val="18"/>
                <w:szCs w:val="18"/>
              </w:rPr>
              <w:t>96 %</w:t>
            </w:r>
          </w:p>
        </w:tc>
      </w:tr>
      <w:tr w:rsidR="0065124E" w:rsidRPr="0065124E" w14:paraId="07E68570" w14:textId="77777777" w:rsidTr="009D3084">
        <w:trPr>
          <w:trHeight w:val="454"/>
        </w:trPr>
        <w:tc>
          <w:tcPr>
            <w:tcW w:w="1145" w:type="dxa"/>
            <w:shd w:val="clear" w:color="auto" w:fill="B1C9E8"/>
          </w:tcPr>
          <w:p w14:paraId="119E41CD" w14:textId="45560311" w:rsidR="0065124E" w:rsidRPr="0065124E" w:rsidRDefault="0065124E" w:rsidP="0065124E">
            <w:pPr>
              <w:pStyle w:val="DHHStabletext"/>
              <w:spacing w:before="0" w:after="0"/>
              <w:rPr>
                <w:rFonts w:ascii="VIC SemiBold" w:eastAsia="Verdana" w:hAnsi="VIC SemiBold" w:cs="Verdana"/>
                <w:color w:val="000000" w:themeColor="text1"/>
                <w:sz w:val="18"/>
                <w:szCs w:val="18"/>
              </w:rPr>
            </w:pPr>
            <w:r w:rsidRPr="0065124E">
              <w:rPr>
                <w:rFonts w:ascii="VIC" w:eastAsia="Verdana" w:hAnsi="VIC"/>
                <w:color w:val="000000" w:themeColor="text1"/>
                <w:sz w:val="18"/>
                <w:szCs w:val="18"/>
              </w:rPr>
              <w:t>TOTAL METRO</w:t>
            </w:r>
          </w:p>
        </w:tc>
        <w:tc>
          <w:tcPr>
            <w:tcW w:w="1701" w:type="dxa"/>
            <w:shd w:val="clear" w:color="auto" w:fill="B1C9E8"/>
          </w:tcPr>
          <w:p w14:paraId="7F4F081F" w14:textId="68ED1894" w:rsidR="0065124E" w:rsidRPr="0065124E" w:rsidRDefault="0065124E" w:rsidP="0065124E">
            <w:pPr>
              <w:pStyle w:val="DHHStabletext"/>
              <w:spacing w:before="0" w:after="0"/>
              <w:rPr>
                <w:rFonts w:ascii="VIC SemiBold" w:eastAsia="Verdana" w:hAnsi="VIC SemiBold" w:cs="Verdana"/>
                <w:color w:val="000000" w:themeColor="text1"/>
                <w:sz w:val="18"/>
                <w:szCs w:val="18"/>
              </w:rPr>
            </w:pPr>
            <w:r w:rsidRPr="0065124E">
              <w:rPr>
                <w:rFonts w:ascii="VIC" w:eastAsia="Verdana" w:hAnsi="VIC"/>
                <w:color w:val="000000" w:themeColor="text1"/>
                <w:sz w:val="18"/>
                <w:szCs w:val="18"/>
              </w:rPr>
              <w:t xml:space="preserve"> </w:t>
            </w:r>
          </w:p>
        </w:tc>
        <w:tc>
          <w:tcPr>
            <w:tcW w:w="1074" w:type="dxa"/>
            <w:shd w:val="clear" w:color="auto" w:fill="B1C9E8"/>
          </w:tcPr>
          <w:p w14:paraId="15F78560" w14:textId="6AD4C3B9"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2.2</w:t>
            </w:r>
          </w:p>
        </w:tc>
        <w:tc>
          <w:tcPr>
            <w:tcW w:w="1075" w:type="dxa"/>
            <w:shd w:val="clear" w:color="auto" w:fill="B1C9E8"/>
          </w:tcPr>
          <w:p w14:paraId="53C46DF2" w14:textId="7F6587DD"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85 %</w:t>
            </w:r>
          </w:p>
        </w:tc>
        <w:tc>
          <w:tcPr>
            <w:tcW w:w="1075" w:type="dxa"/>
            <w:shd w:val="clear" w:color="auto" w:fill="B1C9E8"/>
          </w:tcPr>
          <w:p w14:paraId="31BAADFD" w14:textId="751A2CA2"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19.6</w:t>
            </w:r>
          </w:p>
        </w:tc>
        <w:tc>
          <w:tcPr>
            <w:tcW w:w="1075" w:type="dxa"/>
            <w:shd w:val="clear" w:color="auto" w:fill="B1C9E8"/>
          </w:tcPr>
          <w:p w14:paraId="61B18AEA" w14:textId="082F2CBB"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17 %</w:t>
            </w:r>
          </w:p>
        </w:tc>
        <w:tc>
          <w:tcPr>
            <w:tcW w:w="1087" w:type="dxa"/>
            <w:shd w:val="clear" w:color="auto" w:fill="B1C9E8"/>
          </w:tcPr>
          <w:p w14:paraId="732B2233" w14:textId="14D3A860"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10 %</w:t>
            </w:r>
          </w:p>
        </w:tc>
        <w:tc>
          <w:tcPr>
            <w:tcW w:w="1063" w:type="dxa"/>
            <w:shd w:val="clear" w:color="auto" w:fill="B1C9E8"/>
          </w:tcPr>
          <w:p w14:paraId="58CBEDA5" w14:textId="16EF2552"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29 %</w:t>
            </w:r>
          </w:p>
        </w:tc>
        <w:tc>
          <w:tcPr>
            <w:tcW w:w="1075" w:type="dxa"/>
            <w:shd w:val="clear" w:color="auto" w:fill="B1C9E8"/>
          </w:tcPr>
          <w:p w14:paraId="2268BB2B" w14:textId="6F778856"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100 %</w:t>
            </w:r>
          </w:p>
        </w:tc>
        <w:tc>
          <w:tcPr>
            <w:tcW w:w="1075" w:type="dxa"/>
            <w:shd w:val="clear" w:color="auto" w:fill="B1C9E8"/>
          </w:tcPr>
          <w:p w14:paraId="26E12D80" w14:textId="57B64B5E"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9.9</w:t>
            </w:r>
          </w:p>
        </w:tc>
        <w:tc>
          <w:tcPr>
            <w:tcW w:w="1075" w:type="dxa"/>
            <w:shd w:val="clear" w:color="auto" w:fill="B1C9E8"/>
          </w:tcPr>
          <w:p w14:paraId="279B48EA" w14:textId="0776465E"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0.4</w:t>
            </w:r>
          </w:p>
        </w:tc>
        <w:tc>
          <w:tcPr>
            <w:tcW w:w="1075" w:type="dxa"/>
            <w:shd w:val="clear" w:color="auto" w:fill="B1C9E8"/>
          </w:tcPr>
          <w:p w14:paraId="0B490271" w14:textId="5F76493B"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62 %</w:t>
            </w:r>
          </w:p>
        </w:tc>
        <w:tc>
          <w:tcPr>
            <w:tcW w:w="1075" w:type="dxa"/>
            <w:shd w:val="clear" w:color="auto" w:fill="B1C9E8"/>
          </w:tcPr>
          <w:p w14:paraId="0AEF5CD4" w14:textId="57E44867"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96 %</w:t>
            </w:r>
          </w:p>
        </w:tc>
        <w:tc>
          <w:tcPr>
            <w:tcW w:w="1075" w:type="dxa"/>
            <w:shd w:val="clear" w:color="auto" w:fill="B1C9E8"/>
          </w:tcPr>
          <w:p w14:paraId="1BC8F833" w14:textId="6BBA8DCD"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95 %</w:t>
            </w:r>
          </w:p>
        </w:tc>
      </w:tr>
      <w:tr w:rsidR="0065124E" w:rsidRPr="00592F37" w14:paraId="5F9CFA5C" w14:textId="77777777" w:rsidTr="009D3084">
        <w:trPr>
          <w:trHeight w:val="454"/>
        </w:trPr>
        <w:tc>
          <w:tcPr>
            <w:tcW w:w="1145" w:type="dxa"/>
            <w:shd w:val="clear" w:color="auto" w:fill="244C5A"/>
          </w:tcPr>
          <w:p w14:paraId="3199C30D" w14:textId="60523293" w:rsidR="0065124E" w:rsidRPr="00592F37" w:rsidRDefault="0065124E" w:rsidP="0065124E">
            <w:pPr>
              <w:pStyle w:val="DHHStabletext"/>
              <w:spacing w:before="0" w:after="0"/>
              <w:rPr>
                <w:rFonts w:ascii="VIC SemiBold" w:eastAsia="Verdana" w:hAnsi="VIC SemiBold" w:cs="Verdana"/>
                <w:color w:val="FFFFFF" w:themeColor="background1"/>
                <w:sz w:val="18"/>
                <w:szCs w:val="18"/>
              </w:rPr>
            </w:pPr>
            <w:r w:rsidRPr="00BF7527">
              <w:rPr>
                <w:rFonts w:ascii="VIC" w:eastAsia="Verdana" w:hAnsi="VIC"/>
                <w:color w:val="FFFFFF"/>
                <w:sz w:val="18"/>
                <w:szCs w:val="18"/>
              </w:rPr>
              <w:t>TOTAL STATEWIDE</w:t>
            </w:r>
          </w:p>
        </w:tc>
        <w:tc>
          <w:tcPr>
            <w:tcW w:w="1701" w:type="dxa"/>
            <w:shd w:val="clear" w:color="auto" w:fill="244C5A"/>
          </w:tcPr>
          <w:p w14:paraId="72DC8763" w14:textId="441C1E5B" w:rsidR="0065124E" w:rsidRPr="00592F37" w:rsidRDefault="0065124E" w:rsidP="0065124E">
            <w:pPr>
              <w:pStyle w:val="DHHStabletext"/>
              <w:spacing w:before="0" w:after="0"/>
              <w:rPr>
                <w:rFonts w:ascii="VIC SemiBold" w:eastAsia="Verdana" w:hAnsi="VIC SemiBold" w:cs="Verdana"/>
                <w:color w:val="FFFFFF" w:themeColor="background1"/>
                <w:sz w:val="18"/>
                <w:szCs w:val="18"/>
              </w:rPr>
            </w:pPr>
            <w:r w:rsidRPr="00BF7527">
              <w:rPr>
                <w:rFonts w:ascii="VIC" w:eastAsia="Verdana" w:hAnsi="VIC"/>
                <w:color w:val="FFFFFF"/>
                <w:sz w:val="18"/>
                <w:szCs w:val="18"/>
              </w:rPr>
              <w:t xml:space="preserve"> </w:t>
            </w:r>
          </w:p>
        </w:tc>
        <w:tc>
          <w:tcPr>
            <w:tcW w:w="1074" w:type="dxa"/>
            <w:shd w:val="clear" w:color="auto" w:fill="244C5A"/>
          </w:tcPr>
          <w:p w14:paraId="1142CD9D" w14:textId="05C5642D"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2.1</w:t>
            </w:r>
          </w:p>
        </w:tc>
        <w:tc>
          <w:tcPr>
            <w:tcW w:w="1075" w:type="dxa"/>
            <w:shd w:val="clear" w:color="auto" w:fill="244C5A"/>
          </w:tcPr>
          <w:p w14:paraId="4AD6C232" w14:textId="00A0C108"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83 %</w:t>
            </w:r>
          </w:p>
        </w:tc>
        <w:tc>
          <w:tcPr>
            <w:tcW w:w="1075" w:type="dxa"/>
            <w:shd w:val="clear" w:color="auto" w:fill="244C5A"/>
          </w:tcPr>
          <w:p w14:paraId="2BE4E0EA" w14:textId="321A099A"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19.2</w:t>
            </w:r>
          </w:p>
        </w:tc>
        <w:tc>
          <w:tcPr>
            <w:tcW w:w="1075" w:type="dxa"/>
            <w:shd w:val="clear" w:color="auto" w:fill="244C5A"/>
          </w:tcPr>
          <w:p w14:paraId="0695484E" w14:textId="2BEF2D8B"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16 %</w:t>
            </w:r>
          </w:p>
        </w:tc>
        <w:tc>
          <w:tcPr>
            <w:tcW w:w="1087" w:type="dxa"/>
            <w:shd w:val="clear" w:color="auto" w:fill="244C5A"/>
          </w:tcPr>
          <w:p w14:paraId="28037CE7" w14:textId="11B2EF40"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9 %</w:t>
            </w:r>
          </w:p>
        </w:tc>
        <w:tc>
          <w:tcPr>
            <w:tcW w:w="1063" w:type="dxa"/>
            <w:shd w:val="clear" w:color="auto" w:fill="244C5A"/>
          </w:tcPr>
          <w:p w14:paraId="28DB75F9" w14:textId="1891197F"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28 %</w:t>
            </w:r>
          </w:p>
        </w:tc>
        <w:tc>
          <w:tcPr>
            <w:tcW w:w="1075" w:type="dxa"/>
            <w:shd w:val="clear" w:color="auto" w:fill="244C5A"/>
          </w:tcPr>
          <w:p w14:paraId="064992F3" w14:textId="118BD18D"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100 %</w:t>
            </w:r>
          </w:p>
        </w:tc>
        <w:tc>
          <w:tcPr>
            <w:tcW w:w="1075" w:type="dxa"/>
            <w:shd w:val="clear" w:color="auto" w:fill="244C5A"/>
          </w:tcPr>
          <w:p w14:paraId="4F971E50" w14:textId="3BF2D717"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8.5</w:t>
            </w:r>
          </w:p>
        </w:tc>
        <w:tc>
          <w:tcPr>
            <w:tcW w:w="1075" w:type="dxa"/>
            <w:shd w:val="clear" w:color="auto" w:fill="244C5A"/>
          </w:tcPr>
          <w:p w14:paraId="7372B914" w14:textId="6E326CC6"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0.6</w:t>
            </w:r>
          </w:p>
        </w:tc>
        <w:tc>
          <w:tcPr>
            <w:tcW w:w="1075" w:type="dxa"/>
            <w:shd w:val="clear" w:color="auto" w:fill="244C5A"/>
          </w:tcPr>
          <w:p w14:paraId="13332230" w14:textId="1F83E12A"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63 %</w:t>
            </w:r>
          </w:p>
        </w:tc>
        <w:tc>
          <w:tcPr>
            <w:tcW w:w="1075" w:type="dxa"/>
            <w:shd w:val="clear" w:color="auto" w:fill="244C5A"/>
          </w:tcPr>
          <w:p w14:paraId="2BB350E6" w14:textId="2161DE34"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95 %</w:t>
            </w:r>
          </w:p>
        </w:tc>
        <w:tc>
          <w:tcPr>
            <w:tcW w:w="1075" w:type="dxa"/>
            <w:shd w:val="clear" w:color="auto" w:fill="244C5A"/>
          </w:tcPr>
          <w:p w14:paraId="193349A5" w14:textId="4296317B"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95 %</w:t>
            </w:r>
          </w:p>
        </w:tc>
      </w:tr>
    </w:tbl>
    <w:p w14:paraId="243D76D6" w14:textId="77777777" w:rsidR="00F91472" w:rsidRDefault="00F91472" w:rsidP="00F91472">
      <w:pPr>
        <w:rPr>
          <w:sz w:val="6"/>
        </w:rPr>
      </w:pPr>
    </w:p>
    <w:p w14:paraId="6504BA4B" w14:textId="77777777" w:rsidR="00F91472" w:rsidRDefault="00F91472" w:rsidP="00F91472">
      <w:pPr>
        <w:widowControl/>
        <w:rPr>
          <w:sz w:val="6"/>
        </w:rPr>
      </w:pPr>
      <w:r>
        <w:rPr>
          <w:sz w:val="6"/>
        </w:rPr>
        <w:br w:type="page"/>
      </w:r>
    </w:p>
    <w:p w14:paraId="016BC530" w14:textId="77777777" w:rsidR="00F91472" w:rsidRPr="00FF4734" w:rsidRDefault="00F91472" w:rsidP="00F91472">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F91472" w:rsidRPr="00A6366B" w14:paraId="61A543CB" w14:textId="77777777" w:rsidTr="009D3084">
        <w:trPr>
          <w:trHeight w:val="1062"/>
          <w:tblHeader/>
        </w:trPr>
        <w:tc>
          <w:tcPr>
            <w:tcW w:w="2846" w:type="dxa"/>
            <w:gridSpan w:val="2"/>
            <w:shd w:val="clear" w:color="auto" w:fill="FFFFFF"/>
            <w:vAlign w:val="bottom"/>
          </w:tcPr>
          <w:p w14:paraId="1E78722B" w14:textId="7115273D" w:rsidR="00F91472" w:rsidRPr="00592F37" w:rsidRDefault="00F91472" w:rsidP="009D3084">
            <w:pPr>
              <w:pStyle w:val="Heading1"/>
              <w:spacing w:before="0" w:line="240" w:lineRule="auto"/>
              <w:rPr>
                <w:color w:val="244C5A"/>
                <w:sz w:val="28"/>
                <w:szCs w:val="28"/>
              </w:rPr>
            </w:pPr>
            <w:bookmarkStart w:id="11" w:name="_Toc37865454"/>
            <w:r w:rsidRPr="00052DAD">
              <w:rPr>
                <w:color w:val="244C5A"/>
                <w:sz w:val="22"/>
                <w:szCs w:val="28"/>
              </w:rPr>
              <w:t>Inpatient</w:t>
            </w:r>
            <w:r w:rsidRPr="00052DAD">
              <w:rPr>
                <w:color w:val="244C5A"/>
                <w:sz w:val="22"/>
                <w:szCs w:val="28"/>
              </w:rPr>
              <w:br w:type="textWrapping" w:clear="all"/>
            </w:r>
            <w:r>
              <w:rPr>
                <w:color w:val="244C5A"/>
                <w:sz w:val="22"/>
                <w:szCs w:val="28"/>
              </w:rPr>
              <w:t>2019–20 Q1–Q</w:t>
            </w:r>
            <w:r w:rsidR="004A1C0F">
              <w:rPr>
                <w:color w:val="244C5A"/>
                <w:sz w:val="22"/>
                <w:szCs w:val="28"/>
              </w:rPr>
              <w:t>3</w:t>
            </w:r>
            <w:r w:rsidRPr="00052DAD">
              <w:rPr>
                <w:color w:val="244C5A"/>
                <w:sz w:val="22"/>
                <w:szCs w:val="28"/>
              </w:rPr>
              <w:t xml:space="preserve"> Rural</w:t>
            </w:r>
            <w:bookmarkEnd w:id="11"/>
          </w:p>
        </w:tc>
        <w:tc>
          <w:tcPr>
            <w:tcW w:w="1074" w:type="dxa"/>
            <w:shd w:val="clear" w:color="auto" w:fill="FFFFFF"/>
            <w:vAlign w:val="bottom"/>
          </w:tcPr>
          <w:p w14:paraId="0DC0AA27" w14:textId="77777777" w:rsidR="00F91472" w:rsidRPr="00592F37" w:rsidRDefault="00F91472" w:rsidP="009D3084">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334C4092" w14:textId="77777777" w:rsidR="00F91472" w:rsidRPr="00592F37" w:rsidRDefault="00F91472" w:rsidP="009D3084">
            <w:pPr>
              <w:pStyle w:val="VAHItablecolhead"/>
              <w:rPr>
                <w:rFonts w:eastAsia="Verdana"/>
                <w:color w:val="244C5A"/>
              </w:rPr>
            </w:pPr>
            <w:r w:rsidRPr="00C41C2E">
              <w:rPr>
                <w:sz w:val="16"/>
              </w:rPr>
              <w:t>Bed occupancy (excl leave)</w:t>
            </w:r>
          </w:p>
        </w:tc>
        <w:tc>
          <w:tcPr>
            <w:tcW w:w="1075" w:type="dxa"/>
            <w:shd w:val="clear" w:color="auto" w:fill="FFFFFF"/>
            <w:vAlign w:val="bottom"/>
          </w:tcPr>
          <w:p w14:paraId="0F55EB2F" w14:textId="77777777" w:rsidR="00F91472" w:rsidRPr="00592F37" w:rsidRDefault="00F91472" w:rsidP="009D3084">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6E2C2680" w14:textId="77777777" w:rsidR="00F91472" w:rsidRPr="00592F37" w:rsidRDefault="00F91472" w:rsidP="009D3084">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2ECDFC71" w14:textId="77777777" w:rsidR="00F91472" w:rsidRPr="00592F37" w:rsidRDefault="00F91472" w:rsidP="009D3084">
            <w:pPr>
              <w:pStyle w:val="VAHItablecolhead"/>
              <w:rPr>
                <w:rFonts w:eastAsia="Verdana"/>
                <w:color w:val="244C5A"/>
              </w:rPr>
            </w:pPr>
            <w:r w:rsidRPr="00C41C2E">
              <w:rPr>
                <w:sz w:val="16"/>
              </w:rPr>
              <w:t>28 day readmission</w:t>
            </w:r>
          </w:p>
        </w:tc>
        <w:tc>
          <w:tcPr>
            <w:tcW w:w="1063" w:type="dxa"/>
            <w:shd w:val="clear" w:color="auto" w:fill="FFFFFF"/>
            <w:vAlign w:val="bottom"/>
          </w:tcPr>
          <w:p w14:paraId="2F5A478E" w14:textId="77777777" w:rsidR="00F91472" w:rsidRPr="00592F37" w:rsidRDefault="00F91472" w:rsidP="009D3084">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3577D785" w14:textId="77777777" w:rsidR="00F91472" w:rsidRPr="00592F37" w:rsidRDefault="00F91472" w:rsidP="009D3084">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5193E75A" w14:textId="77777777" w:rsidR="00F91472" w:rsidRPr="00592F37" w:rsidRDefault="00F91472" w:rsidP="009D3084">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321F3FF6" w14:textId="77777777" w:rsidR="00F91472" w:rsidRPr="00592F37" w:rsidRDefault="00F91472" w:rsidP="009D3084">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3E59928" w14:textId="77777777" w:rsidR="00F91472" w:rsidRPr="00592F37" w:rsidRDefault="00F91472" w:rsidP="009D3084">
            <w:pPr>
              <w:pStyle w:val="VAHItablecolhead"/>
              <w:rPr>
                <w:rFonts w:eastAsia="Verdana"/>
                <w:color w:val="244C5A"/>
              </w:rPr>
            </w:pPr>
            <w:r w:rsidRPr="00C41C2E">
              <w:rPr>
                <w:sz w:val="16"/>
              </w:rPr>
              <w:t xml:space="preserve">Pre admission contact </w:t>
            </w:r>
            <w:r>
              <w:rPr>
                <w:sz w:val="16"/>
              </w:rPr>
              <w:br w:type="textWrapping" w:clear="all"/>
            </w:r>
            <w:r w:rsidRPr="00C41C2E">
              <w:rPr>
                <w:sz w:val="16"/>
              </w:rPr>
              <w:t>(in area)</w:t>
            </w:r>
          </w:p>
        </w:tc>
        <w:tc>
          <w:tcPr>
            <w:tcW w:w="1075" w:type="dxa"/>
            <w:shd w:val="clear" w:color="auto" w:fill="FFFFFF"/>
            <w:vAlign w:val="bottom"/>
          </w:tcPr>
          <w:p w14:paraId="4A3176BC" w14:textId="77777777" w:rsidR="00F91472" w:rsidRPr="00592F37" w:rsidRDefault="00F91472" w:rsidP="009D3084">
            <w:pPr>
              <w:pStyle w:val="VAHItablecolhead"/>
              <w:rPr>
                <w:rFonts w:eastAsia="Verdana"/>
                <w:color w:val="244C5A"/>
              </w:rPr>
            </w:pPr>
            <w:r w:rsidRPr="00C41C2E">
              <w:rPr>
                <w:sz w:val="16"/>
              </w:rPr>
              <w:t>7 day post discharge follow up</w:t>
            </w:r>
          </w:p>
        </w:tc>
        <w:tc>
          <w:tcPr>
            <w:tcW w:w="1075" w:type="dxa"/>
            <w:shd w:val="clear" w:color="auto" w:fill="FFFFFF"/>
            <w:vAlign w:val="bottom"/>
          </w:tcPr>
          <w:p w14:paraId="66A4F704" w14:textId="77777777" w:rsidR="00F91472" w:rsidRPr="00592F37" w:rsidRDefault="00F91472" w:rsidP="009D3084">
            <w:pPr>
              <w:pStyle w:val="VAHItablecolhead"/>
              <w:rPr>
                <w:rFonts w:eastAsia="Verdana"/>
                <w:color w:val="244C5A"/>
              </w:rPr>
            </w:pPr>
            <w:r w:rsidRPr="00C41C2E">
              <w:rPr>
                <w:sz w:val="16"/>
              </w:rPr>
              <w:t>HoNOS compliance</w:t>
            </w:r>
          </w:p>
        </w:tc>
      </w:tr>
      <w:tr w:rsidR="0065124E" w:rsidRPr="007B08C1" w14:paraId="072CFC33" w14:textId="77777777" w:rsidTr="009D3084">
        <w:tc>
          <w:tcPr>
            <w:tcW w:w="1145" w:type="dxa"/>
            <w:shd w:val="clear" w:color="auto" w:fill="BFCED6"/>
          </w:tcPr>
          <w:p w14:paraId="1C26BFCE" w14:textId="62C89493" w:rsidR="0065124E" w:rsidRPr="007B08C1" w:rsidRDefault="0065124E" w:rsidP="0065124E">
            <w:pPr>
              <w:rPr>
                <w:rFonts w:ascii="VIC" w:hAnsi="VIC"/>
                <w:sz w:val="18"/>
                <w:szCs w:val="18"/>
              </w:rPr>
            </w:pPr>
            <w:r w:rsidRPr="00BF7527">
              <w:rPr>
                <w:rFonts w:ascii="VIC" w:eastAsia="Verdana" w:hAnsi="VIC"/>
                <w:color w:val="000000"/>
                <w:sz w:val="18"/>
                <w:szCs w:val="18"/>
              </w:rPr>
              <w:t>Ballarat Health</w:t>
            </w:r>
          </w:p>
        </w:tc>
        <w:tc>
          <w:tcPr>
            <w:tcW w:w="1701" w:type="dxa"/>
            <w:shd w:val="clear" w:color="auto" w:fill="BFCED6"/>
          </w:tcPr>
          <w:p w14:paraId="1598FB62" w14:textId="34DC8DB7" w:rsidR="0065124E" w:rsidRPr="007B08C1" w:rsidRDefault="0065124E" w:rsidP="0065124E">
            <w:pPr>
              <w:rPr>
                <w:rFonts w:ascii="VIC" w:hAnsi="VIC"/>
                <w:sz w:val="18"/>
                <w:szCs w:val="18"/>
              </w:rPr>
            </w:pPr>
            <w:r w:rsidRPr="00BF7527">
              <w:rPr>
                <w:rFonts w:ascii="VIC" w:eastAsia="Verdana" w:hAnsi="VIC"/>
                <w:color w:val="000000"/>
                <w:sz w:val="18"/>
                <w:szCs w:val="18"/>
              </w:rPr>
              <w:t>Grampians</w:t>
            </w:r>
          </w:p>
        </w:tc>
        <w:tc>
          <w:tcPr>
            <w:tcW w:w="1074" w:type="dxa"/>
            <w:shd w:val="clear" w:color="auto" w:fill="BFCED6"/>
          </w:tcPr>
          <w:p w14:paraId="28F0A543" w14:textId="0C3568FF" w:rsidR="0065124E" w:rsidRPr="007B08C1" w:rsidRDefault="0065124E" w:rsidP="0065124E">
            <w:pPr>
              <w:jc w:val="center"/>
              <w:rPr>
                <w:rFonts w:ascii="VIC" w:hAnsi="VIC"/>
                <w:sz w:val="18"/>
                <w:szCs w:val="18"/>
              </w:rPr>
            </w:pPr>
            <w:r w:rsidRPr="00BF7527">
              <w:rPr>
                <w:rFonts w:ascii="VIC" w:eastAsia="Verdana" w:hAnsi="VIC"/>
                <w:color w:val="000000"/>
                <w:sz w:val="18"/>
                <w:szCs w:val="18"/>
              </w:rPr>
              <w:t>2.2</w:t>
            </w:r>
          </w:p>
        </w:tc>
        <w:tc>
          <w:tcPr>
            <w:tcW w:w="1075" w:type="dxa"/>
            <w:shd w:val="clear" w:color="auto" w:fill="BFCED6"/>
          </w:tcPr>
          <w:p w14:paraId="3300B9D5" w14:textId="7809A4FF" w:rsidR="0065124E" w:rsidRPr="007B08C1" w:rsidRDefault="0065124E" w:rsidP="0065124E">
            <w:pPr>
              <w:jc w:val="center"/>
              <w:rPr>
                <w:rFonts w:ascii="VIC" w:hAnsi="VIC"/>
                <w:sz w:val="18"/>
                <w:szCs w:val="18"/>
              </w:rPr>
            </w:pPr>
            <w:r w:rsidRPr="00BF7527">
              <w:rPr>
                <w:rFonts w:ascii="VIC" w:eastAsia="Verdana" w:hAnsi="VIC"/>
                <w:color w:val="000000"/>
                <w:sz w:val="18"/>
                <w:szCs w:val="18"/>
              </w:rPr>
              <w:t>71 %</w:t>
            </w:r>
          </w:p>
        </w:tc>
        <w:tc>
          <w:tcPr>
            <w:tcW w:w="1075" w:type="dxa"/>
            <w:shd w:val="clear" w:color="auto" w:fill="BFCED6"/>
          </w:tcPr>
          <w:p w14:paraId="3DE5E696" w14:textId="250BCAD7" w:rsidR="0065124E" w:rsidRPr="007B08C1" w:rsidRDefault="0065124E" w:rsidP="0065124E">
            <w:pPr>
              <w:jc w:val="center"/>
              <w:rPr>
                <w:rFonts w:ascii="VIC" w:hAnsi="VIC"/>
                <w:sz w:val="18"/>
                <w:szCs w:val="18"/>
              </w:rPr>
            </w:pPr>
            <w:r w:rsidRPr="00BF7527">
              <w:rPr>
                <w:rFonts w:ascii="VIC" w:eastAsia="Verdana" w:hAnsi="VIC"/>
                <w:color w:val="000000"/>
                <w:sz w:val="18"/>
                <w:szCs w:val="18"/>
              </w:rPr>
              <w:t>19.1</w:t>
            </w:r>
          </w:p>
        </w:tc>
        <w:tc>
          <w:tcPr>
            <w:tcW w:w="1075" w:type="dxa"/>
            <w:shd w:val="clear" w:color="auto" w:fill="BFCED6"/>
          </w:tcPr>
          <w:p w14:paraId="37CBE9E6" w14:textId="50716BDA" w:rsidR="0065124E" w:rsidRPr="007B08C1" w:rsidRDefault="0065124E" w:rsidP="0065124E">
            <w:pPr>
              <w:jc w:val="center"/>
              <w:rPr>
                <w:rFonts w:ascii="VIC" w:hAnsi="VIC"/>
                <w:sz w:val="18"/>
                <w:szCs w:val="18"/>
              </w:rPr>
            </w:pPr>
            <w:r w:rsidRPr="00BF7527">
              <w:rPr>
                <w:rFonts w:ascii="VIC" w:eastAsia="Verdana" w:hAnsi="VIC"/>
                <w:color w:val="000000"/>
                <w:sz w:val="18"/>
                <w:szCs w:val="18"/>
              </w:rPr>
              <w:t>9 %</w:t>
            </w:r>
          </w:p>
        </w:tc>
        <w:tc>
          <w:tcPr>
            <w:tcW w:w="1087" w:type="dxa"/>
            <w:shd w:val="clear" w:color="auto" w:fill="BFCED6"/>
          </w:tcPr>
          <w:p w14:paraId="24D8FB7E" w14:textId="2A436A8E" w:rsidR="0065124E" w:rsidRPr="007B08C1" w:rsidRDefault="0065124E" w:rsidP="0065124E">
            <w:pPr>
              <w:jc w:val="center"/>
              <w:rPr>
                <w:rFonts w:ascii="VIC" w:hAnsi="VIC"/>
                <w:sz w:val="18"/>
                <w:szCs w:val="18"/>
              </w:rPr>
            </w:pPr>
            <w:r w:rsidRPr="00BF7527">
              <w:rPr>
                <w:rFonts w:ascii="VIC" w:eastAsia="Verdana" w:hAnsi="VIC"/>
                <w:color w:val="000000"/>
                <w:sz w:val="18"/>
                <w:szCs w:val="18"/>
              </w:rPr>
              <w:t>8 %</w:t>
            </w:r>
          </w:p>
        </w:tc>
        <w:tc>
          <w:tcPr>
            <w:tcW w:w="1063" w:type="dxa"/>
            <w:shd w:val="clear" w:color="auto" w:fill="BFCED6"/>
          </w:tcPr>
          <w:p w14:paraId="3334C992" w14:textId="775B93B0" w:rsidR="0065124E" w:rsidRPr="007B08C1" w:rsidRDefault="0065124E" w:rsidP="0065124E">
            <w:pPr>
              <w:jc w:val="center"/>
              <w:rPr>
                <w:rFonts w:ascii="VIC" w:hAnsi="VIC"/>
                <w:sz w:val="18"/>
                <w:szCs w:val="18"/>
              </w:rPr>
            </w:pPr>
            <w:r w:rsidRPr="00BF7527">
              <w:rPr>
                <w:rFonts w:ascii="VIC" w:eastAsia="Verdana" w:hAnsi="VIC"/>
                <w:color w:val="000000"/>
                <w:sz w:val="18"/>
                <w:szCs w:val="18"/>
              </w:rPr>
              <w:t>6 %</w:t>
            </w:r>
          </w:p>
        </w:tc>
        <w:tc>
          <w:tcPr>
            <w:tcW w:w="1075" w:type="dxa"/>
            <w:shd w:val="clear" w:color="auto" w:fill="BFCED6"/>
          </w:tcPr>
          <w:p w14:paraId="0B25B3BE" w14:textId="0F3DB96E" w:rsidR="0065124E" w:rsidRPr="007B08C1"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BFCED6"/>
          </w:tcPr>
          <w:p w14:paraId="406D415C" w14:textId="4DFF796B" w:rsidR="0065124E" w:rsidRPr="007B08C1" w:rsidRDefault="0065124E" w:rsidP="0065124E">
            <w:pPr>
              <w:jc w:val="center"/>
              <w:rPr>
                <w:rFonts w:ascii="VIC" w:hAnsi="VIC"/>
                <w:sz w:val="18"/>
                <w:szCs w:val="18"/>
              </w:rPr>
            </w:pPr>
            <w:r w:rsidRPr="00BF7527">
              <w:rPr>
                <w:rFonts w:ascii="VIC" w:eastAsia="Verdana" w:hAnsi="VIC"/>
                <w:color w:val="000000"/>
                <w:sz w:val="18"/>
                <w:szCs w:val="18"/>
              </w:rPr>
              <w:t>9.8</w:t>
            </w:r>
          </w:p>
        </w:tc>
        <w:tc>
          <w:tcPr>
            <w:tcW w:w="1075" w:type="dxa"/>
            <w:shd w:val="clear" w:color="auto" w:fill="BFCED6"/>
          </w:tcPr>
          <w:p w14:paraId="3A714F3F" w14:textId="5CE1CA26" w:rsidR="0065124E" w:rsidRPr="007B08C1" w:rsidRDefault="0065124E" w:rsidP="0065124E">
            <w:pPr>
              <w:jc w:val="center"/>
              <w:rPr>
                <w:rFonts w:ascii="VIC" w:hAnsi="VIC"/>
                <w:sz w:val="18"/>
                <w:szCs w:val="18"/>
              </w:rPr>
            </w:pPr>
            <w:r w:rsidRPr="00BF7527">
              <w:rPr>
                <w:rFonts w:ascii="VIC" w:eastAsia="Verdana" w:hAnsi="VIC"/>
                <w:color w:val="000000"/>
                <w:sz w:val="18"/>
                <w:szCs w:val="18"/>
              </w:rPr>
              <w:t>7.7</w:t>
            </w:r>
          </w:p>
        </w:tc>
        <w:tc>
          <w:tcPr>
            <w:tcW w:w="1075" w:type="dxa"/>
            <w:shd w:val="clear" w:color="auto" w:fill="BFCED6"/>
          </w:tcPr>
          <w:p w14:paraId="27FA0226" w14:textId="5D14EA32" w:rsidR="0065124E" w:rsidRPr="007B08C1" w:rsidRDefault="0065124E" w:rsidP="0065124E">
            <w:pPr>
              <w:jc w:val="center"/>
              <w:rPr>
                <w:rFonts w:ascii="VIC" w:hAnsi="VIC"/>
                <w:sz w:val="18"/>
                <w:szCs w:val="18"/>
              </w:rPr>
            </w:pPr>
            <w:r w:rsidRPr="00BF7527">
              <w:rPr>
                <w:rFonts w:ascii="VIC" w:eastAsia="Verdana" w:hAnsi="VIC"/>
                <w:color w:val="000000"/>
                <w:sz w:val="18"/>
                <w:szCs w:val="18"/>
              </w:rPr>
              <w:t>74 %</w:t>
            </w:r>
          </w:p>
        </w:tc>
        <w:tc>
          <w:tcPr>
            <w:tcW w:w="1075" w:type="dxa"/>
            <w:shd w:val="clear" w:color="auto" w:fill="BFCED6"/>
          </w:tcPr>
          <w:p w14:paraId="3D31329D" w14:textId="06696A91" w:rsidR="0065124E" w:rsidRPr="007B08C1" w:rsidRDefault="0065124E" w:rsidP="0065124E">
            <w:pPr>
              <w:jc w:val="center"/>
              <w:rPr>
                <w:rFonts w:ascii="VIC" w:hAnsi="VIC"/>
                <w:sz w:val="18"/>
                <w:szCs w:val="18"/>
              </w:rPr>
            </w:pPr>
            <w:r w:rsidRPr="00BF7527">
              <w:rPr>
                <w:rFonts w:ascii="VIC" w:eastAsia="Verdana" w:hAnsi="VIC"/>
                <w:color w:val="000000"/>
                <w:sz w:val="18"/>
                <w:szCs w:val="18"/>
              </w:rPr>
              <w:t>91 %</w:t>
            </w:r>
          </w:p>
        </w:tc>
        <w:tc>
          <w:tcPr>
            <w:tcW w:w="1075" w:type="dxa"/>
            <w:shd w:val="clear" w:color="auto" w:fill="BFCED6"/>
          </w:tcPr>
          <w:p w14:paraId="236F7D77" w14:textId="1529ED75" w:rsidR="0065124E" w:rsidRPr="007B08C1" w:rsidRDefault="0065124E" w:rsidP="0065124E">
            <w:pPr>
              <w:jc w:val="center"/>
              <w:rPr>
                <w:rFonts w:ascii="VIC" w:hAnsi="VIC"/>
                <w:sz w:val="18"/>
                <w:szCs w:val="18"/>
              </w:rPr>
            </w:pPr>
            <w:r w:rsidRPr="00BF7527">
              <w:rPr>
                <w:rFonts w:ascii="VIC" w:eastAsia="Verdana" w:hAnsi="VIC"/>
                <w:color w:val="000000"/>
                <w:sz w:val="18"/>
                <w:szCs w:val="18"/>
              </w:rPr>
              <w:t>93 %</w:t>
            </w:r>
          </w:p>
        </w:tc>
      </w:tr>
      <w:tr w:rsidR="0065124E" w:rsidRPr="007B08C1" w14:paraId="7FEC6F74" w14:textId="77777777" w:rsidTr="009D3084">
        <w:tc>
          <w:tcPr>
            <w:tcW w:w="1145" w:type="dxa"/>
          </w:tcPr>
          <w:p w14:paraId="63D3EC51" w14:textId="5841026E" w:rsidR="0065124E" w:rsidRPr="007B08C1" w:rsidRDefault="0065124E" w:rsidP="0065124E">
            <w:pPr>
              <w:rPr>
                <w:rFonts w:ascii="VIC" w:hAnsi="VIC"/>
                <w:sz w:val="18"/>
                <w:szCs w:val="18"/>
              </w:rPr>
            </w:pPr>
            <w:r w:rsidRPr="00BF7527">
              <w:rPr>
                <w:rFonts w:ascii="VIC" w:eastAsia="Verdana" w:hAnsi="VIC"/>
                <w:color w:val="000000"/>
                <w:sz w:val="18"/>
                <w:szCs w:val="18"/>
              </w:rPr>
              <w:t>Barwon Health</w:t>
            </w:r>
          </w:p>
        </w:tc>
        <w:tc>
          <w:tcPr>
            <w:tcW w:w="1701" w:type="dxa"/>
          </w:tcPr>
          <w:p w14:paraId="541DDDAE" w14:textId="18F2C642" w:rsidR="0065124E" w:rsidRPr="007B08C1" w:rsidRDefault="0065124E" w:rsidP="0065124E">
            <w:pPr>
              <w:rPr>
                <w:rFonts w:ascii="VIC" w:hAnsi="VIC"/>
                <w:sz w:val="18"/>
                <w:szCs w:val="18"/>
              </w:rPr>
            </w:pPr>
            <w:r w:rsidRPr="00BF7527">
              <w:rPr>
                <w:rFonts w:ascii="VIC" w:eastAsia="Verdana" w:hAnsi="VIC"/>
                <w:color w:val="000000"/>
                <w:sz w:val="18"/>
                <w:szCs w:val="18"/>
              </w:rPr>
              <w:t>Barwon</w:t>
            </w:r>
          </w:p>
        </w:tc>
        <w:tc>
          <w:tcPr>
            <w:tcW w:w="1074" w:type="dxa"/>
          </w:tcPr>
          <w:p w14:paraId="18CE3886" w14:textId="34AC847B" w:rsidR="0065124E" w:rsidRPr="007B08C1" w:rsidRDefault="0065124E" w:rsidP="0065124E">
            <w:pPr>
              <w:jc w:val="center"/>
              <w:rPr>
                <w:rFonts w:ascii="VIC" w:hAnsi="VIC"/>
                <w:sz w:val="18"/>
                <w:szCs w:val="18"/>
              </w:rPr>
            </w:pPr>
            <w:r w:rsidRPr="00BF7527">
              <w:rPr>
                <w:rFonts w:ascii="VIC" w:eastAsia="Verdana" w:hAnsi="VIC"/>
                <w:color w:val="000000"/>
                <w:sz w:val="18"/>
                <w:szCs w:val="18"/>
              </w:rPr>
              <w:t>1.0</w:t>
            </w:r>
          </w:p>
        </w:tc>
        <w:tc>
          <w:tcPr>
            <w:tcW w:w="1075" w:type="dxa"/>
          </w:tcPr>
          <w:p w14:paraId="3A5B3E21" w14:textId="5963267E" w:rsidR="0065124E" w:rsidRPr="007B08C1" w:rsidRDefault="0065124E" w:rsidP="0065124E">
            <w:pPr>
              <w:jc w:val="center"/>
              <w:rPr>
                <w:rFonts w:ascii="VIC" w:hAnsi="VIC"/>
                <w:sz w:val="18"/>
                <w:szCs w:val="18"/>
              </w:rPr>
            </w:pPr>
            <w:r w:rsidRPr="00BF7527">
              <w:rPr>
                <w:rFonts w:ascii="VIC" w:eastAsia="Verdana" w:hAnsi="VIC"/>
                <w:color w:val="000000"/>
                <w:sz w:val="18"/>
                <w:szCs w:val="18"/>
              </w:rPr>
              <w:t>73 %</w:t>
            </w:r>
          </w:p>
        </w:tc>
        <w:tc>
          <w:tcPr>
            <w:tcW w:w="1075" w:type="dxa"/>
          </w:tcPr>
          <w:p w14:paraId="596B3C79" w14:textId="4BC8985F" w:rsidR="0065124E" w:rsidRPr="007B08C1" w:rsidRDefault="0065124E" w:rsidP="0065124E">
            <w:pPr>
              <w:jc w:val="center"/>
              <w:rPr>
                <w:rFonts w:ascii="VIC" w:hAnsi="VIC"/>
                <w:sz w:val="18"/>
                <w:szCs w:val="18"/>
              </w:rPr>
            </w:pPr>
            <w:r w:rsidRPr="00BF7527">
              <w:rPr>
                <w:rFonts w:ascii="VIC" w:eastAsia="Verdana" w:hAnsi="VIC"/>
                <w:color w:val="000000"/>
                <w:sz w:val="18"/>
                <w:szCs w:val="18"/>
              </w:rPr>
              <w:t>17.3</w:t>
            </w:r>
          </w:p>
        </w:tc>
        <w:tc>
          <w:tcPr>
            <w:tcW w:w="1075" w:type="dxa"/>
          </w:tcPr>
          <w:p w14:paraId="01FBC88D" w14:textId="698A643A" w:rsidR="0065124E" w:rsidRPr="007B08C1" w:rsidRDefault="0065124E" w:rsidP="0065124E">
            <w:pPr>
              <w:jc w:val="center"/>
              <w:rPr>
                <w:rFonts w:ascii="VIC" w:hAnsi="VIC"/>
                <w:sz w:val="18"/>
                <w:szCs w:val="18"/>
              </w:rPr>
            </w:pPr>
            <w:r w:rsidRPr="00BF7527">
              <w:rPr>
                <w:rFonts w:ascii="VIC" w:eastAsia="Verdana" w:hAnsi="VIC"/>
                <w:color w:val="000000"/>
                <w:sz w:val="18"/>
                <w:szCs w:val="18"/>
              </w:rPr>
              <w:t>16 %</w:t>
            </w:r>
          </w:p>
        </w:tc>
        <w:tc>
          <w:tcPr>
            <w:tcW w:w="1087" w:type="dxa"/>
          </w:tcPr>
          <w:p w14:paraId="33496D7D" w14:textId="7D33FE9A" w:rsidR="0065124E" w:rsidRPr="007B08C1" w:rsidRDefault="0065124E" w:rsidP="0065124E">
            <w:pPr>
              <w:jc w:val="center"/>
              <w:rPr>
                <w:rFonts w:ascii="VIC" w:hAnsi="VIC"/>
                <w:sz w:val="18"/>
                <w:szCs w:val="18"/>
              </w:rPr>
            </w:pPr>
            <w:r w:rsidRPr="00BF7527">
              <w:rPr>
                <w:rFonts w:ascii="VIC" w:eastAsia="Verdana" w:hAnsi="VIC"/>
                <w:color w:val="000000"/>
                <w:sz w:val="18"/>
                <w:szCs w:val="18"/>
              </w:rPr>
              <w:t>14 %</w:t>
            </w:r>
          </w:p>
        </w:tc>
        <w:tc>
          <w:tcPr>
            <w:tcW w:w="1063" w:type="dxa"/>
          </w:tcPr>
          <w:p w14:paraId="22FA2AF5" w14:textId="4EBB4B9C" w:rsidR="0065124E" w:rsidRPr="007B08C1" w:rsidRDefault="0065124E" w:rsidP="0065124E">
            <w:pPr>
              <w:jc w:val="center"/>
              <w:rPr>
                <w:rFonts w:ascii="VIC" w:hAnsi="VIC"/>
                <w:sz w:val="18"/>
                <w:szCs w:val="18"/>
              </w:rPr>
            </w:pPr>
            <w:r w:rsidRPr="00BF7527">
              <w:rPr>
                <w:rFonts w:ascii="VIC" w:eastAsia="Verdana" w:hAnsi="VIC"/>
                <w:color w:val="000000"/>
                <w:sz w:val="18"/>
                <w:szCs w:val="18"/>
              </w:rPr>
              <w:t>10 %</w:t>
            </w:r>
          </w:p>
        </w:tc>
        <w:tc>
          <w:tcPr>
            <w:tcW w:w="1075" w:type="dxa"/>
          </w:tcPr>
          <w:p w14:paraId="724EBB9D" w14:textId="02508EA5" w:rsidR="0065124E" w:rsidRPr="007B08C1"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tcPr>
          <w:p w14:paraId="5180623B" w14:textId="677D03CA" w:rsidR="0065124E" w:rsidRPr="007B08C1" w:rsidRDefault="0065124E" w:rsidP="0065124E">
            <w:pPr>
              <w:jc w:val="center"/>
              <w:rPr>
                <w:rFonts w:ascii="VIC" w:hAnsi="VIC"/>
                <w:sz w:val="18"/>
                <w:szCs w:val="18"/>
              </w:rPr>
            </w:pPr>
            <w:r w:rsidRPr="00BF7527">
              <w:rPr>
                <w:rFonts w:ascii="VIC" w:eastAsia="Verdana" w:hAnsi="VIC"/>
                <w:color w:val="000000"/>
                <w:sz w:val="18"/>
                <w:szCs w:val="18"/>
              </w:rPr>
              <w:t>2.5</w:t>
            </w:r>
          </w:p>
        </w:tc>
        <w:tc>
          <w:tcPr>
            <w:tcW w:w="1075" w:type="dxa"/>
          </w:tcPr>
          <w:p w14:paraId="4545565D" w14:textId="420750E6" w:rsidR="0065124E" w:rsidRPr="007B08C1"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tcPr>
          <w:p w14:paraId="100EFAF7" w14:textId="2DB76358" w:rsidR="0065124E" w:rsidRPr="007B08C1" w:rsidRDefault="0065124E" w:rsidP="0065124E">
            <w:pPr>
              <w:jc w:val="center"/>
              <w:rPr>
                <w:rFonts w:ascii="VIC" w:hAnsi="VIC"/>
                <w:sz w:val="18"/>
                <w:szCs w:val="18"/>
              </w:rPr>
            </w:pPr>
            <w:r w:rsidRPr="00BF7527">
              <w:rPr>
                <w:rFonts w:ascii="VIC" w:eastAsia="Verdana" w:hAnsi="VIC"/>
                <w:color w:val="000000"/>
                <w:sz w:val="18"/>
                <w:szCs w:val="18"/>
              </w:rPr>
              <w:t>59 %</w:t>
            </w:r>
          </w:p>
        </w:tc>
        <w:tc>
          <w:tcPr>
            <w:tcW w:w="1075" w:type="dxa"/>
          </w:tcPr>
          <w:p w14:paraId="29BE8CA8" w14:textId="6F6AEE00" w:rsidR="0065124E" w:rsidRPr="007B08C1" w:rsidRDefault="0065124E" w:rsidP="0065124E">
            <w:pPr>
              <w:jc w:val="center"/>
              <w:rPr>
                <w:rFonts w:ascii="VIC" w:hAnsi="VIC"/>
                <w:sz w:val="18"/>
                <w:szCs w:val="18"/>
              </w:rPr>
            </w:pPr>
            <w:r w:rsidRPr="00BF7527">
              <w:rPr>
                <w:rFonts w:ascii="VIC" w:eastAsia="Verdana" w:hAnsi="VIC"/>
                <w:color w:val="000000"/>
                <w:sz w:val="18"/>
                <w:szCs w:val="18"/>
              </w:rPr>
              <w:t>97 %</w:t>
            </w:r>
          </w:p>
        </w:tc>
        <w:tc>
          <w:tcPr>
            <w:tcW w:w="1075" w:type="dxa"/>
          </w:tcPr>
          <w:p w14:paraId="0E26C1FB" w14:textId="74395754" w:rsidR="0065124E" w:rsidRPr="007B08C1" w:rsidRDefault="0065124E" w:rsidP="0065124E">
            <w:pPr>
              <w:jc w:val="center"/>
              <w:rPr>
                <w:rFonts w:ascii="VIC" w:hAnsi="VIC"/>
                <w:sz w:val="18"/>
                <w:szCs w:val="18"/>
              </w:rPr>
            </w:pPr>
            <w:r w:rsidRPr="00BF7527">
              <w:rPr>
                <w:rFonts w:ascii="VIC" w:eastAsia="Verdana" w:hAnsi="VIC"/>
                <w:color w:val="000000"/>
                <w:sz w:val="18"/>
                <w:szCs w:val="18"/>
              </w:rPr>
              <w:t>71 %</w:t>
            </w:r>
          </w:p>
        </w:tc>
      </w:tr>
      <w:tr w:rsidR="0065124E" w:rsidRPr="007B08C1" w14:paraId="49EF088E" w14:textId="77777777" w:rsidTr="009D3084">
        <w:tc>
          <w:tcPr>
            <w:tcW w:w="1145" w:type="dxa"/>
            <w:shd w:val="clear" w:color="auto" w:fill="BFCED6"/>
          </w:tcPr>
          <w:p w14:paraId="2C7CBAF7" w14:textId="3EB334B2" w:rsidR="0065124E" w:rsidRPr="007B08C1" w:rsidRDefault="0065124E" w:rsidP="0065124E">
            <w:pPr>
              <w:rPr>
                <w:rFonts w:ascii="VIC" w:hAnsi="VIC"/>
                <w:sz w:val="18"/>
                <w:szCs w:val="18"/>
              </w:rPr>
            </w:pPr>
            <w:r w:rsidRPr="00BF7527">
              <w:rPr>
                <w:rFonts w:ascii="VIC" w:eastAsia="Verdana" w:hAnsi="VIC"/>
                <w:color w:val="000000"/>
                <w:sz w:val="18"/>
                <w:szCs w:val="18"/>
              </w:rPr>
              <w:t>Bendigo Health</w:t>
            </w:r>
          </w:p>
        </w:tc>
        <w:tc>
          <w:tcPr>
            <w:tcW w:w="1701" w:type="dxa"/>
            <w:shd w:val="clear" w:color="auto" w:fill="BFCED6"/>
          </w:tcPr>
          <w:p w14:paraId="481D5917" w14:textId="2904D938" w:rsidR="0065124E" w:rsidRPr="007B08C1" w:rsidRDefault="0065124E" w:rsidP="0065124E">
            <w:pPr>
              <w:rPr>
                <w:rFonts w:ascii="VIC" w:hAnsi="VIC"/>
                <w:sz w:val="18"/>
                <w:szCs w:val="18"/>
              </w:rPr>
            </w:pPr>
            <w:r w:rsidRPr="00BF7527">
              <w:rPr>
                <w:rFonts w:ascii="VIC" w:eastAsia="Verdana" w:hAnsi="VIC"/>
                <w:color w:val="000000"/>
                <w:sz w:val="18"/>
                <w:szCs w:val="18"/>
              </w:rPr>
              <w:t>Loddon/Southern Mallee</w:t>
            </w:r>
          </w:p>
        </w:tc>
        <w:tc>
          <w:tcPr>
            <w:tcW w:w="1074" w:type="dxa"/>
            <w:shd w:val="clear" w:color="auto" w:fill="BFCED6"/>
          </w:tcPr>
          <w:p w14:paraId="28EFAC83" w14:textId="3A0E0D57" w:rsidR="0065124E" w:rsidRPr="007B08C1" w:rsidRDefault="0065124E" w:rsidP="0065124E">
            <w:pPr>
              <w:jc w:val="center"/>
              <w:rPr>
                <w:rFonts w:ascii="VIC" w:hAnsi="VIC"/>
                <w:sz w:val="18"/>
                <w:szCs w:val="18"/>
              </w:rPr>
            </w:pPr>
            <w:r w:rsidRPr="00BF7527">
              <w:rPr>
                <w:rFonts w:ascii="VIC" w:eastAsia="Verdana" w:hAnsi="VIC"/>
                <w:color w:val="000000"/>
                <w:sz w:val="18"/>
                <w:szCs w:val="18"/>
              </w:rPr>
              <w:t>3.4</w:t>
            </w:r>
          </w:p>
        </w:tc>
        <w:tc>
          <w:tcPr>
            <w:tcW w:w="1075" w:type="dxa"/>
            <w:shd w:val="clear" w:color="auto" w:fill="BFCED6"/>
          </w:tcPr>
          <w:p w14:paraId="0DB9D950" w14:textId="48228DD5" w:rsidR="0065124E" w:rsidRPr="007B08C1" w:rsidRDefault="0065124E" w:rsidP="0065124E">
            <w:pPr>
              <w:jc w:val="center"/>
              <w:rPr>
                <w:rFonts w:ascii="VIC" w:hAnsi="VIC"/>
                <w:sz w:val="18"/>
                <w:szCs w:val="18"/>
              </w:rPr>
            </w:pPr>
            <w:r w:rsidRPr="00BF7527">
              <w:rPr>
                <w:rFonts w:ascii="VIC" w:eastAsia="Verdana" w:hAnsi="VIC"/>
                <w:color w:val="000000"/>
                <w:sz w:val="18"/>
                <w:szCs w:val="18"/>
              </w:rPr>
              <w:t>93 %</w:t>
            </w:r>
          </w:p>
        </w:tc>
        <w:tc>
          <w:tcPr>
            <w:tcW w:w="1075" w:type="dxa"/>
            <w:shd w:val="clear" w:color="auto" w:fill="BFCED6"/>
          </w:tcPr>
          <w:p w14:paraId="2DD27CA0" w14:textId="70A80C4D" w:rsidR="0065124E" w:rsidRPr="007B08C1" w:rsidRDefault="0065124E" w:rsidP="0065124E">
            <w:pPr>
              <w:jc w:val="center"/>
              <w:rPr>
                <w:rFonts w:ascii="VIC" w:hAnsi="VIC"/>
                <w:sz w:val="18"/>
                <w:szCs w:val="18"/>
              </w:rPr>
            </w:pPr>
            <w:r w:rsidRPr="00BF7527">
              <w:rPr>
                <w:rFonts w:ascii="VIC" w:eastAsia="Verdana" w:hAnsi="VIC"/>
                <w:color w:val="000000"/>
                <w:sz w:val="18"/>
                <w:szCs w:val="18"/>
              </w:rPr>
              <w:t>19.9</w:t>
            </w:r>
          </w:p>
        </w:tc>
        <w:tc>
          <w:tcPr>
            <w:tcW w:w="1075" w:type="dxa"/>
            <w:shd w:val="clear" w:color="auto" w:fill="BFCED6"/>
          </w:tcPr>
          <w:p w14:paraId="7F03C031" w14:textId="79ECE3B3" w:rsidR="0065124E" w:rsidRPr="007B08C1" w:rsidRDefault="0065124E" w:rsidP="0065124E">
            <w:pPr>
              <w:jc w:val="center"/>
              <w:rPr>
                <w:rFonts w:ascii="VIC" w:hAnsi="VIC"/>
                <w:sz w:val="18"/>
                <w:szCs w:val="18"/>
              </w:rPr>
            </w:pPr>
            <w:r w:rsidRPr="00BF7527">
              <w:rPr>
                <w:rFonts w:ascii="VIC" w:eastAsia="Verdana" w:hAnsi="VIC"/>
                <w:color w:val="000000"/>
                <w:sz w:val="18"/>
                <w:szCs w:val="18"/>
              </w:rPr>
              <w:t>29 %</w:t>
            </w:r>
          </w:p>
        </w:tc>
        <w:tc>
          <w:tcPr>
            <w:tcW w:w="1087" w:type="dxa"/>
            <w:shd w:val="clear" w:color="auto" w:fill="BFCED6"/>
          </w:tcPr>
          <w:p w14:paraId="4DF10F3C" w14:textId="0FE84271" w:rsidR="0065124E" w:rsidRPr="007B08C1" w:rsidRDefault="0065124E" w:rsidP="0065124E">
            <w:pPr>
              <w:jc w:val="center"/>
              <w:rPr>
                <w:rFonts w:ascii="VIC" w:hAnsi="VIC"/>
                <w:sz w:val="18"/>
                <w:szCs w:val="18"/>
              </w:rPr>
            </w:pPr>
            <w:r w:rsidRPr="00BF7527">
              <w:rPr>
                <w:rFonts w:ascii="VIC" w:eastAsia="Verdana" w:hAnsi="VIC"/>
                <w:color w:val="000000"/>
                <w:sz w:val="18"/>
                <w:szCs w:val="18"/>
              </w:rPr>
              <w:t>4 %</w:t>
            </w:r>
          </w:p>
        </w:tc>
        <w:tc>
          <w:tcPr>
            <w:tcW w:w="1063" w:type="dxa"/>
            <w:shd w:val="clear" w:color="auto" w:fill="BFCED6"/>
          </w:tcPr>
          <w:p w14:paraId="33E25F51" w14:textId="5C4998A1" w:rsidR="0065124E" w:rsidRPr="007B08C1" w:rsidRDefault="0065124E" w:rsidP="0065124E">
            <w:pPr>
              <w:jc w:val="center"/>
              <w:rPr>
                <w:rFonts w:ascii="VIC" w:hAnsi="VIC"/>
                <w:sz w:val="18"/>
                <w:szCs w:val="18"/>
              </w:rPr>
            </w:pPr>
            <w:r w:rsidRPr="00BF7527">
              <w:rPr>
                <w:rFonts w:ascii="VIC" w:eastAsia="Verdana" w:hAnsi="VIC"/>
                <w:color w:val="000000"/>
                <w:sz w:val="18"/>
                <w:szCs w:val="18"/>
              </w:rPr>
              <w:t>33 %</w:t>
            </w:r>
          </w:p>
        </w:tc>
        <w:tc>
          <w:tcPr>
            <w:tcW w:w="1075" w:type="dxa"/>
            <w:shd w:val="clear" w:color="auto" w:fill="BFCED6"/>
          </w:tcPr>
          <w:p w14:paraId="0E6F7D32" w14:textId="0E713F71" w:rsidR="0065124E" w:rsidRPr="007B08C1"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BFCED6"/>
          </w:tcPr>
          <w:p w14:paraId="6622A7AD" w14:textId="299B9B8F" w:rsidR="0065124E" w:rsidRPr="007B08C1" w:rsidRDefault="0065124E" w:rsidP="0065124E">
            <w:pPr>
              <w:jc w:val="center"/>
              <w:rPr>
                <w:rFonts w:ascii="VIC" w:hAnsi="VIC"/>
                <w:sz w:val="18"/>
                <w:szCs w:val="18"/>
              </w:rPr>
            </w:pPr>
            <w:r w:rsidRPr="00BF7527">
              <w:rPr>
                <w:rFonts w:ascii="VIC" w:eastAsia="Verdana" w:hAnsi="VIC"/>
                <w:color w:val="000000"/>
                <w:sz w:val="18"/>
                <w:szCs w:val="18"/>
              </w:rPr>
              <w:t>3.1</w:t>
            </w:r>
          </w:p>
        </w:tc>
        <w:tc>
          <w:tcPr>
            <w:tcW w:w="1075" w:type="dxa"/>
            <w:shd w:val="clear" w:color="auto" w:fill="BFCED6"/>
          </w:tcPr>
          <w:p w14:paraId="5A8780BF" w14:textId="51AB77B1" w:rsidR="0065124E" w:rsidRPr="007B08C1"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shd w:val="clear" w:color="auto" w:fill="BFCED6"/>
          </w:tcPr>
          <w:p w14:paraId="1B63049E" w14:textId="3A1BAABA" w:rsidR="0065124E" w:rsidRPr="007B08C1" w:rsidRDefault="0065124E" w:rsidP="0065124E">
            <w:pPr>
              <w:jc w:val="center"/>
              <w:rPr>
                <w:rFonts w:ascii="VIC" w:hAnsi="VIC"/>
                <w:sz w:val="18"/>
                <w:szCs w:val="18"/>
              </w:rPr>
            </w:pPr>
            <w:r w:rsidRPr="00BF7527">
              <w:rPr>
                <w:rFonts w:ascii="VIC" w:eastAsia="Verdana" w:hAnsi="VIC"/>
                <w:color w:val="000000"/>
                <w:sz w:val="18"/>
                <w:szCs w:val="18"/>
              </w:rPr>
              <w:t>55 %</w:t>
            </w:r>
          </w:p>
        </w:tc>
        <w:tc>
          <w:tcPr>
            <w:tcW w:w="1075" w:type="dxa"/>
            <w:shd w:val="clear" w:color="auto" w:fill="BFCED6"/>
          </w:tcPr>
          <w:p w14:paraId="40B4E416" w14:textId="52716AD9" w:rsidR="0065124E" w:rsidRPr="007B08C1" w:rsidRDefault="0065124E" w:rsidP="0065124E">
            <w:pPr>
              <w:jc w:val="center"/>
              <w:rPr>
                <w:rFonts w:ascii="VIC" w:hAnsi="VIC"/>
                <w:sz w:val="18"/>
                <w:szCs w:val="18"/>
              </w:rPr>
            </w:pPr>
            <w:r w:rsidRPr="00BF7527">
              <w:rPr>
                <w:rFonts w:ascii="VIC" w:eastAsia="Verdana" w:hAnsi="VIC"/>
                <w:color w:val="000000"/>
                <w:sz w:val="18"/>
                <w:szCs w:val="18"/>
              </w:rPr>
              <w:t>88 %</w:t>
            </w:r>
          </w:p>
        </w:tc>
        <w:tc>
          <w:tcPr>
            <w:tcW w:w="1075" w:type="dxa"/>
            <w:shd w:val="clear" w:color="auto" w:fill="BFCED6"/>
          </w:tcPr>
          <w:p w14:paraId="769EECCA" w14:textId="641CF965" w:rsidR="0065124E" w:rsidRPr="007B08C1" w:rsidRDefault="0065124E" w:rsidP="0065124E">
            <w:pPr>
              <w:jc w:val="center"/>
              <w:rPr>
                <w:rFonts w:ascii="VIC" w:hAnsi="VIC"/>
                <w:sz w:val="18"/>
                <w:szCs w:val="18"/>
              </w:rPr>
            </w:pPr>
            <w:r w:rsidRPr="00BF7527">
              <w:rPr>
                <w:rFonts w:ascii="VIC" w:eastAsia="Verdana" w:hAnsi="VIC"/>
                <w:color w:val="000000"/>
                <w:sz w:val="18"/>
                <w:szCs w:val="18"/>
              </w:rPr>
              <w:t>98 %</w:t>
            </w:r>
          </w:p>
        </w:tc>
      </w:tr>
      <w:tr w:rsidR="0065124E" w:rsidRPr="007B08C1" w14:paraId="6BA089DA" w14:textId="77777777" w:rsidTr="009D3084">
        <w:tc>
          <w:tcPr>
            <w:tcW w:w="1145" w:type="dxa"/>
          </w:tcPr>
          <w:p w14:paraId="7227FD22" w14:textId="65786FD6" w:rsidR="0065124E" w:rsidRPr="007B08C1" w:rsidRDefault="0065124E" w:rsidP="0065124E">
            <w:pPr>
              <w:rPr>
                <w:rFonts w:ascii="VIC" w:hAnsi="VIC"/>
                <w:sz w:val="18"/>
                <w:szCs w:val="18"/>
              </w:rPr>
            </w:pPr>
            <w:r w:rsidRPr="00BF7527">
              <w:rPr>
                <w:rFonts w:ascii="VIC" w:eastAsia="Verdana" w:hAnsi="VIC"/>
                <w:color w:val="000000"/>
                <w:sz w:val="18"/>
                <w:szCs w:val="18"/>
              </w:rPr>
              <w:t>Goulburn Valley Health</w:t>
            </w:r>
          </w:p>
        </w:tc>
        <w:tc>
          <w:tcPr>
            <w:tcW w:w="1701" w:type="dxa"/>
          </w:tcPr>
          <w:p w14:paraId="0327017C" w14:textId="11228EE4" w:rsidR="0065124E" w:rsidRPr="007B08C1" w:rsidRDefault="0065124E" w:rsidP="0065124E">
            <w:pPr>
              <w:rPr>
                <w:rFonts w:ascii="VIC" w:hAnsi="VIC"/>
                <w:sz w:val="18"/>
                <w:szCs w:val="18"/>
              </w:rPr>
            </w:pPr>
            <w:r w:rsidRPr="00BF7527">
              <w:rPr>
                <w:rFonts w:ascii="VIC" w:eastAsia="Verdana" w:hAnsi="VIC"/>
                <w:color w:val="000000"/>
                <w:sz w:val="18"/>
                <w:szCs w:val="18"/>
              </w:rPr>
              <w:t>Goulburn &amp; Southern</w:t>
            </w:r>
          </w:p>
        </w:tc>
        <w:tc>
          <w:tcPr>
            <w:tcW w:w="1074" w:type="dxa"/>
          </w:tcPr>
          <w:p w14:paraId="0A70968A" w14:textId="75D0835D" w:rsidR="0065124E" w:rsidRPr="007B08C1" w:rsidRDefault="0065124E" w:rsidP="0065124E">
            <w:pPr>
              <w:jc w:val="center"/>
              <w:rPr>
                <w:rFonts w:ascii="VIC" w:hAnsi="VIC"/>
                <w:sz w:val="18"/>
                <w:szCs w:val="18"/>
              </w:rPr>
            </w:pPr>
            <w:r w:rsidRPr="00BF7527">
              <w:rPr>
                <w:rFonts w:ascii="VIC" w:eastAsia="Verdana" w:hAnsi="VIC"/>
                <w:color w:val="000000"/>
                <w:sz w:val="18"/>
                <w:szCs w:val="18"/>
              </w:rPr>
              <w:t>1.7</w:t>
            </w:r>
          </w:p>
        </w:tc>
        <w:tc>
          <w:tcPr>
            <w:tcW w:w="1075" w:type="dxa"/>
          </w:tcPr>
          <w:p w14:paraId="1C4BF139" w14:textId="5B4C6C03" w:rsidR="0065124E" w:rsidRPr="007B08C1" w:rsidRDefault="0065124E" w:rsidP="0065124E">
            <w:pPr>
              <w:jc w:val="center"/>
              <w:rPr>
                <w:rFonts w:ascii="VIC" w:hAnsi="VIC"/>
                <w:sz w:val="18"/>
                <w:szCs w:val="18"/>
              </w:rPr>
            </w:pPr>
            <w:r w:rsidRPr="00BF7527">
              <w:rPr>
                <w:rFonts w:ascii="VIC" w:eastAsia="Verdana" w:hAnsi="VIC"/>
                <w:color w:val="000000"/>
                <w:sz w:val="18"/>
                <w:szCs w:val="18"/>
              </w:rPr>
              <w:t>81 %</w:t>
            </w:r>
          </w:p>
        </w:tc>
        <w:tc>
          <w:tcPr>
            <w:tcW w:w="1075" w:type="dxa"/>
          </w:tcPr>
          <w:p w14:paraId="2871CDF3" w14:textId="1DD89837" w:rsidR="0065124E" w:rsidRPr="007B08C1" w:rsidRDefault="0065124E" w:rsidP="0065124E">
            <w:pPr>
              <w:jc w:val="center"/>
              <w:rPr>
                <w:rFonts w:ascii="VIC" w:hAnsi="VIC"/>
                <w:sz w:val="18"/>
                <w:szCs w:val="18"/>
              </w:rPr>
            </w:pPr>
            <w:r w:rsidRPr="00BF7527">
              <w:rPr>
                <w:rFonts w:ascii="VIC" w:eastAsia="Verdana" w:hAnsi="VIC"/>
                <w:color w:val="000000"/>
                <w:sz w:val="18"/>
                <w:szCs w:val="18"/>
              </w:rPr>
              <w:t>19.1</w:t>
            </w:r>
          </w:p>
        </w:tc>
        <w:tc>
          <w:tcPr>
            <w:tcW w:w="1075" w:type="dxa"/>
          </w:tcPr>
          <w:p w14:paraId="30F69AFD" w14:textId="195449C1" w:rsidR="0065124E" w:rsidRPr="007B08C1" w:rsidRDefault="0065124E" w:rsidP="0065124E">
            <w:pPr>
              <w:jc w:val="center"/>
              <w:rPr>
                <w:rFonts w:ascii="VIC" w:hAnsi="VIC"/>
                <w:sz w:val="18"/>
                <w:szCs w:val="18"/>
              </w:rPr>
            </w:pPr>
            <w:r w:rsidRPr="00BF7527">
              <w:rPr>
                <w:rFonts w:ascii="VIC" w:eastAsia="Verdana" w:hAnsi="VIC"/>
                <w:color w:val="000000"/>
                <w:sz w:val="18"/>
                <w:szCs w:val="18"/>
              </w:rPr>
              <w:t>9 %</w:t>
            </w:r>
          </w:p>
        </w:tc>
        <w:tc>
          <w:tcPr>
            <w:tcW w:w="1087" w:type="dxa"/>
          </w:tcPr>
          <w:p w14:paraId="7FA4A47A" w14:textId="519E2770" w:rsidR="0065124E" w:rsidRPr="007B08C1" w:rsidRDefault="0065124E" w:rsidP="0065124E">
            <w:pPr>
              <w:jc w:val="center"/>
              <w:rPr>
                <w:rFonts w:ascii="VIC" w:hAnsi="VIC"/>
                <w:sz w:val="18"/>
                <w:szCs w:val="18"/>
              </w:rPr>
            </w:pPr>
            <w:r w:rsidRPr="00BF7527">
              <w:rPr>
                <w:rFonts w:ascii="VIC" w:eastAsia="Verdana" w:hAnsi="VIC"/>
                <w:color w:val="000000"/>
                <w:sz w:val="18"/>
                <w:szCs w:val="18"/>
              </w:rPr>
              <w:t>0 %</w:t>
            </w:r>
          </w:p>
        </w:tc>
        <w:tc>
          <w:tcPr>
            <w:tcW w:w="1063" w:type="dxa"/>
          </w:tcPr>
          <w:p w14:paraId="6A46C63B" w14:textId="3B5BC19D" w:rsidR="0065124E" w:rsidRPr="007B08C1" w:rsidRDefault="0065124E" w:rsidP="0065124E">
            <w:pPr>
              <w:jc w:val="center"/>
              <w:rPr>
                <w:rFonts w:ascii="VIC" w:hAnsi="VIC"/>
                <w:sz w:val="18"/>
                <w:szCs w:val="18"/>
              </w:rPr>
            </w:pPr>
            <w:r w:rsidRPr="00BF7527">
              <w:rPr>
                <w:rFonts w:ascii="VIC" w:eastAsia="Verdana" w:hAnsi="VIC"/>
                <w:color w:val="000000"/>
                <w:sz w:val="18"/>
                <w:szCs w:val="18"/>
              </w:rPr>
              <w:t>22 %</w:t>
            </w:r>
          </w:p>
        </w:tc>
        <w:tc>
          <w:tcPr>
            <w:tcW w:w="1075" w:type="dxa"/>
          </w:tcPr>
          <w:p w14:paraId="382FA8DD" w14:textId="4A1F7A47" w:rsidR="0065124E" w:rsidRPr="007B08C1" w:rsidRDefault="0065124E" w:rsidP="0065124E">
            <w:pPr>
              <w:jc w:val="center"/>
              <w:rPr>
                <w:rFonts w:ascii="VIC" w:hAnsi="VIC"/>
                <w:sz w:val="18"/>
                <w:szCs w:val="18"/>
              </w:rPr>
            </w:pPr>
            <w:r w:rsidRPr="00BF7527">
              <w:rPr>
                <w:rFonts w:ascii="VIC" w:eastAsia="Verdana" w:hAnsi="VIC"/>
                <w:color w:val="000000"/>
                <w:sz w:val="18"/>
                <w:szCs w:val="18"/>
              </w:rPr>
              <w:t>98 %</w:t>
            </w:r>
          </w:p>
        </w:tc>
        <w:tc>
          <w:tcPr>
            <w:tcW w:w="1075" w:type="dxa"/>
          </w:tcPr>
          <w:p w14:paraId="176E018D" w14:textId="34A2D241" w:rsidR="0065124E" w:rsidRPr="007B08C1" w:rsidRDefault="0065124E" w:rsidP="0065124E">
            <w:pPr>
              <w:jc w:val="center"/>
              <w:rPr>
                <w:rFonts w:ascii="VIC" w:hAnsi="VIC"/>
                <w:sz w:val="18"/>
                <w:szCs w:val="18"/>
              </w:rPr>
            </w:pPr>
            <w:r w:rsidRPr="00BF7527">
              <w:rPr>
                <w:rFonts w:ascii="VIC" w:eastAsia="Verdana" w:hAnsi="VIC"/>
                <w:color w:val="000000"/>
                <w:sz w:val="18"/>
                <w:szCs w:val="18"/>
              </w:rPr>
              <w:t>3.6</w:t>
            </w:r>
          </w:p>
        </w:tc>
        <w:tc>
          <w:tcPr>
            <w:tcW w:w="1075" w:type="dxa"/>
          </w:tcPr>
          <w:p w14:paraId="723E3AD6" w14:textId="6568E6FF" w:rsidR="0065124E" w:rsidRPr="007B08C1"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tcPr>
          <w:p w14:paraId="586421EC" w14:textId="0472A73F" w:rsidR="0065124E" w:rsidRPr="007B08C1" w:rsidRDefault="0065124E" w:rsidP="0065124E">
            <w:pPr>
              <w:jc w:val="center"/>
              <w:rPr>
                <w:rFonts w:ascii="VIC" w:hAnsi="VIC"/>
                <w:sz w:val="18"/>
                <w:szCs w:val="18"/>
              </w:rPr>
            </w:pPr>
            <w:r w:rsidRPr="00BF7527">
              <w:rPr>
                <w:rFonts w:ascii="VIC" w:eastAsia="Verdana" w:hAnsi="VIC"/>
                <w:color w:val="000000"/>
                <w:sz w:val="18"/>
                <w:szCs w:val="18"/>
              </w:rPr>
              <w:t>64 %</w:t>
            </w:r>
          </w:p>
        </w:tc>
        <w:tc>
          <w:tcPr>
            <w:tcW w:w="1075" w:type="dxa"/>
          </w:tcPr>
          <w:p w14:paraId="14763015" w14:textId="3D86D0DD" w:rsidR="0065124E" w:rsidRPr="007B08C1" w:rsidRDefault="0065124E" w:rsidP="0065124E">
            <w:pPr>
              <w:jc w:val="center"/>
              <w:rPr>
                <w:rFonts w:ascii="VIC" w:hAnsi="VIC"/>
                <w:sz w:val="18"/>
                <w:szCs w:val="18"/>
              </w:rPr>
            </w:pPr>
            <w:r w:rsidRPr="00BF7527">
              <w:rPr>
                <w:rFonts w:ascii="VIC" w:eastAsia="Verdana" w:hAnsi="VIC"/>
                <w:color w:val="000000"/>
                <w:sz w:val="18"/>
                <w:szCs w:val="18"/>
              </w:rPr>
              <w:t>92 %</w:t>
            </w:r>
          </w:p>
        </w:tc>
        <w:tc>
          <w:tcPr>
            <w:tcW w:w="1075" w:type="dxa"/>
          </w:tcPr>
          <w:p w14:paraId="151F44D6" w14:textId="780771DE" w:rsidR="0065124E" w:rsidRPr="007B08C1" w:rsidRDefault="0065124E" w:rsidP="0065124E">
            <w:pPr>
              <w:jc w:val="center"/>
              <w:rPr>
                <w:rFonts w:ascii="VIC" w:hAnsi="VIC"/>
                <w:sz w:val="18"/>
                <w:szCs w:val="18"/>
              </w:rPr>
            </w:pPr>
            <w:r w:rsidRPr="00BF7527">
              <w:rPr>
                <w:rFonts w:ascii="VIC" w:eastAsia="Verdana" w:hAnsi="VIC"/>
                <w:color w:val="000000"/>
                <w:sz w:val="18"/>
                <w:szCs w:val="18"/>
              </w:rPr>
              <w:t>99 %</w:t>
            </w:r>
          </w:p>
        </w:tc>
      </w:tr>
      <w:tr w:rsidR="0065124E" w:rsidRPr="007B08C1" w14:paraId="4AE72233" w14:textId="77777777" w:rsidTr="009D3084">
        <w:tc>
          <w:tcPr>
            <w:tcW w:w="1145" w:type="dxa"/>
            <w:shd w:val="clear" w:color="auto" w:fill="BFCED6"/>
          </w:tcPr>
          <w:p w14:paraId="08D54E4F" w14:textId="636D348C" w:rsidR="0065124E" w:rsidRPr="007B08C1" w:rsidRDefault="0065124E" w:rsidP="0065124E">
            <w:pPr>
              <w:rPr>
                <w:rFonts w:ascii="VIC" w:hAnsi="VIC"/>
                <w:sz w:val="18"/>
                <w:szCs w:val="18"/>
              </w:rPr>
            </w:pPr>
            <w:r w:rsidRPr="00BF7527">
              <w:rPr>
                <w:rFonts w:ascii="VIC" w:eastAsia="Verdana" w:hAnsi="VIC"/>
                <w:color w:val="000000"/>
                <w:sz w:val="18"/>
                <w:szCs w:val="18"/>
              </w:rPr>
              <w:t>Latrobe Regional</w:t>
            </w:r>
          </w:p>
        </w:tc>
        <w:tc>
          <w:tcPr>
            <w:tcW w:w="1701" w:type="dxa"/>
            <w:shd w:val="clear" w:color="auto" w:fill="BFCED6"/>
          </w:tcPr>
          <w:p w14:paraId="7A29E591" w14:textId="77EBDE1E" w:rsidR="0065124E" w:rsidRPr="007B08C1" w:rsidRDefault="0065124E" w:rsidP="0065124E">
            <w:pPr>
              <w:rPr>
                <w:rFonts w:ascii="VIC" w:hAnsi="VIC"/>
                <w:sz w:val="18"/>
                <w:szCs w:val="18"/>
              </w:rPr>
            </w:pPr>
            <w:r w:rsidRPr="00BF7527">
              <w:rPr>
                <w:rFonts w:ascii="VIC" w:eastAsia="Verdana" w:hAnsi="VIC"/>
                <w:color w:val="000000"/>
                <w:sz w:val="18"/>
                <w:szCs w:val="18"/>
              </w:rPr>
              <w:t>Gippsland</w:t>
            </w:r>
          </w:p>
        </w:tc>
        <w:tc>
          <w:tcPr>
            <w:tcW w:w="1074" w:type="dxa"/>
            <w:shd w:val="clear" w:color="auto" w:fill="BFCED6"/>
          </w:tcPr>
          <w:p w14:paraId="3458E6B6" w14:textId="2EB52BB2" w:rsidR="0065124E" w:rsidRPr="007B08C1" w:rsidRDefault="0065124E" w:rsidP="0065124E">
            <w:pPr>
              <w:jc w:val="center"/>
              <w:rPr>
                <w:rFonts w:ascii="VIC" w:hAnsi="VIC"/>
                <w:sz w:val="18"/>
                <w:szCs w:val="18"/>
              </w:rPr>
            </w:pPr>
            <w:r w:rsidRPr="00BF7527">
              <w:rPr>
                <w:rFonts w:ascii="VIC" w:eastAsia="Verdana" w:hAnsi="VIC"/>
                <w:color w:val="000000"/>
                <w:sz w:val="18"/>
                <w:szCs w:val="18"/>
              </w:rPr>
              <w:t>1.6</w:t>
            </w:r>
          </w:p>
        </w:tc>
        <w:tc>
          <w:tcPr>
            <w:tcW w:w="1075" w:type="dxa"/>
            <w:shd w:val="clear" w:color="auto" w:fill="BFCED6"/>
          </w:tcPr>
          <w:p w14:paraId="5197917C" w14:textId="775A1CCF" w:rsidR="0065124E" w:rsidRPr="007B08C1" w:rsidRDefault="0065124E" w:rsidP="0065124E">
            <w:pPr>
              <w:jc w:val="center"/>
              <w:rPr>
                <w:rFonts w:ascii="VIC" w:hAnsi="VIC"/>
                <w:sz w:val="18"/>
                <w:szCs w:val="18"/>
              </w:rPr>
            </w:pPr>
            <w:r w:rsidRPr="00BF7527">
              <w:rPr>
                <w:rFonts w:ascii="VIC" w:eastAsia="Verdana" w:hAnsi="VIC"/>
                <w:color w:val="000000"/>
                <w:sz w:val="18"/>
                <w:szCs w:val="18"/>
              </w:rPr>
              <w:t>88 %</w:t>
            </w:r>
          </w:p>
        </w:tc>
        <w:tc>
          <w:tcPr>
            <w:tcW w:w="1075" w:type="dxa"/>
            <w:shd w:val="clear" w:color="auto" w:fill="BFCED6"/>
          </w:tcPr>
          <w:p w14:paraId="3EB512D2" w14:textId="57102689" w:rsidR="0065124E" w:rsidRPr="007B08C1" w:rsidRDefault="0065124E" w:rsidP="0065124E">
            <w:pPr>
              <w:jc w:val="center"/>
              <w:rPr>
                <w:rFonts w:ascii="VIC" w:hAnsi="VIC"/>
                <w:sz w:val="18"/>
                <w:szCs w:val="18"/>
              </w:rPr>
            </w:pPr>
            <w:r w:rsidRPr="00BF7527">
              <w:rPr>
                <w:rFonts w:ascii="VIC" w:eastAsia="Verdana" w:hAnsi="VIC"/>
                <w:color w:val="000000"/>
                <w:sz w:val="18"/>
                <w:szCs w:val="18"/>
              </w:rPr>
              <w:t>16.3</w:t>
            </w:r>
          </w:p>
        </w:tc>
        <w:tc>
          <w:tcPr>
            <w:tcW w:w="1075" w:type="dxa"/>
            <w:shd w:val="clear" w:color="auto" w:fill="BFCED6"/>
          </w:tcPr>
          <w:p w14:paraId="439FD4C9" w14:textId="21A340FE" w:rsidR="0065124E" w:rsidRPr="007B08C1" w:rsidRDefault="0065124E" w:rsidP="0065124E">
            <w:pPr>
              <w:jc w:val="center"/>
              <w:rPr>
                <w:rFonts w:ascii="VIC" w:hAnsi="VIC"/>
                <w:sz w:val="18"/>
                <w:szCs w:val="18"/>
              </w:rPr>
            </w:pPr>
            <w:r w:rsidRPr="00BF7527">
              <w:rPr>
                <w:rFonts w:ascii="VIC" w:eastAsia="Verdana" w:hAnsi="VIC"/>
                <w:color w:val="000000"/>
                <w:sz w:val="18"/>
                <w:szCs w:val="18"/>
              </w:rPr>
              <w:t>6 %</w:t>
            </w:r>
          </w:p>
        </w:tc>
        <w:tc>
          <w:tcPr>
            <w:tcW w:w="1087" w:type="dxa"/>
            <w:shd w:val="clear" w:color="auto" w:fill="BFCED6"/>
          </w:tcPr>
          <w:p w14:paraId="65B2FC55" w14:textId="0F012758" w:rsidR="0065124E" w:rsidRPr="007B08C1" w:rsidRDefault="0065124E" w:rsidP="0065124E">
            <w:pPr>
              <w:jc w:val="center"/>
              <w:rPr>
                <w:rFonts w:ascii="VIC" w:hAnsi="VIC"/>
                <w:sz w:val="18"/>
                <w:szCs w:val="18"/>
              </w:rPr>
            </w:pPr>
            <w:r w:rsidRPr="00BF7527">
              <w:rPr>
                <w:rFonts w:ascii="VIC" w:eastAsia="Verdana" w:hAnsi="VIC"/>
                <w:color w:val="000000"/>
                <w:sz w:val="18"/>
                <w:szCs w:val="18"/>
              </w:rPr>
              <w:t>7 %</w:t>
            </w:r>
          </w:p>
        </w:tc>
        <w:tc>
          <w:tcPr>
            <w:tcW w:w="1063" w:type="dxa"/>
            <w:shd w:val="clear" w:color="auto" w:fill="BFCED6"/>
          </w:tcPr>
          <w:p w14:paraId="1E873680" w14:textId="3A4F10FE" w:rsidR="0065124E" w:rsidRPr="007B08C1" w:rsidRDefault="0065124E" w:rsidP="0065124E">
            <w:pPr>
              <w:jc w:val="center"/>
              <w:rPr>
                <w:rFonts w:ascii="VIC" w:hAnsi="VIC"/>
                <w:sz w:val="18"/>
                <w:szCs w:val="18"/>
              </w:rPr>
            </w:pPr>
            <w:r w:rsidRPr="00BF7527">
              <w:rPr>
                <w:rFonts w:ascii="VIC" w:eastAsia="Verdana" w:hAnsi="VIC"/>
                <w:color w:val="000000"/>
                <w:sz w:val="18"/>
                <w:szCs w:val="18"/>
              </w:rPr>
              <w:t>42 %</w:t>
            </w:r>
          </w:p>
        </w:tc>
        <w:tc>
          <w:tcPr>
            <w:tcW w:w="1075" w:type="dxa"/>
            <w:shd w:val="clear" w:color="auto" w:fill="BFCED6"/>
          </w:tcPr>
          <w:p w14:paraId="44429C60" w14:textId="064BB8B1" w:rsidR="0065124E" w:rsidRPr="007B08C1" w:rsidRDefault="0065124E" w:rsidP="0065124E">
            <w:pPr>
              <w:jc w:val="center"/>
              <w:rPr>
                <w:rFonts w:ascii="VIC" w:hAnsi="VIC"/>
                <w:sz w:val="18"/>
                <w:szCs w:val="18"/>
              </w:rPr>
            </w:pPr>
            <w:r w:rsidRPr="00BF7527">
              <w:rPr>
                <w:rFonts w:ascii="VIC" w:eastAsia="Verdana" w:hAnsi="VIC"/>
                <w:color w:val="000000"/>
                <w:sz w:val="18"/>
                <w:szCs w:val="18"/>
              </w:rPr>
              <w:t>98 %</w:t>
            </w:r>
          </w:p>
        </w:tc>
        <w:tc>
          <w:tcPr>
            <w:tcW w:w="1075" w:type="dxa"/>
            <w:shd w:val="clear" w:color="auto" w:fill="BFCED6"/>
          </w:tcPr>
          <w:p w14:paraId="4A75DA7A" w14:textId="21F91EAB" w:rsidR="0065124E" w:rsidRPr="007B08C1" w:rsidRDefault="0065124E" w:rsidP="0065124E">
            <w:pPr>
              <w:jc w:val="center"/>
              <w:rPr>
                <w:rFonts w:ascii="VIC" w:hAnsi="VIC"/>
                <w:sz w:val="18"/>
                <w:szCs w:val="18"/>
              </w:rPr>
            </w:pPr>
            <w:r w:rsidRPr="00BF7527">
              <w:rPr>
                <w:rFonts w:ascii="VIC" w:eastAsia="Verdana" w:hAnsi="VIC"/>
                <w:color w:val="000000"/>
                <w:sz w:val="18"/>
                <w:szCs w:val="18"/>
              </w:rPr>
              <w:t>7.0</w:t>
            </w:r>
          </w:p>
        </w:tc>
        <w:tc>
          <w:tcPr>
            <w:tcW w:w="1075" w:type="dxa"/>
            <w:shd w:val="clear" w:color="auto" w:fill="BFCED6"/>
          </w:tcPr>
          <w:p w14:paraId="264B5EBA" w14:textId="6D1A3AB8" w:rsidR="0065124E" w:rsidRPr="007B08C1"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shd w:val="clear" w:color="auto" w:fill="BFCED6"/>
          </w:tcPr>
          <w:p w14:paraId="347DC855" w14:textId="224B9251" w:rsidR="0065124E" w:rsidRPr="007B08C1" w:rsidRDefault="0065124E" w:rsidP="0065124E">
            <w:pPr>
              <w:jc w:val="center"/>
              <w:rPr>
                <w:rFonts w:ascii="VIC" w:hAnsi="VIC"/>
                <w:sz w:val="18"/>
                <w:szCs w:val="18"/>
              </w:rPr>
            </w:pPr>
            <w:r w:rsidRPr="00BF7527">
              <w:rPr>
                <w:rFonts w:ascii="VIC" w:eastAsia="Verdana" w:hAnsi="VIC"/>
                <w:color w:val="000000"/>
                <w:sz w:val="18"/>
                <w:szCs w:val="18"/>
              </w:rPr>
              <w:t>59 %</w:t>
            </w:r>
          </w:p>
        </w:tc>
        <w:tc>
          <w:tcPr>
            <w:tcW w:w="1075" w:type="dxa"/>
            <w:shd w:val="clear" w:color="auto" w:fill="BFCED6"/>
          </w:tcPr>
          <w:p w14:paraId="587B38A6" w14:textId="4838EF70" w:rsidR="0065124E" w:rsidRPr="007B08C1" w:rsidRDefault="0065124E" w:rsidP="0065124E">
            <w:pPr>
              <w:jc w:val="center"/>
              <w:rPr>
                <w:rFonts w:ascii="VIC" w:hAnsi="VIC"/>
                <w:sz w:val="18"/>
                <w:szCs w:val="18"/>
              </w:rPr>
            </w:pPr>
            <w:r w:rsidRPr="00BF7527">
              <w:rPr>
                <w:rFonts w:ascii="VIC" w:eastAsia="Verdana" w:hAnsi="VIC"/>
                <w:color w:val="000000"/>
                <w:sz w:val="18"/>
                <w:szCs w:val="18"/>
              </w:rPr>
              <w:t>84 %</w:t>
            </w:r>
          </w:p>
        </w:tc>
        <w:tc>
          <w:tcPr>
            <w:tcW w:w="1075" w:type="dxa"/>
            <w:shd w:val="clear" w:color="auto" w:fill="BFCED6"/>
          </w:tcPr>
          <w:p w14:paraId="0A3914FF" w14:textId="4B467680" w:rsidR="0065124E" w:rsidRPr="007B08C1" w:rsidRDefault="0065124E" w:rsidP="0065124E">
            <w:pPr>
              <w:jc w:val="center"/>
              <w:rPr>
                <w:rFonts w:ascii="VIC" w:hAnsi="VIC"/>
                <w:sz w:val="18"/>
                <w:szCs w:val="18"/>
              </w:rPr>
            </w:pPr>
            <w:r w:rsidRPr="00BF7527">
              <w:rPr>
                <w:rFonts w:ascii="VIC" w:eastAsia="Verdana" w:hAnsi="VIC"/>
                <w:color w:val="000000"/>
                <w:sz w:val="18"/>
                <w:szCs w:val="18"/>
              </w:rPr>
              <w:t>96 %</w:t>
            </w:r>
          </w:p>
        </w:tc>
      </w:tr>
      <w:tr w:rsidR="0065124E" w:rsidRPr="007B08C1" w14:paraId="6C743D84" w14:textId="77777777" w:rsidTr="009D3084">
        <w:tc>
          <w:tcPr>
            <w:tcW w:w="1145" w:type="dxa"/>
            <w:shd w:val="clear" w:color="auto" w:fill="FFFFFF" w:themeFill="background1"/>
          </w:tcPr>
          <w:p w14:paraId="2017D4C6" w14:textId="6137DF72" w:rsidR="0065124E" w:rsidRPr="007B08C1" w:rsidRDefault="0065124E" w:rsidP="0065124E">
            <w:pPr>
              <w:rPr>
                <w:rFonts w:ascii="VIC" w:hAnsi="VIC"/>
                <w:sz w:val="18"/>
                <w:szCs w:val="18"/>
              </w:rPr>
            </w:pPr>
            <w:r w:rsidRPr="00BF7527">
              <w:rPr>
                <w:rFonts w:ascii="VIC" w:eastAsia="Verdana" w:hAnsi="VIC"/>
                <w:color w:val="000000"/>
                <w:sz w:val="18"/>
                <w:szCs w:val="18"/>
              </w:rPr>
              <w:t>Mildura Base Hospital</w:t>
            </w:r>
          </w:p>
        </w:tc>
        <w:tc>
          <w:tcPr>
            <w:tcW w:w="1701" w:type="dxa"/>
            <w:shd w:val="clear" w:color="auto" w:fill="FFFFFF" w:themeFill="background1"/>
          </w:tcPr>
          <w:p w14:paraId="4D4A6607" w14:textId="60AE82B5" w:rsidR="0065124E" w:rsidRPr="007B08C1" w:rsidRDefault="0065124E" w:rsidP="0065124E">
            <w:pPr>
              <w:rPr>
                <w:rFonts w:ascii="VIC" w:hAnsi="VIC"/>
                <w:sz w:val="18"/>
                <w:szCs w:val="18"/>
              </w:rPr>
            </w:pPr>
            <w:r w:rsidRPr="00BF7527">
              <w:rPr>
                <w:rFonts w:ascii="VIC" w:eastAsia="Verdana" w:hAnsi="VIC"/>
                <w:color w:val="000000"/>
                <w:sz w:val="18"/>
                <w:szCs w:val="18"/>
              </w:rPr>
              <w:t>Northern Mallee</w:t>
            </w:r>
          </w:p>
        </w:tc>
        <w:tc>
          <w:tcPr>
            <w:tcW w:w="1074" w:type="dxa"/>
            <w:shd w:val="clear" w:color="auto" w:fill="FFFFFF" w:themeFill="background1"/>
          </w:tcPr>
          <w:p w14:paraId="3A38F9ED" w14:textId="21D94CC5" w:rsidR="0065124E" w:rsidRPr="007B08C1" w:rsidRDefault="0065124E" w:rsidP="0065124E">
            <w:pPr>
              <w:jc w:val="center"/>
              <w:rPr>
                <w:rFonts w:ascii="VIC" w:hAnsi="VIC"/>
                <w:sz w:val="18"/>
                <w:szCs w:val="18"/>
              </w:rPr>
            </w:pPr>
            <w:r w:rsidRPr="00BF7527">
              <w:rPr>
                <w:rFonts w:ascii="VIC" w:eastAsia="Verdana" w:hAnsi="VIC"/>
                <w:color w:val="000000"/>
                <w:sz w:val="18"/>
                <w:szCs w:val="18"/>
              </w:rPr>
              <w:t>1.7</w:t>
            </w:r>
          </w:p>
        </w:tc>
        <w:tc>
          <w:tcPr>
            <w:tcW w:w="1075" w:type="dxa"/>
            <w:shd w:val="clear" w:color="auto" w:fill="FFFFFF" w:themeFill="background1"/>
          </w:tcPr>
          <w:p w14:paraId="36D8DBB4" w14:textId="2862F470" w:rsidR="0065124E" w:rsidRPr="007B08C1" w:rsidRDefault="0065124E" w:rsidP="0065124E">
            <w:pPr>
              <w:jc w:val="center"/>
              <w:rPr>
                <w:rFonts w:ascii="VIC" w:hAnsi="VIC"/>
                <w:sz w:val="18"/>
                <w:szCs w:val="18"/>
              </w:rPr>
            </w:pPr>
            <w:r w:rsidRPr="00BF7527">
              <w:rPr>
                <w:rFonts w:ascii="VIC" w:eastAsia="Verdana" w:hAnsi="VIC"/>
                <w:color w:val="000000"/>
                <w:sz w:val="18"/>
                <w:szCs w:val="18"/>
              </w:rPr>
              <w:t>36 %</w:t>
            </w:r>
          </w:p>
        </w:tc>
        <w:tc>
          <w:tcPr>
            <w:tcW w:w="1075" w:type="dxa"/>
            <w:shd w:val="clear" w:color="auto" w:fill="FFFFFF" w:themeFill="background1"/>
          </w:tcPr>
          <w:p w14:paraId="387163BB" w14:textId="7748427A" w:rsidR="0065124E" w:rsidRPr="007B08C1" w:rsidRDefault="0065124E" w:rsidP="0065124E">
            <w:pPr>
              <w:jc w:val="center"/>
              <w:rPr>
                <w:rFonts w:ascii="VIC" w:hAnsi="VIC"/>
                <w:sz w:val="18"/>
                <w:szCs w:val="18"/>
              </w:rPr>
            </w:pPr>
            <w:r w:rsidRPr="00BF7527">
              <w:rPr>
                <w:rFonts w:ascii="VIC" w:eastAsia="Verdana" w:hAnsi="VIC"/>
                <w:color w:val="000000"/>
                <w:sz w:val="18"/>
                <w:szCs w:val="18"/>
              </w:rPr>
              <w:t>11.0</w:t>
            </w:r>
          </w:p>
        </w:tc>
        <w:tc>
          <w:tcPr>
            <w:tcW w:w="1075" w:type="dxa"/>
            <w:shd w:val="clear" w:color="auto" w:fill="FFFFFF" w:themeFill="background1"/>
          </w:tcPr>
          <w:p w14:paraId="710BC084" w14:textId="2A2B41B3" w:rsidR="0065124E" w:rsidRPr="007B08C1" w:rsidRDefault="0065124E" w:rsidP="0065124E">
            <w:pPr>
              <w:jc w:val="center"/>
              <w:rPr>
                <w:rFonts w:ascii="VIC" w:hAnsi="VIC"/>
                <w:sz w:val="18"/>
                <w:szCs w:val="18"/>
              </w:rPr>
            </w:pPr>
            <w:r w:rsidRPr="00BF7527">
              <w:rPr>
                <w:rFonts w:ascii="VIC" w:eastAsia="Verdana" w:hAnsi="VIC"/>
                <w:color w:val="000000"/>
                <w:sz w:val="18"/>
                <w:szCs w:val="18"/>
              </w:rPr>
              <w:t>0 %</w:t>
            </w:r>
          </w:p>
        </w:tc>
        <w:tc>
          <w:tcPr>
            <w:tcW w:w="1087" w:type="dxa"/>
            <w:shd w:val="clear" w:color="auto" w:fill="FFFFFF" w:themeFill="background1"/>
          </w:tcPr>
          <w:p w14:paraId="6AE58202" w14:textId="588441C6" w:rsidR="0065124E" w:rsidRPr="007B08C1" w:rsidRDefault="0065124E" w:rsidP="0065124E">
            <w:pPr>
              <w:jc w:val="center"/>
              <w:rPr>
                <w:rFonts w:ascii="VIC" w:hAnsi="VIC"/>
                <w:sz w:val="18"/>
                <w:szCs w:val="18"/>
              </w:rPr>
            </w:pPr>
            <w:r w:rsidRPr="00BF7527">
              <w:rPr>
                <w:rFonts w:ascii="VIC" w:eastAsia="Verdana" w:hAnsi="VIC"/>
                <w:color w:val="000000"/>
                <w:sz w:val="18"/>
                <w:szCs w:val="18"/>
              </w:rPr>
              <w:t>11 %</w:t>
            </w:r>
          </w:p>
        </w:tc>
        <w:tc>
          <w:tcPr>
            <w:tcW w:w="1063" w:type="dxa"/>
            <w:shd w:val="clear" w:color="auto" w:fill="FFFFFF" w:themeFill="background1"/>
          </w:tcPr>
          <w:p w14:paraId="01B982E3" w14:textId="64DC2949" w:rsidR="0065124E" w:rsidRPr="007B08C1" w:rsidRDefault="0065124E" w:rsidP="0065124E">
            <w:pPr>
              <w:jc w:val="center"/>
              <w:rPr>
                <w:rFonts w:ascii="VIC" w:hAnsi="VIC"/>
                <w:sz w:val="18"/>
                <w:szCs w:val="18"/>
              </w:rPr>
            </w:pPr>
            <w:r w:rsidRPr="00BF7527">
              <w:rPr>
                <w:rFonts w:ascii="VIC" w:eastAsia="Verdana" w:hAnsi="VIC"/>
                <w:color w:val="000000"/>
                <w:sz w:val="18"/>
                <w:szCs w:val="18"/>
              </w:rPr>
              <w:t>16 %</w:t>
            </w:r>
          </w:p>
        </w:tc>
        <w:tc>
          <w:tcPr>
            <w:tcW w:w="1075" w:type="dxa"/>
            <w:shd w:val="clear" w:color="auto" w:fill="FFFFFF" w:themeFill="background1"/>
          </w:tcPr>
          <w:p w14:paraId="44DEF131" w14:textId="6D28C5FC" w:rsidR="0065124E" w:rsidRPr="007B08C1"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FFFFFF" w:themeFill="background1"/>
          </w:tcPr>
          <w:p w14:paraId="37D7BD85" w14:textId="50404709" w:rsidR="0065124E" w:rsidRPr="007B08C1"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shd w:val="clear" w:color="auto" w:fill="FFFFFF" w:themeFill="background1"/>
          </w:tcPr>
          <w:p w14:paraId="6A8E6431" w14:textId="4CF21317" w:rsidR="0065124E" w:rsidRPr="007B08C1"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shd w:val="clear" w:color="auto" w:fill="FFFFFF" w:themeFill="background1"/>
          </w:tcPr>
          <w:p w14:paraId="73A69393" w14:textId="7DD325A1" w:rsidR="0065124E" w:rsidRPr="007B08C1" w:rsidRDefault="0065124E" w:rsidP="0065124E">
            <w:pPr>
              <w:jc w:val="center"/>
              <w:rPr>
                <w:rFonts w:ascii="VIC" w:hAnsi="VIC"/>
                <w:sz w:val="18"/>
                <w:szCs w:val="18"/>
              </w:rPr>
            </w:pPr>
            <w:r w:rsidRPr="00BF7527">
              <w:rPr>
                <w:rFonts w:ascii="VIC" w:eastAsia="Verdana" w:hAnsi="VIC"/>
                <w:color w:val="000000"/>
                <w:sz w:val="18"/>
                <w:szCs w:val="18"/>
              </w:rPr>
              <w:t>88 %</w:t>
            </w:r>
          </w:p>
        </w:tc>
        <w:tc>
          <w:tcPr>
            <w:tcW w:w="1075" w:type="dxa"/>
            <w:shd w:val="clear" w:color="auto" w:fill="FFFFFF" w:themeFill="background1"/>
          </w:tcPr>
          <w:p w14:paraId="58785E32" w14:textId="28578E3F" w:rsidR="0065124E" w:rsidRPr="007B08C1" w:rsidRDefault="0065124E" w:rsidP="0065124E">
            <w:pPr>
              <w:jc w:val="center"/>
              <w:rPr>
                <w:rFonts w:ascii="VIC" w:hAnsi="VIC"/>
                <w:sz w:val="18"/>
                <w:szCs w:val="18"/>
              </w:rPr>
            </w:pPr>
            <w:r w:rsidRPr="00BF7527">
              <w:rPr>
                <w:rFonts w:ascii="VIC" w:eastAsia="Verdana" w:hAnsi="VIC"/>
                <w:color w:val="000000"/>
                <w:sz w:val="18"/>
                <w:szCs w:val="18"/>
              </w:rPr>
              <w:t>94 %</w:t>
            </w:r>
          </w:p>
        </w:tc>
        <w:tc>
          <w:tcPr>
            <w:tcW w:w="1075" w:type="dxa"/>
            <w:shd w:val="clear" w:color="auto" w:fill="FFFFFF" w:themeFill="background1"/>
          </w:tcPr>
          <w:p w14:paraId="1CC27E4E" w14:textId="41F8CAFF" w:rsidR="0065124E" w:rsidRPr="007B08C1" w:rsidRDefault="0065124E" w:rsidP="0065124E">
            <w:pPr>
              <w:jc w:val="center"/>
              <w:rPr>
                <w:rFonts w:ascii="VIC" w:hAnsi="VIC"/>
                <w:sz w:val="18"/>
                <w:szCs w:val="18"/>
              </w:rPr>
            </w:pPr>
            <w:r w:rsidRPr="00BF7527">
              <w:rPr>
                <w:rFonts w:ascii="VIC" w:eastAsia="Verdana" w:hAnsi="VIC"/>
                <w:color w:val="000000"/>
                <w:sz w:val="18"/>
                <w:szCs w:val="18"/>
              </w:rPr>
              <w:t>83 %</w:t>
            </w:r>
          </w:p>
        </w:tc>
      </w:tr>
      <w:tr w:rsidR="0065124E" w:rsidRPr="007B08C1" w14:paraId="468BF0B8" w14:textId="77777777" w:rsidTr="009D3084">
        <w:tc>
          <w:tcPr>
            <w:tcW w:w="1145" w:type="dxa"/>
            <w:shd w:val="clear" w:color="auto" w:fill="BFCED6"/>
          </w:tcPr>
          <w:p w14:paraId="4268E039" w14:textId="41285C9F" w:rsidR="0065124E" w:rsidRPr="007B08C1" w:rsidRDefault="0065124E" w:rsidP="0065124E">
            <w:pPr>
              <w:rPr>
                <w:rFonts w:ascii="VIC" w:hAnsi="VIC"/>
                <w:sz w:val="18"/>
                <w:szCs w:val="18"/>
              </w:rPr>
            </w:pPr>
            <w:r w:rsidRPr="00BF7527">
              <w:rPr>
                <w:rFonts w:ascii="VIC" w:eastAsia="Verdana" w:hAnsi="VIC"/>
                <w:color w:val="000000"/>
                <w:sz w:val="18"/>
                <w:szCs w:val="18"/>
              </w:rPr>
              <w:t>Albury Wodonga Health</w:t>
            </w:r>
          </w:p>
        </w:tc>
        <w:tc>
          <w:tcPr>
            <w:tcW w:w="1701" w:type="dxa"/>
            <w:shd w:val="clear" w:color="auto" w:fill="BFCED6"/>
          </w:tcPr>
          <w:p w14:paraId="4C6EBA81" w14:textId="00FAAF02" w:rsidR="0065124E" w:rsidRPr="007B08C1" w:rsidRDefault="0065124E" w:rsidP="0065124E">
            <w:pPr>
              <w:rPr>
                <w:rFonts w:ascii="VIC" w:hAnsi="VIC"/>
                <w:sz w:val="18"/>
                <w:szCs w:val="18"/>
              </w:rPr>
            </w:pPr>
            <w:r w:rsidRPr="00BF7527">
              <w:rPr>
                <w:rFonts w:ascii="VIC" w:eastAsia="Verdana" w:hAnsi="VIC"/>
                <w:color w:val="000000"/>
                <w:sz w:val="18"/>
                <w:szCs w:val="18"/>
              </w:rPr>
              <w:t>North East &amp; Border</w:t>
            </w:r>
          </w:p>
        </w:tc>
        <w:tc>
          <w:tcPr>
            <w:tcW w:w="1074" w:type="dxa"/>
            <w:shd w:val="clear" w:color="auto" w:fill="BFCED6"/>
          </w:tcPr>
          <w:p w14:paraId="4EF5D1DC" w14:textId="2C189A8C" w:rsidR="0065124E" w:rsidRPr="007B08C1" w:rsidRDefault="0065124E" w:rsidP="0065124E">
            <w:pPr>
              <w:jc w:val="center"/>
              <w:rPr>
                <w:rFonts w:ascii="VIC" w:hAnsi="VIC"/>
                <w:sz w:val="18"/>
                <w:szCs w:val="18"/>
              </w:rPr>
            </w:pPr>
            <w:r w:rsidRPr="00BF7527">
              <w:rPr>
                <w:rFonts w:ascii="VIC" w:eastAsia="Verdana" w:hAnsi="VIC"/>
                <w:color w:val="000000"/>
                <w:sz w:val="18"/>
                <w:szCs w:val="18"/>
              </w:rPr>
              <w:t>1.7</w:t>
            </w:r>
          </w:p>
        </w:tc>
        <w:tc>
          <w:tcPr>
            <w:tcW w:w="1075" w:type="dxa"/>
            <w:shd w:val="clear" w:color="auto" w:fill="BFCED6"/>
          </w:tcPr>
          <w:p w14:paraId="4780CD72" w14:textId="46EDB6E4" w:rsidR="0065124E" w:rsidRPr="007B08C1" w:rsidRDefault="0065124E" w:rsidP="0065124E">
            <w:pPr>
              <w:jc w:val="center"/>
              <w:rPr>
                <w:rFonts w:ascii="VIC" w:hAnsi="VIC"/>
                <w:sz w:val="18"/>
                <w:szCs w:val="18"/>
              </w:rPr>
            </w:pPr>
            <w:r w:rsidRPr="00BF7527">
              <w:rPr>
                <w:rFonts w:ascii="VIC" w:eastAsia="Verdana" w:hAnsi="VIC"/>
                <w:color w:val="000000"/>
                <w:sz w:val="18"/>
                <w:szCs w:val="18"/>
              </w:rPr>
              <w:t>63 %</w:t>
            </w:r>
          </w:p>
        </w:tc>
        <w:tc>
          <w:tcPr>
            <w:tcW w:w="1075" w:type="dxa"/>
            <w:shd w:val="clear" w:color="auto" w:fill="BFCED6"/>
          </w:tcPr>
          <w:p w14:paraId="3356772A" w14:textId="288E197D" w:rsidR="0065124E" w:rsidRPr="007B08C1" w:rsidRDefault="0065124E" w:rsidP="0065124E">
            <w:pPr>
              <w:jc w:val="center"/>
              <w:rPr>
                <w:rFonts w:ascii="VIC" w:hAnsi="VIC"/>
                <w:sz w:val="18"/>
                <w:szCs w:val="18"/>
              </w:rPr>
            </w:pPr>
            <w:r w:rsidRPr="00BF7527">
              <w:rPr>
                <w:rFonts w:ascii="VIC" w:eastAsia="Verdana" w:hAnsi="VIC"/>
                <w:color w:val="000000"/>
                <w:sz w:val="18"/>
                <w:szCs w:val="18"/>
              </w:rPr>
              <w:t>19.4</w:t>
            </w:r>
          </w:p>
        </w:tc>
        <w:tc>
          <w:tcPr>
            <w:tcW w:w="1075" w:type="dxa"/>
            <w:shd w:val="clear" w:color="auto" w:fill="BFCED6"/>
          </w:tcPr>
          <w:p w14:paraId="17265D8D" w14:textId="6E74ABAC" w:rsidR="0065124E" w:rsidRPr="007B08C1" w:rsidRDefault="0065124E" w:rsidP="0065124E">
            <w:pPr>
              <w:jc w:val="center"/>
              <w:rPr>
                <w:rFonts w:ascii="VIC" w:hAnsi="VIC"/>
                <w:sz w:val="18"/>
                <w:szCs w:val="18"/>
              </w:rPr>
            </w:pPr>
            <w:r w:rsidRPr="00BF7527">
              <w:rPr>
                <w:rFonts w:ascii="VIC" w:eastAsia="Verdana" w:hAnsi="VIC"/>
                <w:color w:val="000000"/>
                <w:sz w:val="18"/>
                <w:szCs w:val="18"/>
              </w:rPr>
              <w:t>15 %</w:t>
            </w:r>
          </w:p>
        </w:tc>
        <w:tc>
          <w:tcPr>
            <w:tcW w:w="1087" w:type="dxa"/>
            <w:shd w:val="clear" w:color="auto" w:fill="BFCED6"/>
          </w:tcPr>
          <w:p w14:paraId="35DFB527" w14:textId="0CEAC878" w:rsidR="0065124E" w:rsidRPr="007B08C1" w:rsidRDefault="0065124E" w:rsidP="0065124E">
            <w:pPr>
              <w:jc w:val="center"/>
              <w:rPr>
                <w:rFonts w:ascii="VIC" w:hAnsi="VIC"/>
                <w:sz w:val="18"/>
                <w:szCs w:val="18"/>
              </w:rPr>
            </w:pPr>
            <w:r w:rsidRPr="00BF7527">
              <w:rPr>
                <w:rFonts w:ascii="VIC" w:eastAsia="Verdana" w:hAnsi="VIC"/>
                <w:color w:val="000000"/>
                <w:sz w:val="18"/>
                <w:szCs w:val="18"/>
              </w:rPr>
              <w:t>4 %</w:t>
            </w:r>
          </w:p>
        </w:tc>
        <w:tc>
          <w:tcPr>
            <w:tcW w:w="1063" w:type="dxa"/>
            <w:shd w:val="clear" w:color="auto" w:fill="BFCED6"/>
          </w:tcPr>
          <w:p w14:paraId="62356538" w14:textId="26195520" w:rsidR="0065124E" w:rsidRPr="007B08C1" w:rsidRDefault="0065124E" w:rsidP="0065124E">
            <w:pPr>
              <w:jc w:val="center"/>
              <w:rPr>
                <w:rFonts w:ascii="VIC" w:hAnsi="VIC"/>
                <w:sz w:val="18"/>
                <w:szCs w:val="18"/>
              </w:rPr>
            </w:pPr>
            <w:r w:rsidRPr="00BF7527">
              <w:rPr>
                <w:rFonts w:ascii="VIC" w:eastAsia="Verdana" w:hAnsi="VIC"/>
                <w:color w:val="000000"/>
                <w:sz w:val="18"/>
                <w:szCs w:val="18"/>
              </w:rPr>
              <w:t>10 %</w:t>
            </w:r>
          </w:p>
        </w:tc>
        <w:tc>
          <w:tcPr>
            <w:tcW w:w="1075" w:type="dxa"/>
            <w:shd w:val="clear" w:color="auto" w:fill="BFCED6"/>
          </w:tcPr>
          <w:p w14:paraId="3578FD32" w14:textId="34E36293" w:rsidR="0065124E" w:rsidRPr="007B08C1"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BFCED6"/>
          </w:tcPr>
          <w:p w14:paraId="7D96378F" w14:textId="124972DA" w:rsidR="0065124E" w:rsidRPr="007B08C1"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shd w:val="clear" w:color="auto" w:fill="BFCED6"/>
          </w:tcPr>
          <w:p w14:paraId="06DE6556" w14:textId="26C7D9AE" w:rsidR="0065124E" w:rsidRPr="007B08C1" w:rsidRDefault="0065124E" w:rsidP="0065124E">
            <w:pPr>
              <w:jc w:val="center"/>
              <w:rPr>
                <w:rFonts w:ascii="VIC" w:hAnsi="VIC"/>
                <w:sz w:val="18"/>
                <w:szCs w:val="18"/>
              </w:rPr>
            </w:pPr>
            <w:r w:rsidRPr="00BF7527">
              <w:rPr>
                <w:rFonts w:ascii="VIC" w:eastAsia="Verdana" w:hAnsi="VIC"/>
                <w:color w:val="000000"/>
                <w:sz w:val="18"/>
                <w:szCs w:val="18"/>
              </w:rPr>
              <w:t>2.3</w:t>
            </w:r>
          </w:p>
        </w:tc>
        <w:tc>
          <w:tcPr>
            <w:tcW w:w="1075" w:type="dxa"/>
            <w:shd w:val="clear" w:color="auto" w:fill="BFCED6"/>
          </w:tcPr>
          <w:p w14:paraId="1CE23570" w14:textId="5BF6C2CC" w:rsidR="0065124E" w:rsidRPr="007B08C1" w:rsidRDefault="0065124E" w:rsidP="0065124E">
            <w:pPr>
              <w:jc w:val="center"/>
              <w:rPr>
                <w:rFonts w:ascii="VIC" w:hAnsi="VIC"/>
                <w:sz w:val="18"/>
                <w:szCs w:val="18"/>
              </w:rPr>
            </w:pPr>
            <w:r w:rsidRPr="00BF7527">
              <w:rPr>
                <w:rFonts w:ascii="VIC" w:eastAsia="Verdana" w:hAnsi="VIC"/>
                <w:color w:val="000000"/>
                <w:sz w:val="18"/>
                <w:szCs w:val="18"/>
              </w:rPr>
              <w:t>88 %</w:t>
            </w:r>
          </w:p>
        </w:tc>
        <w:tc>
          <w:tcPr>
            <w:tcW w:w="1075" w:type="dxa"/>
            <w:shd w:val="clear" w:color="auto" w:fill="BFCED6"/>
          </w:tcPr>
          <w:p w14:paraId="2D28CF13" w14:textId="249BFD1A" w:rsidR="0065124E" w:rsidRPr="007B08C1" w:rsidRDefault="0065124E" w:rsidP="0065124E">
            <w:pPr>
              <w:jc w:val="center"/>
              <w:rPr>
                <w:rFonts w:ascii="VIC" w:hAnsi="VIC"/>
                <w:sz w:val="18"/>
                <w:szCs w:val="18"/>
              </w:rPr>
            </w:pPr>
            <w:r w:rsidRPr="00BF7527">
              <w:rPr>
                <w:rFonts w:ascii="VIC" w:eastAsia="Verdana" w:hAnsi="VIC"/>
                <w:color w:val="000000"/>
                <w:sz w:val="18"/>
                <w:szCs w:val="18"/>
              </w:rPr>
              <w:t>86 %</w:t>
            </w:r>
          </w:p>
        </w:tc>
        <w:tc>
          <w:tcPr>
            <w:tcW w:w="1075" w:type="dxa"/>
            <w:shd w:val="clear" w:color="auto" w:fill="BFCED6"/>
          </w:tcPr>
          <w:p w14:paraId="119CC706" w14:textId="0F49A4FE" w:rsidR="0065124E" w:rsidRPr="007B08C1" w:rsidRDefault="0065124E" w:rsidP="0065124E">
            <w:pPr>
              <w:jc w:val="center"/>
              <w:rPr>
                <w:rFonts w:ascii="VIC" w:hAnsi="VIC"/>
                <w:sz w:val="18"/>
                <w:szCs w:val="18"/>
              </w:rPr>
            </w:pPr>
            <w:r w:rsidRPr="00BF7527">
              <w:rPr>
                <w:rFonts w:ascii="VIC" w:eastAsia="Verdana" w:hAnsi="VIC"/>
                <w:color w:val="000000"/>
                <w:sz w:val="18"/>
                <w:szCs w:val="18"/>
              </w:rPr>
              <w:t>95 %</w:t>
            </w:r>
          </w:p>
        </w:tc>
      </w:tr>
      <w:tr w:rsidR="0065124E" w:rsidRPr="007B08C1" w14:paraId="012CE00B" w14:textId="77777777" w:rsidTr="009D3084">
        <w:tc>
          <w:tcPr>
            <w:tcW w:w="1145" w:type="dxa"/>
            <w:shd w:val="clear" w:color="auto" w:fill="FFFFFF" w:themeFill="background1"/>
          </w:tcPr>
          <w:p w14:paraId="019E9DE3" w14:textId="3F446000" w:rsidR="0065124E" w:rsidRPr="007B08C1" w:rsidRDefault="0065124E" w:rsidP="0065124E">
            <w:pPr>
              <w:rPr>
                <w:rFonts w:ascii="VIC" w:hAnsi="VIC"/>
                <w:sz w:val="18"/>
                <w:szCs w:val="18"/>
              </w:rPr>
            </w:pPr>
            <w:r w:rsidRPr="00BF7527">
              <w:rPr>
                <w:rFonts w:ascii="VIC" w:eastAsia="Verdana" w:hAnsi="VIC"/>
                <w:color w:val="000000"/>
                <w:sz w:val="18"/>
                <w:szCs w:val="18"/>
              </w:rPr>
              <w:t>South West Health</w:t>
            </w:r>
          </w:p>
        </w:tc>
        <w:tc>
          <w:tcPr>
            <w:tcW w:w="1701" w:type="dxa"/>
            <w:shd w:val="clear" w:color="auto" w:fill="FFFFFF" w:themeFill="background1"/>
          </w:tcPr>
          <w:p w14:paraId="3D1BB52D" w14:textId="20270D10" w:rsidR="0065124E" w:rsidRPr="007B08C1" w:rsidRDefault="0065124E" w:rsidP="0065124E">
            <w:pPr>
              <w:rPr>
                <w:rFonts w:ascii="VIC" w:hAnsi="VIC"/>
                <w:sz w:val="18"/>
                <w:szCs w:val="18"/>
              </w:rPr>
            </w:pPr>
            <w:r w:rsidRPr="00BF7527">
              <w:rPr>
                <w:rFonts w:ascii="VIC" w:eastAsia="Verdana" w:hAnsi="VIC"/>
                <w:color w:val="000000"/>
                <w:sz w:val="18"/>
                <w:szCs w:val="18"/>
              </w:rPr>
              <w:t>South West Health Care</w:t>
            </w:r>
          </w:p>
        </w:tc>
        <w:tc>
          <w:tcPr>
            <w:tcW w:w="1074" w:type="dxa"/>
            <w:shd w:val="clear" w:color="auto" w:fill="FFFFFF" w:themeFill="background1"/>
          </w:tcPr>
          <w:p w14:paraId="6B026387" w14:textId="152CDCB5" w:rsidR="0065124E" w:rsidRPr="007B08C1" w:rsidRDefault="0065124E" w:rsidP="0065124E">
            <w:pPr>
              <w:jc w:val="center"/>
              <w:rPr>
                <w:rFonts w:ascii="VIC" w:hAnsi="VIC"/>
                <w:sz w:val="18"/>
                <w:szCs w:val="18"/>
              </w:rPr>
            </w:pPr>
            <w:r w:rsidRPr="00BF7527">
              <w:rPr>
                <w:rFonts w:ascii="VIC" w:eastAsia="Verdana" w:hAnsi="VIC"/>
                <w:color w:val="000000"/>
                <w:sz w:val="18"/>
                <w:szCs w:val="18"/>
              </w:rPr>
              <w:t>2.3</w:t>
            </w:r>
          </w:p>
        </w:tc>
        <w:tc>
          <w:tcPr>
            <w:tcW w:w="1075" w:type="dxa"/>
            <w:shd w:val="clear" w:color="auto" w:fill="FFFFFF" w:themeFill="background1"/>
          </w:tcPr>
          <w:p w14:paraId="55B111BA" w14:textId="751BC093" w:rsidR="0065124E" w:rsidRPr="007B08C1" w:rsidRDefault="0065124E" w:rsidP="0065124E">
            <w:pPr>
              <w:jc w:val="center"/>
              <w:rPr>
                <w:rFonts w:ascii="VIC" w:hAnsi="VIC"/>
                <w:sz w:val="18"/>
                <w:szCs w:val="18"/>
              </w:rPr>
            </w:pPr>
            <w:r w:rsidRPr="00BF7527">
              <w:rPr>
                <w:rFonts w:ascii="VIC" w:eastAsia="Verdana" w:hAnsi="VIC"/>
                <w:color w:val="000000"/>
                <w:sz w:val="18"/>
                <w:szCs w:val="18"/>
              </w:rPr>
              <w:t>34 %</w:t>
            </w:r>
          </w:p>
        </w:tc>
        <w:tc>
          <w:tcPr>
            <w:tcW w:w="1075" w:type="dxa"/>
            <w:shd w:val="clear" w:color="auto" w:fill="FFFFFF" w:themeFill="background1"/>
          </w:tcPr>
          <w:p w14:paraId="0501E4C4" w14:textId="44B7C9C7" w:rsidR="0065124E" w:rsidRPr="007B08C1" w:rsidRDefault="0065124E" w:rsidP="0065124E">
            <w:pPr>
              <w:jc w:val="center"/>
              <w:rPr>
                <w:rFonts w:ascii="VIC" w:hAnsi="VIC"/>
                <w:sz w:val="18"/>
                <w:szCs w:val="18"/>
              </w:rPr>
            </w:pPr>
            <w:r w:rsidRPr="00BF7527">
              <w:rPr>
                <w:rFonts w:ascii="VIC" w:eastAsia="Verdana" w:hAnsi="VIC"/>
                <w:color w:val="000000"/>
                <w:sz w:val="18"/>
                <w:szCs w:val="18"/>
              </w:rPr>
              <w:t>17.4</w:t>
            </w:r>
          </w:p>
        </w:tc>
        <w:tc>
          <w:tcPr>
            <w:tcW w:w="1075" w:type="dxa"/>
            <w:shd w:val="clear" w:color="auto" w:fill="FFFFFF" w:themeFill="background1"/>
          </w:tcPr>
          <w:p w14:paraId="34B1DEAA" w14:textId="59C4B33B" w:rsidR="0065124E" w:rsidRPr="007B08C1" w:rsidRDefault="0065124E" w:rsidP="0065124E">
            <w:pPr>
              <w:jc w:val="center"/>
              <w:rPr>
                <w:rFonts w:ascii="VIC" w:hAnsi="VIC"/>
                <w:sz w:val="18"/>
                <w:szCs w:val="18"/>
              </w:rPr>
            </w:pPr>
            <w:r w:rsidRPr="00BF7527">
              <w:rPr>
                <w:rFonts w:ascii="VIC" w:eastAsia="Verdana" w:hAnsi="VIC"/>
                <w:color w:val="000000"/>
                <w:sz w:val="18"/>
                <w:szCs w:val="18"/>
              </w:rPr>
              <w:t>0 %</w:t>
            </w:r>
          </w:p>
        </w:tc>
        <w:tc>
          <w:tcPr>
            <w:tcW w:w="1087" w:type="dxa"/>
            <w:shd w:val="clear" w:color="auto" w:fill="FFFFFF" w:themeFill="background1"/>
          </w:tcPr>
          <w:p w14:paraId="26B7E0B9" w14:textId="6A1CB366" w:rsidR="0065124E" w:rsidRPr="007B08C1" w:rsidRDefault="0065124E" w:rsidP="0065124E">
            <w:pPr>
              <w:jc w:val="center"/>
              <w:rPr>
                <w:rFonts w:ascii="VIC" w:hAnsi="VIC"/>
                <w:sz w:val="18"/>
                <w:szCs w:val="18"/>
              </w:rPr>
            </w:pPr>
            <w:r w:rsidRPr="00BF7527">
              <w:rPr>
                <w:rFonts w:ascii="VIC" w:eastAsia="Verdana" w:hAnsi="VIC"/>
                <w:color w:val="000000"/>
                <w:sz w:val="18"/>
                <w:szCs w:val="18"/>
              </w:rPr>
              <w:t>13 %</w:t>
            </w:r>
          </w:p>
        </w:tc>
        <w:tc>
          <w:tcPr>
            <w:tcW w:w="1063" w:type="dxa"/>
            <w:shd w:val="clear" w:color="auto" w:fill="FFFFFF" w:themeFill="background1"/>
          </w:tcPr>
          <w:p w14:paraId="7734DF30" w14:textId="6A1B4F81" w:rsidR="0065124E" w:rsidRPr="007B08C1" w:rsidRDefault="0065124E" w:rsidP="0065124E">
            <w:pPr>
              <w:jc w:val="center"/>
              <w:rPr>
                <w:rFonts w:ascii="VIC" w:hAnsi="VIC"/>
                <w:sz w:val="18"/>
                <w:szCs w:val="18"/>
              </w:rPr>
            </w:pPr>
            <w:r w:rsidRPr="00BF7527">
              <w:rPr>
                <w:rFonts w:ascii="VIC" w:eastAsia="Verdana" w:hAnsi="VIC"/>
                <w:color w:val="000000"/>
                <w:sz w:val="18"/>
                <w:szCs w:val="18"/>
              </w:rPr>
              <w:t>22 %</w:t>
            </w:r>
          </w:p>
        </w:tc>
        <w:tc>
          <w:tcPr>
            <w:tcW w:w="1075" w:type="dxa"/>
            <w:shd w:val="clear" w:color="auto" w:fill="FFFFFF" w:themeFill="background1"/>
          </w:tcPr>
          <w:p w14:paraId="4263274E" w14:textId="34C606F1" w:rsidR="0065124E" w:rsidRPr="007B08C1"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FFFFFF" w:themeFill="background1"/>
          </w:tcPr>
          <w:p w14:paraId="70E7A058" w14:textId="2C0527CA" w:rsidR="0065124E" w:rsidRPr="007B08C1"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shd w:val="clear" w:color="auto" w:fill="FFFFFF" w:themeFill="background1"/>
          </w:tcPr>
          <w:p w14:paraId="00FF34FA" w14:textId="5CD43ADC" w:rsidR="0065124E" w:rsidRPr="007B08C1" w:rsidRDefault="0065124E" w:rsidP="0065124E">
            <w:pPr>
              <w:jc w:val="center"/>
              <w:rPr>
                <w:rFonts w:ascii="VIC" w:hAnsi="VIC"/>
                <w:sz w:val="18"/>
                <w:szCs w:val="18"/>
              </w:rPr>
            </w:pPr>
            <w:r w:rsidRPr="00BF7527">
              <w:rPr>
                <w:rFonts w:ascii="VIC" w:eastAsia="Verdana" w:hAnsi="VIC"/>
                <w:color w:val="000000"/>
                <w:sz w:val="18"/>
                <w:szCs w:val="18"/>
              </w:rPr>
              <w:t>0.0</w:t>
            </w:r>
          </w:p>
        </w:tc>
        <w:tc>
          <w:tcPr>
            <w:tcW w:w="1075" w:type="dxa"/>
            <w:shd w:val="clear" w:color="auto" w:fill="FFFFFF" w:themeFill="background1"/>
          </w:tcPr>
          <w:p w14:paraId="59A0089A" w14:textId="54E2F8E4" w:rsidR="0065124E" w:rsidRPr="007B08C1" w:rsidRDefault="0065124E" w:rsidP="0065124E">
            <w:pPr>
              <w:jc w:val="center"/>
              <w:rPr>
                <w:rFonts w:ascii="VIC" w:hAnsi="VIC"/>
                <w:sz w:val="18"/>
                <w:szCs w:val="18"/>
              </w:rPr>
            </w:pPr>
            <w:r w:rsidRPr="00BF7527">
              <w:rPr>
                <w:rFonts w:ascii="VIC" w:eastAsia="Verdana" w:hAnsi="VIC"/>
                <w:color w:val="000000"/>
                <w:sz w:val="18"/>
                <w:szCs w:val="18"/>
              </w:rPr>
              <w:t>84 %</w:t>
            </w:r>
          </w:p>
        </w:tc>
        <w:tc>
          <w:tcPr>
            <w:tcW w:w="1075" w:type="dxa"/>
            <w:shd w:val="clear" w:color="auto" w:fill="FFFFFF" w:themeFill="background1"/>
          </w:tcPr>
          <w:p w14:paraId="6B76D51C" w14:textId="22731D0B" w:rsidR="0065124E" w:rsidRPr="007B08C1" w:rsidRDefault="0065124E" w:rsidP="0065124E">
            <w:pPr>
              <w:jc w:val="center"/>
              <w:rPr>
                <w:rFonts w:ascii="VIC" w:hAnsi="VIC"/>
                <w:sz w:val="18"/>
                <w:szCs w:val="18"/>
              </w:rPr>
            </w:pPr>
            <w:r w:rsidRPr="00BF7527">
              <w:rPr>
                <w:rFonts w:ascii="VIC" w:eastAsia="Verdana" w:hAnsi="VIC"/>
                <w:color w:val="000000"/>
                <w:sz w:val="18"/>
                <w:szCs w:val="18"/>
              </w:rPr>
              <w:t>100 %</w:t>
            </w:r>
          </w:p>
        </w:tc>
        <w:tc>
          <w:tcPr>
            <w:tcW w:w="1075" w:type="dxa"/>
            <w:shd w:val="clear" w:color="auto" w:fill="FFFFFF" w:themeFill="background1"/>
          </w:tcPr>
          <w:p w14:paraId="48DA7E52" w14:textId="352DFD26" w:rsidR="0065124E" w:rsidRPr="007B08C1" w:rsidRDefault="0065124E" w:rsidP="0065124E">
            <w:pPr>
              <w:jc w:val="center"/>
              <w:rPr>
                <w:rFonts w:ascii="VIC" w:hAnsi="VIC"/>
                <w:sz w:val="18"/>
                <w:szCs w:val="18"/>
              </w:rPr>
            </w:pPr>
            <w:r w:rsidRPr="00BF7527">
              <w:rPr>
                <w:rFonts w:ascii="VIC" w:eastAsia="Verdana" w:hAnsi="VIC"/>
                <w:color w:val="000000"/>
                <w:sz w:val="18"/>
                <w:szCs w:val="18"/>
              </w:rPr>
              <w:t>66 %</w:t>
            </w:r>
          </w:p>
        </w:tc>
      </w:tr>
      <w:tr w:rsidR="0065124E" w:rsidRPr="0065124E" w14:paraId="4318C381" w14:textId="77777777" w:rsidTr="009D3084">
        <w:tc>
          <w:tcPr>
            <w:tcW w:w="1145" w:type="dxa"/>
            <w:shd w:val="clear" w:color="auto" w:fill="B1C9E8"/>
          </w:tcPr>
          <w:p w14:paraId="319BA7B7" w14:textId="2640F3F5" w:rsidR="0065124E" w:rsidRPr="0065124E" w:rsidRDefault="0065124E" w:rsidP="0065124E">
            <w:pPr>
              <w:rPr>
                <w:rFonts w:ascii="VIC SemiBold" w:hAnsi="VIC SemiBold"/>
                <w:color w:val="000000" w:themeColor="text1"/>
                <w:sz w:val="18"/>
                <w:szCs w:val="18"/>
              </w:rPr>
            </w:pPr>
            <w:r w:rsidRPr="0065124E">
              <w:rPr>
                <w:rFonts w:ascii="VIC" w:eastAsia="Verdana" w:hAnsi="VIC"/>
                <w:color w:val="000000" w:themeColor="text1"/>
                <w:sz w:val="18"/>
                <w:szCs w:val="18"/>
              </w:rPr>
              <w:t>TOTAL RURAL</w:t>
            </w:r>
          </w:p>
        </w:tc>
        <w:tc>
          <w:tcPr>
            <w:tcW w:w="1701" w:type="dxa"/>
            <w:shd w:val="clear" w:color="auto" w:fill="B1C9E8"/>
          </w:tcPr>
          <w:p w14:paraId="3B7DE748" w14:textId="1C3461D9" w:rsidR="0065124E" w:rsidRPr="0065124E" w:rsidRDefault="0065124E" w:rsidP="0065124E">
            <w:pPr>
              <w:rPr>
                <w:rFonts w:ascii="VIC SemiBold" w:hAnsi="VIC SemiBold"/>
                <w:color w:val="000000" w:themeColor="text1"/>
                <w:sz w:val="18"/>
                <w:szCs w:val="18"/>
              </w:rPr>
            </w:pPr>
            <w:r w:rsidRPr="0065124E">
              <w:rPr>
                <w:rFonts w:ascii="VIC" w:eastAsia="Verdana" w:hAnsi="VIC"/>
                <w:color w:val="000000" w:themeColor="text1"/>
                <w:sz w:val="18"/>
                <w:szCs w:val="18"/>
              </w:rPr>
              <w:t xml:space="preserve"> </w:t>
            </w:r>
          </w:p>
        </w:tc>
        <w:tc>
          <w:tcPr>
            <w:tcW w:w="1074" w:type="dxa"/>
            <w:shd w:val="clear" w:color="auto" w:fill="B1C9E8"/>
          </w:tcPr>
          <w:p w14:paraId="681E854A" w14:textId="209A85B8"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2.0</w:t>
            </w:r>
          </w:p>
        </w:tc>
        <w:tc>
          <w:tcPr>
            <w:tcW w:w="1075" w:type="dxa"/>
            <w:shd w:val="clear" w:color="auto" w:fill="B1C9E8"/>
          </w:tcPr>
          <w:p w14:paraId="75EC5F04" w14:textId="6308AD0C"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77 %</w:t>
            </w:r>
          </w:p>
        </w:tc>
        <w:tc>
          <w:tcPr>
            <w:tcW w:w="1075" w:type="dxa"/>
            <w:shd w:val="clear" w:color="auto" w:fill="B1C9E8"/>
          </w:tcPr>
          <w:p w14:paraId="08061551" w14:textId="5EE390F4"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17.9</w:t>
            </w:r>
          </w:p>
        </w:tc>
        <w:tc>
          <w:tcPr>
            <w:tcW w:w="1075" w:type="dxa"/>
            <w:shd w:val="clear" w:color="auto" w:fill="B1C9E8"/>
          </w:tcPr>
          <w:p w14:paraId="6C6C7773" w14:textId="5B3CDA8C"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15 %</w:t>
            </w:r>
          </w:p>
        </w:tc>
        <w:tc>
          <w:tcPr>
            <w:tcW w:w="1087" w:type="dxa"/>
            <w:shd w:val="clear" w:color="auto" w:fill="B1C9E8"/>
          </w:tcPr>
          <w:p w14:paraId="182F6B5E" w14:textId="48991B01"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7 %</w:t>
            </w:r>
          </w:p>
        </w:tc>
        <w:tc>
          <w:tcPr>
            <w:tcW w:w="1063" w:type="dxa"/>
            <w:shd w:val="clear" w:color="auto" w:fill="B1C9E8"/>
          </w:tcPr>
          <w:p w14:paraId="6E36C0E6" w14:textId="34ADCFA7"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25 %</w:t>
            </w:r>
          </w:p>
        </w:tc>
        <w:tc>
          <w:tcPr>
            <w:tcW w:w="1075" w:type="dxa"/>
            <w:shd w:val="clear" w:color="auto" w:fill="B1C9E8"/>
          </w:tcPr>
          <w:p w14:paraId="459329E5" w14:textId="0B040ECA"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99 %</w:t>
            </w:r>
          </w:p>
        </w:tc>
        <w:tc>
          <w:tcPr>
            <w:tcW w:w="1075" w:type="dxa"/>
            <w:shd w:val="clear" w:color="auto" w:fill="B1C9E8"/>
          </w:tcPr>
          <w:p w14:paraId="39BB1739" w14:textId="35B81C0C"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4.4</w:t>
            </w:r>
          </w:p>
        </w:tc>
        <w:tc>
          <w:tcPr>
            <w:tcW w:w="1075" w:type="dxa"/>
            <w:shd w:val="clear" w:color="auto" w:fill="B1C9E8"/>
          </w:tcPr>
          <w:p w14:paraId="5976C829" w14:textId="7318C8D4"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1.3</w:t>
            </w:r>
          </w:p>
        </w:tc>
        <w:tc>
          <w:tcPr>
            <w:tcW w:w="1075" w:type="dxa"/>
            <w:shd w:val="clear" w:color="auto" w:fill="B1C9E8"/>
          </w:tcPr>
          <w:p w14:paraId="3CE9C0A9" w14:textId="18DD705E"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66 %</w:t>
            </w:r>
          </w:p>
        </w:tc>
        <w:tc>
          <w:tcPr>
            <w:tcW w:w="1075" w:type="dxa"/>
            <w:shd w:val="clear" w:color="auto" w:fill="B1C9E8"/>
          </w:tcPr>
          <w:p w14:paraId="6E90DF38" w14:textId="022C89AA"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91 %</w:t>
            </w:r>
          </w:p>
        </w:tc>
        <w:tc>
          <w:tcPr>
            <w:tcW w:w="1075" w:type="dxa"/>
            <w:shd w:val="clear" w:color="auto" w:fill="B1C9E8"/>
          </w:tcPr>
          <w:p w14:paraId="46D060A7" w14:textId="01A9E520"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92 %</w:t>
            </w:r>
          </w:p>
        </w:tc>
      </w:tr>
      <w:tr w:rsidR="0065124E" w:rsidRPr="007B08C1" w14:paraId="460E5224" w14:textId="77777777" w:rsidTr="009D3084">
        <w:tc>
          <w:tcPr>
            <w:tcW w:w="1145" w:type="dxa"/>
            <w:shd w:val="clear" w:color="auto" w:fill="244C5A"/>
          </w:tcPr>
          <w:p w14:paraId="281107BA" w14:textId="20BBBE1E" w:rsidR="0065124E" w:rsidRPr="007B08C1" w:rsidRDefault="0065124E" w:rsidP="0065124E">
            <w:pPr>
              <w:rPr>
                <w:rFonts w:ascii="VIC SemiBold" w:hAnsi="VIC SemiBold"/>
                <w:color w:val="FFFFFF" w:themeColor="background1"/>
                <w:sz w:val="18"/>
                <w:szCs w:val="18"/>
              </w:rPr>
            </w:pPr>
            <w:r w:rsidRPr="00BF7527">
              <w:rPr>
                <w:rFonts w:ascii="VIC" w:eastAsia="Verdana" w:hAnsi="VIC"/>
                <w:color w:val="FFFFFF"/>
                <w:sz w:val="18"/>
                <w:szCs w:val="18"/>
              </w:rPr>
              <w:t>TOTAL STATEWIDE</w:t>
            </w:r>
          </w:p>
        </w:tc>
        <w:tc>
          <w:tcPr>
            <w:tcW w:w="1701" w:type="dxa"/>
            <w:shd w:val="clear" w:color="auto" w:fill="244C5A"/>
          </w:tcPr>
          <w:p w14:paraId="30623892" w14:textId="0FEA3BBD" w:rsidR="0065124E" w:rsidRPr="00592F37" w:rsidRDefault="0065124E" w:rsidP="0065124E">
            <w:pPr>
              <w:pStyle w:val="DHHStabletext"/>
              <w:spacing w:before="0" w:after="0"/>
              <w:rPr>
                <w:rFonts w:ascii="VIC SemiBold" w:eastAsia="Verdana" w:hAnsi="VIC SemiBold" w:cs="Verdana"/>
                <w:color w:val="FFFFFF" w:themeColor="background1"/>
                <w:sz w:val="18"/>
                <w:szCs w:val="18"/>
              </w:rPr>
            </w:pPr>
            <w:r w:rsidRPr="00BF7527">
              <w:rPr>
                <w:rFonts w:ascii="VIC" w:eastAsia="Verdana" w:hAnsi="VIC"/>
                <w:color w:val="FFFFFF"/>
                <w:sz w:val="18"/>
                <w:szCs w:val="18"/>
              </w:rPr>
              <w:t xml:space="preserve"> </w:t>
            </w:r>
          </w:p>
        </w:tc>
        <w:tc>
          <w:tcPr>
            <w:tcW w:w="1074" w:type="dxa"/>
            <w:shd w:val="clear" w:color="auto" w:fill="244C5A"/>
          </w:tcPr>
          <w:p w14:paraId="43211640" w14:textId="28027609"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2.1</w:t>
            </w:r>
          </w:p>
        </w:tc>
        <w:tc>
          <w:tcPr>
            <w:tcW w:w="1075" w:type="dxa"/>
            <w:shd w:val="clear" w:color="auto" w:fill="244C5A"/>
          </w:tcPr>
          <w:p w14:paraId="675F6D97" w14:textId="01770FD7"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83 %</w:t>
            </w:r>
          </w:p>
        </w:tc>
        <w:tc>
          <w:tcPr>
            <w:tcW w:w="1075" w:type="dxa"/>
            <w:shd w:val="clear" w:color="auto" w:fill="244C5A"/>
          </w:tcPr>
          <w:p w14:paraId="52FC199D" w14:textId="4FA7530B"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19.2</w:t>
            </w:r>
          </w:p>
        </w:tc>
        <w:tc>
          <w:tcPr>
            <w:tcW w:w="1075" w:type="dxa"/>
            <w:shd w:val="clear" w:color="auto" w:fill="244C5A"/>
          </w:tcPr>
          <w:p w14:paraId="2C6F7B1F" w14:textId="61299FB7"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16 %</w:t>
            </w:r>
          </w:p>
        </w:tc>
        <w:tc>
          <w:tcPr>
            <w:tcW w:w="1087" w:type="dxa"/>
            <w:shd w:val="clear" w:color="auto" w:fill="244C5A"/>
          </w:tcPr>
          <w:p w14:paraId="4BD31AFE" w14:textId="14E1292B"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9 %</w:t>
            </w:r>
          </w:p>
        </w:tc>
        <w:tc>
          <w:tcPr>
            <w:tcW w:w="1063" w:type="dxa"/>
            <w:shd w:val="clear" w:color="auto" w:fill="244C5A"/>
          </w:tcPr>
          <w:p w14:paraId="7CBF6E18" w14:textId="1CF50980"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28 %</w:t>
            </w:r>
          </w:p>
        </w:tc>
        <w:tc>
          <w:tcPr>
            <w:tcW w:w="1075" w:type="dxa"/>
            <w:shd w:val="clear" w:color="auto" w:fill="244C5A"/>
          </w:tcPr>
          <w:p w14:paraId="56EF772B" w14:textId="7F7A33C9"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100 %</w:t>
            </w:r>
          </w:p>
        </w:tc>
        <w:tc>
          <w:tcPr>
            <w:tcW w:w="1075" w:type="dxa"/>
            <w:shd w:val="clear" w:color="auto" w:fill="244C5A"/>
          </w:tcPr>
          <w:p w14:paraId="3BBB8E8E" w14:textId="0E21A061"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8.5</w:t>
            </w:r>
          </w:p>
        </w:tc>
        <w:tc>
          <w:tcPr>
            <w:tcW w:w="1075" w:type="dxa"/>
            <w:shd w:val="clear" w:color="auto" w:fill="244C5A"/>
          </w:tcPr>
          <w:p w14:paraId="2558A093" w14:textId="3B12748B"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0.6</w:t>
            </w:r>
          </w:p>
        </w:tc>
        <w:tc>
          <w:tcPr>
            <w:tcW w:w="1075" w:type="dxa"/>
            <w:shd w:val="clear" w:color="auto" w:fill="244C5A"/>
          </w:tcPr>
          <w:p w14:paraId="5414E9B7" w14:textId="4E0DC107"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63 %</w:t>
            </w:r>
          </w:p>
        </w:tc>
        <w:tc>
          <w:tcPr>
            <w:tcW w:w="1075" w:type="dxa"/>
            <w:shd w:val="clear" w:color="auto" w:fill="244C5A"/>
          </w:tcPr>
          <w:p w14:paraId="4156E1CE" w14:textId="00B2FCCB"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95 %</w:t>
            </w:r>
          </w:p>
        </w:tc>
        <w:tc>
          <w:tcPr>
            <w:tcW w:w="1075" w:type="dxa"/>
            <w:shd w:val="clear" w:color="auto" w:fill="244C5A"/>
          </w:tcPr>
          <w:p w14:paraId="3D216AE3" w14:textId="6D98A3A7"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95 %</w:t>
            </w:r>
          </w:p>
        </w:tc>
      </w:tr>
    </w:tbl>
    <w:p w14:paraId="2E721A74" w14:textId="77777777" w:rsidR="00F91472" w:rsidRDefault="00F91472" w:rsidP="00F91472">
      <w:pPr>
        <w:pStyle w:val="VAHIbody"/>
      </w:pPr>
    </w:p>
    <w:p w14:paraId="6A6D92C7" w14:textId="77777777" w:rsidR="00F91472" w:rsidRPr="00BE2218" w:rsidRDefault="00F91472" w:rsidP="00F91472">
      <w:pPr>
        <w:pStyle w:val="VAHIbody"/>
      </w:pPr>
    </w:p>
    <w:p w14:paraId="08A4D6CE" w14:textId="77777777" w:rsidR="00F91472" w:rsidRDefault="00F91472" w:rsidP="00F91472">
      <w:pPr>
        <w:pStyle w:val="Heading1"/>
      </w:pPr>
    </w:p>
    <w:p w14:paraId="36D14FA3" w14:textId="77777777" w:rsidR="00F91472" w:rsidRDefault="00F91472" w:rsidP="00F91472">
      <w:pPr>
        <w:pStyle w:val="VAHIbody"/>
      </w:pPr>
    </w:p>
    <w:p w14:paraId="16E8FFE7" w14:textId="77777777" w:rsidR="00F91472" w:rsidRPr="00BD730B" w:rsidRDefault="00F91472" w:rsidP="00F91472">
      <w:pPr>
        <w:rPr>
          <w:sz w:val="8"/>
        </w:rPr>
      </w:pPr>
    </w:p>
    <w:p w14:paraId="03ADF2AD" w14:textId="77777777" w:rsidR="00F91472" w:rsidRDefault="00F91472" w:rsidP="00F91472">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F91472" w:rsidRPr="00A6366B" w14:paraId="4753681F" w14:textId="77777777" w:rsidTr="009D3084">
        <w:trPr>
          <w:trHeight w:val="1062"/>
          <w:tblHeader/>
        </w:trPr>
        <w:tc>
          <w:tcPr>
            <w:tcW w:w="3555" w:type="dxa"/>
            <w:gridSpan w:val="2"/>
            <w:shd w:val="clear" w:color="auto" w:fill="FFFFFF"/>
            <w:vAlign w:val="bottom"/>
          </w:tcPr>
          <w:p w14:paraId="43437B56" w14:textId="3877C771" w:rsidR="00F91472" w:rsidRPr="00592F37" w:rsidRDefault="00F91472" w:rsidP="009D3084">
            <w:pPr>
              <w:pStyle w:val="Heading1"/>
              <w:spacing w:before="0" w:line="240" w:lineRule="auto"/>
              <w:rPr>
                <w:color w:val="244C5A"/>
                <w:sz w:val="28"/>
                <w:szCs w:val="28"/>
              </w:rPr>
            </w:pPr>
            <w:bookmarkStart w:id="12" w:name="_Toc37865455"/>
            <w:r>
              <w:rPr>
                <w:color w:val="244C5A"/>
                <w:sz w:val="22"/>
                <w:szCs w:val="28"/>
              </w:rPr>
              <w:lastRenderedPageBreak/>
              <w:t>Community</w:t>
            </w:r>
            <w:r w:rsidRPr="00052DAD">
              <w:rPr>
                <w:color w:val="244C5A"/>
                <w:sz w:val="22"/>
                <w:szCs w:val="28"/>
              </w:rPr>
              <w:br w:type="textWrapping" w:clear="all"/>
            </w:r>
            <w:r>
              <w:rPr>
                <w:color w:val="244C5A"/>
                <w:sz w:val="22"/>
                <w:szCs w:val="28"/>
              </w:rPr>
              <w:t>2019–20 Q1–Q</w:t>
            </w:r>
            <w:r w:rsidR="004A1C0F">
              <w:rPr>
                <w:color w:val="244C5A"/>
                <w:sz w:val="22"/>
                <w:szCs w:val="28"/>
              </w:rPr>
              <w:t>3</w:t>
            </w:r>
            <w:r w:rsidRPr="00052DAD">
              <w:rPr>
                <w:color w:val="244C5A"/>
                <w:sz w:val="22"/>
                <w:szCs w:val="28"/>
              </w:rPr>
              <w:t xml:space="preserve"> Metro</w:t>
            </w:r>
            <w:bookmarkEnd w:id="12"/>
          </w:p>
        </w:tc>
        <w:tc>
          <w:tcPr>
            <w:tcW w:w="1523" w:type="dxa"/>
            <w:shd w:val="clear" w:color="auto" w:fill="FFFFFF"/>
            <w:vAlign w:val="bottom"/>
          </w:tcPr>
          <w:p w14:paraId="0EDF7DB1" w14:textId="77777777" w:rsidR="00F91472" w:rsidRPr="003B4630" w:rsidRDefault="00F91472" w:rsidP="009D3084">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2EE5B4E9" w14:textId="77777777" w:rsidR="00F91472" w:rsidRPr="003B4630" w:rsidRDefault="00F91472" w:rsidP="009D3084">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3D5A1EAB" w14:textId="77777777" w:rsidR="00F91472" w:rsidRPr="003B4630" w:rsidRDefault="00F91472" w:rsidP="009D3084">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45575FA9" w14:textId="77777777" w:rsidR="00F91472" w:rsidRPr="003B4630" w:rsidRDefault="00F91472" w:rsidP="009D3084">
            <w:pPr>
              <w:pStyle w:val="VAHItablecolhead"/>
              <w:rPr>
                <w:rFonts w:eastAsia="Verdana"/>
                <w:color w:val="244C5A"/>
                <w:sz w:val="16"/>
              </w:rPr>
            </w:pPr>
            <w:r w:rsidRPr="003B4630">
              <w:rPr>
                <w:sz w:val="16"/>
              </w:rPr>
              <w:t xml:space="preserve">HoNOS </w:t>
            </w:r>
            <w:r>
              <w:rPr>
                <w:sz w:val="16"/>
              </w:rPr>
              <w:br w:type="textWrapping" w:clear="all"/>
            </w:r>
            <w:r w:rsidRPr="003B4630">
              <w:rPr>
                <w:sz w:val="16"/>
              </w:rPr>
              <w:t>compliance</w:t>
            </w:r>
          </w:p>
        </w:tc>
        <w:tc>
          <w:tcPr>
            <w:tcW w:w="1523" w:type="dxa"/>
            <w:shd w:val="clear" w:color="auto" w:fill="FFFFFF"/>
            <w:vAlign w:val="bottom"/>
          </w:tcPr>
          <w:p w14:paraId="43FDB28E" w14:textId="77777777" w:rsidR="00F91472" w:rsidRPr="003B4630" w:rsidRDefault="00F91472" w:rsidP="009D3084">
            <w:pPr>
              <w:pStyle w:val="VAHItablecolhead"/>
              <w:rPr>
                <w:rFonts w:eastAsia="Verdana"/>
                <w:color w:val="244C5A"/>
                <w:sz w:val="16"/>
              </w:rPr>
            </w:pPr>
            <w:r w:rsidRPr="003B4630">
              <w:rPr>
                <w:sz w:val="16"/>
              </w:rPr>
              <w:t>Average HoNOS at case start</w:t>
            </w:r>
          </w:p>
        </w:tc>
        <w:tc>
          <w:tcPr>
            <w:tcW w:w="1524" w:type="dxa"/>
            <w:shd w:val="clear" w:color="auto" w:fill="FFFFFF"/>
            <w:vAlign w:val="bottom"/>
          </w:tcPr>
          <w:p w14:paraId="76B7DB75" w14:textId="77777777" w:rsidR="00F91472" w:rsidRPr="003B4630" w:rsidRDefault="00F91472" w:rsidP="009D3084">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066B0A99" w14:textId="77777777" w:rsidR="00F91472" w:rsidRPr="003B4630" w:rsidRDefault="00F91472" w:rsidP="009D3084">
            <w:pPr>
              <w:pStyle w:val="VAHItablecolhead"/>
              <w:rPr>
                <w:rFonts w:eastAsia="Verdana"/>
                <w:color w:val="244C5A"/>
                <w:sz w:val="16"/>
              </w:rPr>
            </w:pPr>
            <w:r w:rsidRPr="003B4630">
              <w:rPr>
                <w:sz w:val="16"/>
              </w:rPr>
              <w:t>Self rated measures completed</w:t>
            </w:r>
          </w:p>
        </w:tc>
        <w:tc>
          <w:tcPr>
            <w:tcW w:w="1524" w:type="dxa"/>
            <w:shd w:val="clear" w:color="auto" w:fill="FFFFFF"/>
            <w:vAlign w:val="bottom"/>
          </w:tcPr>
          <w:p w14:paraId="5382430F" w14:textId="77777777" w:rsidR="00F91472" w:rsidRPr="003B4630" w:rsidRDefault="00F91472" w:rsidP="009D3084">
            <w:pPr>
              <w:pStyle w:val="VAHItablecolhead"/>
              <w:rPr>
                <w:rFonts w:eastAsia="Verdana"/>
                <w:color w:val="244C5A"/>
                <w:sz w:val="16"/>
              </w:rPr>
            </w:pPr>
            <w:r w:rsidRPr="003B4630">
              <w:rPr>
                <w:sz w:val="16"/>
              </w:rPr>
              <w:t>Average change in clinically significant HoNOS items</w:t>
            </w:r>
          </w:p>
        </w:tc>
      </w:tr>
      <w:tr w:rsidR="0065124E" w:rsidRPr="00BF031D" w14:paraId="2A84E03F" w14:textId="77777777" w:rsidTr="009D3084">
        <w:trPr>
          <w:trHeight w:val="454"/>
        </w:trPr>
        <w:tc>
          <w:tcPr>
            <w:tcW w:w="1570" w:type="dxa"/>
            <w:shd w:val="clear" w:color="auto" w:fill="BFCED6"/>
          </w:tcPr>
          <w:p w14:paraId="65CE46A6" w14:textId="7004B74A"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Alfred Health</w:t>
            </w:r>
          </w:p>
        </w:tc>
        <w:tc>
          <w:tcPr>
            <w:tcW w:w="1985" w:type="dxa"/>
            <w:shd w:val="clear" w:color="auto" w:fill="BFCED6"/>
          </w:tcPr>
          <w:p w14:paraId="357942E5" w14:textId="7E87A20C"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Inner South East (Caulfield)</w:t>
            </w:r>
          </w:p>
        </w:tc>
        <w:tc>
          <w:tcPr>
            <w:tcW w:w="1523" w:type="dxa"/>
            <w:shd w:val="clear" w:color="auto" w:fill="BFCED6"/>
          </w:tcPr>
          <w:p w14:paraId="080816F3" w14:textId="34609148" w:rsidR="0065124E" w:rsidRPr="00BF031D" w:rsidRDefault="0065124E" w:rsidP="0065124E">
            <w:pPr>
              <w:jc w:val="center"/>
              <w:rPr>
                <w:rFonts w:ascii="VIC" w:hAnsi="VIC"/>
                <w:sz w:val="18"/>
                <w:szCs w:val="18"/>
              </w:rPr>
            </w:pPr>
            <w:r w:rsidRPr="00BF7527">
              <w:rPr>
                <w:rFonts w:ascii="VIC" w:eastAsia="Verdana" w:hAnsi="VIC"/>
                <w:color w:val="000000"/>
                <w:sz w:val="18"/>
                <w:szCs w:val="18"/>
              </w:rPr>
              <w:t>55 %</w:t>
            </w:r>
          </w:p>
        </w:tc>
        <w:tc>
          <w:tcPr>
            <w:tcW w:w="1524" w:type="dxa"/>
            <w:shd w:val="clear" w:color="auto" w:fill="BFCED6"/>
          </w:tcPr>
          <w:p w14:paraId="39650DE4" w14:textId="77B258C9" w:rsidR="0065124E" w:rsidRPr="00BF031D" w:rsidRDefault="0065124E" w:rsidP="0065124E">
            <w:pPr>
              <w:jc w:val="center"/>
              <w:rPr>
                <w:rFonts w:ascii="VIC" w:hAnsi="VIC"/>
                <w:sz w:val="18"/>
                <w:szCs w:val="18"/>
              </w:rPr>
            </w:pPr>
            <w:r w:rsidRPr="00BF7527">
              <w:rPr>
                <w:rFonts w:ascii="VIC" w:eastAsia="Verdana" w:hAnsi="VIC"/>
                <w:color w:val="000000"/>
                <w:sz w:val="18"/>
                <w:szCs w:val="18"/>
              </w:rPr>
              <w:t>6.6</w:t>
            </w:r>
          </w:p>
        </w:tc>
        <w:tc>
          <w:tcPr>
            <w:tcW w:w="1524" w:type="dxa"/>
            <w:shd w:val="clear" w:color="auto" w:fill="BFCED6"/>
          </w:tcPr>
          <w:p w14:paraId="74D2C4B5" w14:textId="10050ADD" w:rsidR="0065124E" w:rsidRPr="00BF031D" w:rsidRDefault="0065124E" w:rsidP="0065124E">
            <w:pPr>
              <w:jc w:val="center"/>
              <w:rPr>
                <w:rFonts w:ascii="VIC" w:hAnsi="VIC"/>
                <w:sz w:val="18"/>
                <w:szCs w:val="18"/>
              </w:rPr>
            </w:pPr>
            <w:r w:rsidRPr="00BF7527">
              <w:rPr>
                <w:rFonts w:ascii="VIC" w:eastAsia="Verdana" w:hAnsi="VIC"/>
                <w:color w:val="000000"/>
                <w:sz w:val="18"/>
                <w:szCs w:val="18"/>
              </w:rPr>
              <w:t>7 %</w:t>
            </w:r>
          </w:p>
        </w:tc>
        <w:tc>
          <w:tcPr>
            <w:tcW w:w="1524" w:type="dxa"/>
            <w:shd w:val="clear" w:color="auto" w:fill="BFCED6"/>
          </w:tcPr>
          <w:p w14:paraId="54D14EA3" w14:textId="2C7E6CDE" w:rsidR="0065124E" w:rsidRPr="00BF031D" w:rsidRDefault="0065124E" w:rsidP="0065124E">
            <w:pPr>
              <w:jc w:val="center"/>
              <w:rPr>
                <w:rFonts w:ascii="VIC" w:hAnsi="VIC"/>
                <w:sz w:val="18"/>
                <w:szCs w:val="18"/>
              </w:rPr>
            </w:pPr>
            <w:r w:rsidRPr="00BF7527">
              <w:rPr>
                <w:rFonts w:ascii="VIC" w:eastAsia="Verdana" w:hAnsi="VIC"/>
                <w:color w:val="000000"/>
                <w:sz w:val="18"/>
                <w:szCs w:val="18"/>
              </w:rPr>
              <w:t>91 %</w:t>
            </w:r>
          </w:p>
        </w:tc>
        <w:tc>
          <w:tcPr>
            <w:tcW w:w="1523" w:type="dxa"/>
            <w:shd w:val="clear" w:color="auto" w:fill="BFCED6"/>
          </w:tcPr>
          <w:p w14:paraId="7CC298DB" w14:textId="09235D6A" w:rsidR="0065124E" w:rsidRPr="00BF031D" w:rsidRDefault="0065124E" w:rsidP="0065124E">
            <w:pPr>
              <w:jc w:val="center"/>
              <w:rPr>
                <w:rFonts w:ascii="VIC" w:hAnsi="VIC"/>
                <w:sz w:val="18"/>
                <w:szCs w:val="18"/>
              </w:rPr>
            </w:pPr>
            <w:r w:rsidRPr="00BF7527">
              <w:rPr>
                <w:rFonts w:ascii="VIC" w:eastAsia="Verdana" w:hAnsi="VIC"/>
                <w:color w:val="000000"/>
                <w:sz w:val="18"/>
                <w:szCs w:val="18"/>
              </w:rPr>
              <w:t>13.5</w:t>
            </w:r>
          </w:p>
        </w:tc>
        <w:tc>
          <w:tcPr>
            <w:tcW w:w="1524" w:type="dxa"/>
            <w:shd w:val="clear" w:color="auto" w:fill="BFCED6"/>
          </w:tcPr>
          <w:p w14:paraId="506EFB00" w14:textId="2CC35A0A" w:rsidR="0065124E" w:rsidRPr="00BF031D" w:rsidRDefault="0065124E" w:rsidP="0065124E">
            <w:pPr>
              <w:jc w:val="center"/>
              <w:rPr>
                <w:rFonts w:ascii="VIC" w:hAnsi="VIC"/>
                <w:sz w:val="18"/>
                <w:szCs w:val="18"/>
              </w:rPr>
            </w:pPr>
            <w:r w:rsidRPr="00BF7527">
              <w:rPr>
                <w:rFonts w:ascii="VIC" w:eastAsia="Verdana" w:hAnsi="VIC"/>
                <w:color w:val="000000"/>
                <w:sz w:val="18"/>
                <w:szCs w:val="18"/>
              </w:rPr>
              <w:t>55 %</w:t>
            </w:r>
          </w:p>
        </w:tc>
        <w:tc>
          <w:tcPr>
            <w:tcW w:w="1524" w:type="dxa"/>
            <w:shd w:val="clear" w:color="auto" w:fill="BFCED6"/>
          </w:tcPr>
          <w:p w14:paraId="4CA00923" w14:textId="5D6203C1" w:rsidR="0065124E" w:rsidRPr="00BF031D" w:rsidRDefault="0065124E" w:rsidP="0065124E">
            <w:pPr>
              <w:jc w:val="center"/>
              <w:rPr>
                <w:rFonts w:ascii="VIC" w:hAnsi="VIC"/>
                <w:sz w:val="18"/>
                <w:szCs w:val="18"/>
              </w:rPr>
            </w:pPr>
            <w:r w:rsidRPr="00BF7527">
              <w:rPr>
                <w:rFonts w:ascii="VIC" w:eastAsia="Verdana" w:hAnsi="VIC"/>
                <w:color w:val="000000"/>
                <w:sz w:val="18"/>
                <w:szCs w:val="18"/>
              </w:rPr>
              <w:t>0 %</w:t>
            </w:r>
          </w:p>
        </w:tc>
        <w:tc>
          <w:tcPr>
            <w:tcW w:w="1524" w:type="dxa"/>
            <w:shd w:val="clear" w:color="auto" w:fill="BFCED6"/>
          </w:tcPr>
          <w:p w14:paraId="328B7143" w14:textId="1436DFF4" w:rsidR="0065124E" w:rsidRPr="00BF031D" w:rsidRDefault="0065124E" w:rsidP="0065124E">
            <w:pPr>
              <w:jc w:val="center"/>
              <w:rPr>
                <w:rFonts w:ascii="VIC" w:hAnsi="VIC"/>
                <w:sz w:val="18"/>
                <w:szCs w:val="18"/>
              </w:rPr>
            </w:pPr>
            <w:r w:rsidRPr="00BF7527">
              <w:rPr>
                <w:rFonts w:ascii="VIC" w:eastAsia="Verdana" w:hAnsi="VIC"/>
                <w:color w:val="000000"/>
                <w:sz w:val="18"/>
                <w:szCs w:val="18"/>
              </w:rPr>
              <w:t>1.7</w:t>
            </w:r>
          </w:p>
        </w:tc>
      </w:tr>
      <w:tr w:rsidR="0065124E" w:rsidRPr="00BF031D" w14:paraId="3DE6EF4C" w14:textId="77777777" w:rsidTr="009D3084">
        <w:trPr>
          <w:trHeight w:val="454"/>
        </w:trPr>
        <w:tc>
          <w:tcPr>
            <w:tcW w:w="1570" w:type="dxa"/>
            <w:shd w:val="clear" w:color="auto" w:fill="auto"/>
          </w:tcPr>
          <w:p w14:paraId="469BA09C" w14:textId="0F14B815"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Eastern Health</w:t>
            </w:r>
          </w:p>
        </w:tc>
        <w:tc>
          <w:tcPr>
            <w:tcW w:w="1985" w:type="dxa"/>
            <w:shd w:val="clear" w:color="auto" w:fill="auto"/>
          </w:tcPr>
          <w:p w14:paraId="5B6D64B3" w14:textId="35A684A9"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Central/Outer East (Peter James Centre)</w:t>
            </w:r>
          </w:p>
        </w:tc>
        <w:tc>
          <w:tcPr>
            <w:tcW w:w="1523" w:type="dxa"/>
            <w:shd w:val="clear" w:color="auto" w:fill="auto"/>
          </w:tcPr>
          <w:p w14:paraId="0EBD13AD" w14:textId="503C2727" w:rsidR="0065124E" w:rsidRPr="00BF031D" w:rsidRDefault="0065124E" w:rsidP="0065124E">
            <w:pPr>
              <w:jc w:val="center"/>
              <w:rPr>
                <w:rFonts w:ascii="VIC" w:hAnsi="VIC"/>
                <w:sz w:val="18"/>
                <w:szCs w:val="18"/>
              </w:rPr>
            </w:pPr>
            <w:r w:rsidRPr="00BF7527">
              <w:rPr>
                <w:rFonts w:ascii="VIC" w:eastAsia="Verdana" w:hAnsi="VIC"/>
                <w:color w:val="000000"/>
                <w:sz w:val="18"/>
                <w:szCs w:val="18"/>
              </w:rPr>
              <w:t>60 %</w:t>
            </w:r>
          </w:p>
        </w:tc>
        <w:tc>
          <w:tcPr>
            <w:tcW w:w="1524" w:type="dxa"/>
            <w:shd w:val="clear" w:color="auto" w:fill="auto"/>
          </w:tcPr>
          <w:p w14:paraId="06A895DD" w14:textId="2EB6E241" w:rsidR="0065124E" w:rsidRPr="00BF031D" w:rsidRDefault="0065124E" w:rsidP="0065124E">
            <w:pPr>
              <w:jc w:val="center"/>
              <w:rPr>
                <w:rFonts w:ascii="VIC" w:hAnsi="VIC"/>
                <w:sz w:val="18"/>
                <w:szCs w:val="18"/>
              </w:rPr>
            </w:pPr>
            <w:r w:rsidRPr="00BF7527">
              <w:rPr>
                <w:rFonts w:ascii="VIC" w:eastAsia="Verdana" w:hAnsi="VIC"/>
                <w:color w:val="000000"/>
                <w:sz w:val="18"/>
                <w:szCs w:val="18"/>
              </w:rPr>
              <w:t>6.0</w:t>
            </w:r>
          </w:p>
        </w:tc>
        <w:tc>
          <w:tcPr>
            <w:tcW w:w="1524" w:type="dxa"/>
            <w:shd w:val="clear" w:color="auto" w:fill="auto"/>
          </w:tcPr>
          <w:p w14:paraId="0C89F3BD" w14:textId="39129E59" w:rsidR="0065124E" w:rsidRPr="00BF031D" w:rsidRDefault="0065124E" w:rsidP="0065124E">
            <w:pPr>
              <w:jc w:val="center"/>
              <w:rPr>
                <w:rFonts w:ascii="VIC" w:hAnsi="VIC"/>
                <w:sz w:val="18"/>
                <w:szCs w:val="18"/>
              </w:rPr>
            </w:pPr>
            <w:r w:rsidRPr="00BF7527">
              <w:rPr>
                <w:rFonts w:ascii="VIC" w:eastAsia="Verdana" w:hAnsi="VIC"/>
                <w:color w:val="000000"/>
                <w:sz w:val="18"/>
                <w:szCs w:val="18"/>
              </w:rPr>
              <w:t>5 %</w:t>
            </w:r>
          </w:p>
        </w:tc>
        <w:tc>
          <w:tcPr>
            <w:tcW w:w="1524" w:type="dxa"/>
            <w:shd w:val="clear" w:color="auto" w:fill="auto"/>
          </w:tcPr>
          <w:p w14:paraId="235852D5" w14:textId="1A5181CB" w:rsidR="0065124E" w:rsidRPr="00BF031D" w:rsidRDefault="0065124E" w:rsidP="0065124E">
            <w:pPr>
              <w:jc w:val="center"/>
              <w:rPr>
                <w:rFonts w:ascii="VIC" w:hAnsi="VIC"/>
                <w:sz w:val="18"/>
                <w:szCs w:val="18"/>
              </w:rPr>
            </w:pPr>
            <w:r w:rsidRPr="00BF7527">
              <w:rPr>
                <w:rFonts w:ascii="VIC" w:eastAsia="Verdana" w:hAnsi="VIC"/>
                <w:color w:val="000000"/>
                <w:sz w:val="18"/>
                <w:szCs w:val="18"/>
              </w:rPr>
              <w:t>91 %</w:t>
            </w:r>
          </w:p>
        </w:tc>
        <w:tc>
          <w:tcPr>
            <w:tcW w:w="1523" w:type="dxa"/>
            <w:shd w:val="clear" w:color="auto" w:fill="auto"/>
          </w:tcPr>
          <w:p w14:paraId="0E6E7F90" w14:textId="43ED0AD5" w:rsidR="0065124E" w:rsidRPr="00BF031D" w:rsidRDefault="0065124E" w:rsidP="0065124E">
            <w:pPr>
              <w:jc w:val="center"/>
              <w:rPr>
                <w:rFonts w:ascii="VIC" w:hAnsi="VIC"/>
                <w:sz w:val="18"/>
                <w:szCs w:val="18"/>
              </w:rPr>
            </w:pPr>
            <w:r w:rsidRPr="00BF7527">
              <w:rPr>
                <w:rFonts w:ascii="VIC" w:eastAsia="Verdana" w:hAnsi="VIC"/>
                <w:color w:val="000000"/>
                <w:sz w:val="18"/>
                <w:szCs w:val="18"/>
              </w:rPr>
              <w:t>16.7</w:t>
            </w:r>
          </w:p>
        </w:tc>
        <w:tc>
          <w:tcPr>
            <w:tcW w:w="1524" w:type="dxa"/>
            <w:shd w:val="clear" w:color="auto" w:fill="auto"/>
          </w:tcPr>
          <w:p w14:paraId="4020640C" w14:textId="77C56F28" w:rsidR="0065124E" w:rsidRPr="00BF031D" w:rsidRDefault="0065124E" w:rsidP="0065124E">
            <w:pPr>
              <w:jc w:val="center"/>
              <w:rPr>
                <w:rFonts w:ascii="VIC" w:hAnsi="VIC"/>
                <w:sz w:val="18"/>
                <w:szCs w:val="18"/>
              </w:rPr>
            </w:pPr>
            <w:r w:rsidRPr="00BF7527">
              <w:rPr>
                <w:rFonts w:ascii="VIC" w:eastAsia="Verdana" w:hAnsi="VIC"/>
                <w:color w:val="000000"/>
                <w:sz w:val="18"/>
                <w:szCs w:val="18"/>
              </w:rPr>
              <w:t>66 %</w:t>
            </w:r>
          </w:p>
        </w:tc>
        <w:tc>
          <w:tcPr>
            <w:tcW w:w="1524" w:type="dxa"/>
            <w:shd w:val="clear" w:color="auto" w:fill="auto"/>
          </w:tcPr>
          <w:p w14:paraId="35AAE4B2" w14:textId="6C46534E" w:rsidR="0065124E" w:rsidRPr="00BF031D" w:rsidRDefault="0065124E" w:rsidP="0065124E">
            <w:pPr>
              <w:jc w:val="center"/>
              <w:rPr>
                <w:rFonts w:ascii="VIC" w:hAnsi="VIC"/>
                <w:sz w:val="18"/>
                <w:szCs w:val="18"/>
              </w:rPr>
            </w:pPr>
            <w:r w:rsidRPr="00BF7527">
              <w:rPr>
                <w:rFonts w:ascii="VIC" w:eastAsia="Verdana" w:hAnsi="VIC"/>
                <w:color w:val="000000"/>
                <w:sz w:val="18"/>
                <w:szCs w:val="18"/>
              </w:rPr>
              <w:t>0 %</w:t>
            </w:r>
          </w:p>
        </w:tc>
        <w:tc>
          <w:tcPr>
            <w:tcW w:w="1524" w:type="dxa"/>
            <w:shd w:val="clear" w:color="auto" w:fill="auto"/>
          </w:tcPr>
          <w:p w14:paraId="78144D50" w14:textId="60F6C840" w:rsidR="0065124E" w:rsidRPr="00BF031D" w:rsidRDefault="0065124E" w:rsidP="0065124E">
            <w:pPr>
              <w:jc w:val="center"/>
              <w:rPr>
                <w:rFonts w:ascii="VIC" w:hAnsi="VIC"/>
                <w:sz w:val="18"/>
                <w:szCs w:val="18"/>
              </w:rPr>
            </w:pPr>
            <w:r w:rsidRPr="00BF7527">
              <w:rPr>
                <w:rFonts w:ascii="VIC" w:eastAsia="Verdana" w:hAnsi="VIC"/>
                <w:color w:val="000000"/>
                <w:sz w:val="18"/>
                <w:szCs w:val="18"/>
              </w:rPr>
              <w:t>2.1</w:t>
            </w:r>
          </w:p>
        </w:tc>
      </w:tr>
      <w:tr w:rsidR="0065124E" w:rsidRPr="00BF031D" w14:paraId="45463580" w14:textId="77777777" w:rsidTr="009D3084">
        <w:trPr>
          <w:trHeight w:val="454"/>
        </w:trPr>
        <w:tc>
          <w:tcPr>
            <w:tcW w:w="1570" w:type="dxa"/>
            <w:vMerge w:val="restart"/>
            <w:shd w:val="clear" w:color="auto" w:fill="BFCED6"/>
          </w:tcPr>
          <w:p w14:paraId="5F770C8D" w14:textId="56A12866"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Melbourne Health</w:t>
            </w:r>
          </w:p>
        </w:tc>
        <w:tc>
          <w:tcPr>
            <w:tcW w:w="1985" w:type="dxa"/>
            <w:shd w:val="clear" w:color="auto" w:fill="BFCED6"/>
          </w:tcPr>
          <w:p w14:paraId="7529642C" w14:textId="7BF93D07"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Mid West/South West Aged (Sunshine)</w:t>
            </w:r>
          </w:p>
        </w:tc>
        <w:tc>
          <w:tcPr>
            <w:tcW w:w="1523" w:type="dxa"/>
            <w:shd w:val="clear" w:color="auto" w:fill="BFCED6"/>
          </w:tcPr>
          <w:p w14:paraId="4FF4DBDA" w14:textId="23A73227" w:rsidR="0065124E" w:rsidRPr="00BF031D" w:rsidRDefault="0065124E" w:rsidP="0065124E">
            <w:pPr>
              <w:jc w:val="center"/>
              <w:rPr>
                <w:rFonts w:ascii="VIC" w:hAnsi="VIC"/>
                <w:sz w:val="18"/>
                <w:szCs w:val="18"/>
              </w:rPr>
            </w:pPr>
            <w:r w:rsidRPr="00BF7527">
              <w:rPr>
                <w:rFonts w:ascii="VIC" w:eastAsia="Verdana" w:hAnsi="VIC"/>
                <w:color w:val="000000"/>
                <w:sz w:val="18"/>
                <w:szCs w:val="18"/>
              </w:rPr>
              <w:t>51 %</w:t>
            </w:r>
          </w:p>
        </w:tc>
        <w:tc>
          <w:tcPr>
            <w:tcW w:w="1524" w:type="dxa"/>
            <w:shd w:val="clear" w:color="auto" w:fill="BFCED6"/>
          </w:tcPr>
          <w:p w14:paraId="7FA31B60" w14:textId="603BB857" w:rsidR="0065124E" w:rsidRPr="00BF031D" w:rsidRDefault="0065124E" w:rsidP="0065124E">
            <w:pPr>
              <w:jc w:val="center"/>
              <w:rPr>
                <w:rFonts w:ascii="VIC" w:hAnsi="VIC"/>
                <w:sz w:val="18"/>
                <w:szCs w:val="18"/>
              </w:rPr>
            </w:pPr>
            <w:r w:rsidRPr="00BF7527">
              <w:rPr>
                <w:rFonts w:ascii="VIC" w:eastAsia="Verdana" w:hAnsi="VIC"/>
                <w:color w:val="000000"/>
                <w:sz w:val="18"/>
                <w:szCs w:val="18"/>
              </w:rPr>
              <w:t>6.8</w:t>
            </w:r>
          </w:p>
        </w:tc>
        <w:tc>
          <w:tcPr>
            <w:tcW w:w="1524" w:type="dxa"/>
            <w:shd w:val="clear" w:color="auto" w:fill="BFCED6"/>
          </w:tcPr>
          <w:p w14:paraId="2F5E2245" w14:textId="6E1BC7F4" w:rsidR="0065124E" w:rsidRPr="00BF031D" w:rsidRDefault="0065124E" w:rsidP="0065124E">
            <w:pPr>
              <w:jc w:val="center"/>
              <w:rPr>
                <w:rFonts w:ascii="VIC" w:hAnsi="VIC"/>
                <w:sz w:val="18"/>
                <w:szCs w:val="18"/>
              </w:rPr>
            </w:pPr>
            <w:r w:rsidRPr="00BF7527">
              <w:rPr>
                <w:rFonts w:ascii="VIC" w:eastAsia="Verdana" w:hAnsi="VIC"/>
                <w:color w:val="000000"/>
                <w:sz w:val="18"/>
                <w:szCs w:val="18"/>
              </w:rPr>
              <w:t>9 %</w:t>
            </w:r>
          </w:p>
        </w:tc>
        <w:tc>
          <w:tcPr>
            <w:tcW w:w="1524" w:type="dxa"/>
            <w:shd w:val="clear" w:color="auto" w:fill="BFCED6"/>
          </w:tcPr>
          <w:p w14:paraId="4955763A" w14:textId="3AD2E07D" w:rsidR="0065124E" w:rsidRPr="00BF031D" w:rsidRDefault="0065124E" w:rsidP="0065124E">
            <w:pPr>
              <w:jc w:val="center"/>
              <w:rPr>
                <w:rFonts w:ascii="VIC" w:hAnsi="VIC"/>
                <w:sz w:val="18"/>
                <w:szCs w:val="18"/>
              </w:rPr>
            </w:pPr>
            <w:r w:rsidRPr="00BF7527">
              <w:rPr>
                <w:rFonts w:ascii="VIC" w:eastAsia="Verdana" w:hAnsi="VIC"/>
                <w:color w:val="000000"/>
                <w:sz w:val="18"/>
                <w:szCs w:val="18"/>
              </w:rPr>
              <w:t>68 %</w:t>
            </w:r>
          </w:p>
        </w:tc>
        <w:tc>
          <w:tcPr>
            <w:tcW w:w="1523" w:type="dxa"/>
            <w:shd w:val="clear" w:color="auto" w:fill="BFCED6"/>
          </w:tcPr>
          <w:p w14:paraId="6EA55BA5" w14:textId="46FAF732" w:rsidR="0065124E" w:rsidRPr="00BF031D" w:rsidRDefault="0065124E" w:rsidP="0065124E">
            <w:pPr>
              <w:jc w:val="center"/>
              <w:rPr>
                <w:rFonts w:ascii="VIC" w:hAnsi="VIC"/>
                <w:sz w:val="18"/>
                <w:szCs w:val="18"/>
              </w:rPr>
            </w:pPr>
            <w:r w:rsidRPr="00BF7527">
              <w:rPr>
                <w:rFonts w:ascii="VIC" w:eastAsia="Verdana" w:hAnsi="VIC"/>
                <w:color w:val="000000"/>
                <w:sz w:val="18"/>
                <w:szCs w:val="18"/>
              </w:rPr>
              <w:t>13.1</w:t>
            </w:r>
          </w:p>
        </w:tc>
        <w:tc>
          <w:tcPr>
            <w:tcW w:w="1524" w:type="dxa"/>
            <w:shd w:val="clear" w:color="auto" w:fill="BFCED6"/>
          </w:tcPr>
          <w:p w14:paraId="58B9BB35" w14:textId="24EA2690" w:rsidR="0065124E" w:rsidRPr="00BF031D" w:rsidRDefault="0065124E" w:rsidP="0065124E">
            <w:pPr>
              <w:jc w:val="center"/>
              <w:rPr>
                <w:rFonts w:ascii="VIC" w:hAnsi="VIC"/>
                <w:sz w:val="18"/>
                <w:szCs w:val="18"/>
              </w:rPr>
            </w:pPr>
            <w:r w:rsidRPr="00BF7527">
              <w:rPr>
                <w:rFonts w:ascii="VIC" w:eastAsia="Verdana" w:hAnsi="VIC"/>
                <w:color w:val="000000"/>
                <w:sz w:val="18"/>
                <w:szCs w:val="18"/>
              </w:rPr>
              <w:t>59 %</w:t>
            </w:r>
          </w:p>
        </w:tc>
        <w:tc>
          <w:tcPr>
            <w:tcW w:w="1524" w:type="dxa"/>
            <w:shd w:val="clear" w:color="auto" w:fill="BFCED6"/>
          </w:tcPr>
          <w:p w14:paraId="684FBA3E" w14:textId="45D61D48" w:rsidR="0065124E" w:rsidRPr="00BF031D" w:rsidRDefault="0065124E" w:rsidP="0065124E">
            <w:pPr>
              <w:jc w:val="center"/>
              <w:rPr>
                <w:rFonts w:ascii="VIC" w:hAnsi="VIC"/>
                <w:sz w:val="18"/>
                <w:szCs w:val="18"/>
              </w:rPr>
            </w:pPr>
            <w:r w:rsidRPr="00BF7527">
              <w:rPr>
                <w:rFonts w:ascii="VIC" w:eastAsia="Verdana" w:hAnsi="VIC"/>
                <w:color w:val="000000"/>
                <w:sz w:val="18"/>
                <w:szCs w:val="18"/>
              </w:rPr>
              <w:t>4 %</w:t>
            </w:r>
          </w:p>
        </w:tc>
        <w:tc>
          <w:tcPr>
            <w:tcW w:w="1524" w:type="dxa"/>
            <w:shd w:val="clear" w:color="auto" w:fill="BFCED6"/>
          </w:tcPr>
          <w:p w14:paraId="55A8BC22" w14:textId="422E2B1F" w:rsidR="0065124E" w:rsidRPr="00BF031D" w:rsidRDefault="0065124E" w:rsidP="0065124E">
            <w:pPr>
              <w:jc w:val="center"/>
              <w:rPr>
                <w:rFonts w:ascii="VIC" w:hAnsi="VIC"/>
                <w:sz w:val="18"/>
                <w:szCs w:val="18"/>
              </w:rPr>
            </w:pPr>
            <w:r w:rsidRPr="00BF7527">
              <w:rPr>
                <w:rFonts w:ascii="VIC" w:eastAsia="Verdana" w:hAnsi="VIC"/>
                <w:color w:val="000000"/>
                <w:sz w:val="18"/>
                <w:szCs w:val="18"/>
              </w:rPr>
              <w:t>1.9</w:t>
            </w:r>
          </w:p>
        </w:tc>
      </w:tr>
      <w:tr w:rsidR="0065124E" w:rsidRPr="00BF031D" w14:paraId="0BA96201" w14:textId="77777777" w:rsidTr="009D3084">
        <w:trPr>
          <w:trHeight w:val="454"/>
        </w:trPr>
        <w:tc>
          <w:tcPr>
            <w:tcW w:w="1570" w:type="dxa"/>
            <w:vMerge/>
            <w:shd w:val="clear" w:color="auto" w:fill="BFCED6"/>
          </w:tcPr>
          <w:p w14:paraId="317F3E7A" w14:textId="77777777" w:rsidR="0065124E" w:rsidRPr="00BF031D" w:rsidRDefault="0065124E" w:rsidP="0065124E">
            <w:pPr>
              <w:pStyle w:val="DHHStabletext"/>
              <w:spacing w:before="0" w:after="0"/>
              <w:rPr>
                <w:rFonts w:ascii="VIC" w:hAnsi="VIC"/>
                <w:sz w:val="18"/>
                <w:szCs w:val="18"/>
              </w:rPr>
            </w:pPr>
          </w:p>
        </w:tc>
        <w:tc>
          <w:tcPr>
            <w:tcW w:w="1985" w:type="dxa"/>
            <w:shd w:val="clear" w:color="auto" w:fill="BFCED6"/>
          </w:tcPr>
          <w:p w14:paraId="798C9307" w14:textId="2BAECCD3"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North East Aged (Bundoora)</w:t>
            </w:r>
          </w:p>
        </w:tc>
        <w:tc>
          <w:tcPr>
            <w:tcW w:w="1523" w:type="dxa"/>
            <w:shd w:val="clear" w:color="auto" w:fill="BFCED6"/>
          </w:tcPr>
          <w:p w14:paraId="20F1630A" w14:textId="6BF47F83" w:rsidR="0065124E" w:rsidRPr="00BF031D" w:rsidRDefault="0065124E" w:rsidP="0065124E">
            <w:pPr>
              <w:jc w:val="center"/>
              <w:rPr>
                <w:rFonts w:ascii="VIC" w:hAnsi="VIC"/>
                <w:sz w:val="18"/>
                <w:szCs w:val="18"/>
              </w:rPr>
            </w:pPr>
            <w:r w:rsidRPr="00BF7527">
              <w:rPr>
                <w:rFonts w:ascii="VIC" w:eastAsia="Verdana" w:hAnsi="VIC"/>
                <w:color w:val="000000"/>
                <w:sz w:val="18"/>
                <w:szCs w:val="18"/>
              </w:rPr>
              <w:t>48 %</w:t>
            </w:r>
          </w:p>
        </w:tc>
        <w:tc>
          <w:tcPr>
            <w:tcW w:w="1524" w:type="dxa"/>
            <w:shd w:val="clear" w:color="auto" w:fill="BFCED6"/>
          </w:tcPr>
          <w:p w14:paraId="677134E5" w14:textId="1DCCAA0C" w:rsidR="0065124E" w:rsidRPr="00BF031D" w:rsidRDefault="0065124E" w:rsidP="0065124E">
            <w:pPr>
              <w:jc w:val="center"/>
              <w:rPr>
                <w:rFonts w:ascii="VIC" w:hAnsi="VIC"/>
                <w:sz w:val="18"/>
                <w:szCs w:val="18"/>
              </w:rPr>
            </w:pPr>
            <w:r w:rsidRPr="00BF7527">
              <w:rPr>
                <w:rFonts w:ascii="VIC" w:eastAsia="Verdana" w:hAnsi="VIC"/>
                <w:color w:val="000000"/>
                <w:sz w:val="18"/>
                <w:szCs w:val="18"/>
              </w:rPr>
              <w:t>8.0</w:t>
            </w:r>
          </w:p>
        </w:tc>
        <w:tc>
          <w:tcPr>
            <w:tcW w:w="1524" w:type="dxa"/>
            <w:shd w:val="clear" w:color="auto" w:fill="BFCED6"/>
          </w:tcPr>
          <w:p w14:paraId="7D073338" w14:textId="4FA43FBD" w:rsidR="0065124E" w:rsidRPr="00BF031D" w:rsidRDefault="0065124E" w:rsidP="0065124E">
            <w:pPr>
              <w:jc w:val="center"/>
              <w:rPr>
                <w:rFonts w:ascii="VIC" w:hAnsi="VIC"/>
                <w:sz w:val="18"/>
                <w:szCs w:val="18"/>
              </w:rPr>
            </w:pPr>
            <w:r w:rsidRPr="00BF7527">
              <w:rPr>
                <w:rFonts w:ascii="VIC" w:eastAsia="Verdana" w:hAnsi="VIC"/>
                <w:color w:val="000000"/>
                <w:sz w:val="18"/>
                <w:szCs w:val="18"/>
              </w:rPr>
              <w:t>4 %</w:t>
            </w:r>
          </w:p>
        </w:tc>
        <w:tc>
          <w:tcPr>
            <w:tcW w:w="1524" w:type="dxa"/>
            <w:shd w:val="clear" w:color="auto" w:fill="BFCED6"/>
          </w:tcPr>
          <w:p w14:paraId="1844D91E" w14:textId="6B2E0408" w:rsidR="0065124E" w:rsidRPr="00BF031D" w:rsidRDefault="0065124E" w:rsidP="0065124E">
            <w:pPr>
              <w:jc w:val="center"/>
              <w:rPr>
                <w:rFonts w:ascii="VIC" w:hAnsi="VIC"/>
                <w:sz w:val="18"/>
                <w:szCs w:val="18"/>
              </w:rPr>
            </w:pPr>
            <w:r w:rsidRPr="00BF7527">
              <w:rPr>
                <w:rFonts w:ascii="VIC" w:eastAsia="Verdana" w:hAnsi="VIC"/>
                <w:color w:val="000000"/>
                <w:sz w:val="18"/>
                <w:szCs w:val="18"/>
              </w:rPr>
              <w:t>73 %</w:t>
            </w:r>
          </w:p>
        </w:tc>
        <w:tc>
          <w:tcPr>
            <w:tcW w:w="1523" w:type="dxa"/>
            <w:shd w:val="clear" w:color="auto" w:fill="BFCED6"/>
          </w:tcPr>
          <w:p w14:paraId="244A0B6C" w14:textId="5F5DA6F5" w:rsidR="0065124E" w:rsidRPr="00BF031D" w:rsidRDefault="0065124E" w:rsidP="0065124E">
            <w:pPr>
              <w:jc w:val="center"/>
              <w:rPr>
                <w:rFonts w:ascii="VIC" w:hAnsi="VIC"/>
                <w:sz w:val="18"/>
                <w:szCs w:val="18"/>
              </w:rPr>
            </w:pPr>
            <w:r w:rsidRPr="00BF7527">
              <w:rPr>
                <w:rFonts w:ascii="VIC" w:eastAsia="Verdana" w:hAnsi="VIC"/>
                <w:color w:val="000000"/>
                <w:sz w:val="18"/>
                <w:szCs w:val="18"/>
              </w:rPr>
              <w:t>12.3</w:t>
            </w:r>
          </w:p>
        </w:tc>
        <w:tc>
          <w:tcPr>
            <w:tcW w:w="1524" w:type="dxa"/>
            <w:shd w:val="clear" w:color="auto" w:fill="BFCED6"/>
          </w:tcPr>
          <w:p w14:paraId="47A4F890" w14:textId="26DAEF2E" w:rsidR="0065124E" w:rsidRPr="00BF031D" w:rsidRDefault="0065124E" w:rsidP="0065124E">
            <w:pPr>
              <w:jc w:val="center"/>
              <w:rPr>
                <w:rFonts w:ascii="VIC" w:hAnsi="VIC"/>
                <w:sz w:val="18"/>
                <w:szCs w:val="18"/>
              </w:rPr>
            </w:pPr>
            <w:r w:rsidRPr="00BF7527">
              <w:rPr>
                <w:rFonts w:ascii="VIC" w:eastAsia="Verdana" w:hAnsi="VIC"/>
                <w:color w:val="000000"/>
                <w:sz w:val="18"/>
                <w:szCs w:val="18"/>
              </w:rPr>
              <w:t>58 %</w:t>
            </w:r>
          </w:p>
        </w:tc>
        <w:tc>
          <w:tcPr>
            <w:tcW w:w="1524" w:type="dxa"/>
            <w:shd w:val="clear" w:color="auto" w:fill="BFCED6"/>
          </w:tcPr>
          <w:p w14:paraId="1EE08D59" w14:textId="381679F3" w:rsidR="0065124E" w:rsidRPr="00BF031D" w:rsidRDefault="0065124E" w:rsidP="0065124E">
            <w:pPr>
              <w:jc w:val="center"/>
              <w:rPr>
                <w:rFonts w:ascii="VIC" w:hAnsi="VIC"/>
                <w:sz w:val="18"/>
                <w:szCs w:val="18"/>
              </w:rPr>
            </w:pPr>
            <w:r w:rsidRPr="00BF7527">
              <w:rPr>
                <w:rFonts w:ascii="VIC" w:eastAsia="Verdana" w:hAnsi="VIC"/>
                <w:color w:val="000000"/>
                <w:sz w:val="18"/>
                <w:szCs w:val="18"/>
              </w:rPr>
              <w:t>0 %</w:t>
            </w:r>
          </w:p>
        </w:tc>
        <w:tc>
          <w:tcPr>
            <w:tcW w:w="1524" w:type="dxa"/>
            <w:shd w:val="clear" w:color="auto" w:fill="BFCED6"/>
          </w:tcPr>
          <w:p w14:paraId="279B4B6D" w14:textId="515128A2" w:rsidR="0065124E" w:rsidRPr="00BF031D" w:rsidRDefault="0065124E" w:rsidP="0065124E">
            <w:pPr>
              <w:jc w:val="center"/>
              <w:rPr>
                <w:rFonts w:ascii="VIC" w:hAnsi="VIC"/>
                <w:sz w:val="18"/>
                <w:szCs w:val="18"/>
              </w:rPr>
            </w:pPr>
            <w:r w:rsidRPr="00BF7527">
              <w:rPr>
                <w:rFonts w:ascii="VIC" w:eastAsia="Verdana" w:hAnsi="VIC"/>
                <w:color w:val="000000"/>
                <w:sz w:val="18"/>
                <w:szCs w:val="18"/>
              </w:rPr>
              <w:t>1.7</w:t>
            </w:r>
          </w:p>
        </w:tc>
      </w:tr>
      <w:tr w:rsidR="0065124E" w:rsidRPr="00BF031D" w14:paraId="75D3C4AB" w14:textId="77777777" w:rsidTr="009D3084">
        <w:trPr>
          <w:trHeight w:val="454"/>
        </w:trPr>
        <w:tc>
          <w:tcPr>
            <w:tcW w:w="1570" w:type="dxa"/>
            <w:vMerge/>
            <w:shd w:val="clear" w:color="auto" w:fill="BFCED6"/>
          </w:tcPr>
          <w:p w14:paraId="7C2165D3" w14:textId="77777777" w:rsidR="0065124E" w:rsidRPr="00BF031D" w:rsidRDefault="0065124E" w:rsidP="0065124E">
            <w:pPr>
              <w:pStyle w:val="DHHStabletext"/>
              <w:spacing w:before="0" w:after="0"/>
              <w:rPr>
                <w:rFonts w:ascii="VIC" w:hAnsi="VIC"/>
                <w:sz w:val="18"/>
                <w:szCs w:val="18"/>
              </w:rPr>
            </w:pPr>
          </w:p>
        </w:tc>
        <w:tc>
          <w:tcPr>
            <w:tcW w:w="1985" w:type="dxa"/>
            <w:shd w:val="clear" w:color="auto" w:fill="BFCED6"/>
          </w:tcPr>
          <w:p w14:paraId="284C48F7" w14:textId="14A48B7C"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North West/Inner West (Broadmeadows)</w:t>
            </w:r>
          </w:p>
        </w:tc>
        <w:tc>
          <w:tcPr>
            <w:tcW w:w="1523" w:type="dxa"/>
            <w:shd w:val="clear" w:color="auto" w:fill="BFCED6"/>
          </w:tcPr>
          <w:p w14:paraId="1197E235" w14:textId="0787DC95" w:rsidR="0065124E" w:rsidRPr="00BF031D" w:rsidRDefault="0065124E" w:rsidP="0065124E">
            <w:pPr>
              <w:jc w:val="center"/>
              <w:rPr>
                <w:rFonts w:ascii="VIC" w:hAnsi="VIC"/>
                <w:sz w:val="18"/>
                <w:szCs w:val="18"/>
              </w:rPr>
            </w:pPr>
            <w:r w:rsidRPr="00BF7527">
              <w:rPr>
                <w:rFonts w:ascii="VIC" w:eastAsia="Verdana" w:hAnsi="VIC"/>
                <w:color w:val="000000"/>
                <w:sz w:val="18"/>
                <w:szCs w:val="18"/>
              </w:rPr>
              <w:t>50 %</w:t>
            </w:r>
          </w:p>
        </w:tc>
        <w:tc>
          <w:tcPr>
            <w:tcW w:w="1524" w:type="dxa"/>
            <w:shd w:val="clear" w:color="auto" w:fill="BFCED6"/>
          </w:tcPr>
          <w:p w14:paraId="0ACDC0C2" w14:textId="0225ED04" w:rsidR="0065124E" w:rsidRPr="00BF031D" w:rsidRDefault="0065124E" w:rsidP="0065124E">
            <w:pPr>
              <w:jc w:val="center"/>
              <w:rPr>
                <w:rFonts w:ascii="VIC" w:hAnsi="VIC"/>
                <w:sz w:val="18"/>
                <w:szCs w:val="18"/>
              </w:rPr>
            </w:pPr>
            <w:r w:rsidRPr="00BF7527">
              <w:rPr>
                <w:rFonts w:ascii="VIC" w:eastAsia="Verdana" w:hAnsi="VIC"/>
                <w:color w:val="000000"/>
                <w:sz w:val="18"/>
                <w:szCs w:val="18"/>
              </w:rPr>
              <w:t>7.0</w:t>
            </w:r>
          </w:p>
        </w:tc>
        <w:tc>
          <w:tcPr>
            <w:tcW w:w="1524" w:type="dxa"/>
            <w:shd w:val="clear" w:color="auto" w:fill="BFCED6"/>
          </w:tcPr>
          <w:p w14:paraId="12687A1E" w14:textId="04025E5D" w:rsidR="0065124E" w:rsidRPr="00BF031D" w:rsidRDefault="0065124E" w:rsidP="0065124E">
            <w:pPr>
              <w:jc w:val="center"/>
              <w:rPr>
                <w:rFonts w:ascii="VIC" w:hAnsi="VIC"/>
                <w:sz w:val="18"/>
                <w:szCs w:val="18"/>
              </w:rPr>
            </w:pPr>
            <w:r w:rsidRPr="00BF7527">
              <w:rPr>
                <w:rFonts w:ascii="VIC" w:eastAsia="Verdana" w:hAnsi="VIC"/>
                <w:color w:val="000000"/>
                <w:sz w:val="18"/>
                <w:szCs w:val="18"/>
              </w:rPr>
              <w:t>7 %</w:t>
            </w:r>
          </w:p>
        </w:tc>
        <w:tc>
          <w:tcPr>
            <w:tcW w:w="1524" w:type="dxa"/>
            <w:shd w:val="clear" w:color="auto" w:fill="BFCED6"/>
          </w:tcPr>
          <w:p w14:paraId="4D2187BF" w14:textId="69EADA32" w:rsidR="0065124E" w:rsidRPr="00BF031D" w:rsidRDefault="0065124E" w:rsidP="0065124E">
            <w:pPr>
              <w:jc w:val="center"/>
              <w:rPr>
                <w:rFonts w:ascii="VIC" w:hAnsi="VIC"/>
                <w:sz w:val="18"/>
                <w:szCs w:val="18"/>
              </w:rPr>
            </w:pPr>
            <w:r w:rsidRPr="00BF7527">
              <w:rPr>
                <w:rFonts w:ascii="VIC" w:eastAsia="Verdana" w:hAnsi="VIC"/>
                <w:color w:val="000000"/>
                <w:sz w:val="18"/>
                <w:szCs w:val="18"/>
              </w:rPr>
              <w:t>49 %</w:t>
            </w:r>
          </w:p>
        </w:tc>
        <w:tc>
          <w:tcPr>
            <w:tcW w:w="1523" w:type="dxa"/>
            <w:shd w:val="clear" w:color="auto" w:fill="BFCED6"/>
          </w:tcPr>
          <w:p w14:paraId="1A6182BB" w14:textId="71C19AC6" w:rsidR="0065124E" w:rsidRPr="00BF031D" w:rsidRDefault="0065124E" w:rsidP="0065124E">
            <w:pPr>
              <w:jc w:val="center"/>
              <w:rPr>
                <w:rFonts w:ascii="VIC" w:hAnsi="VIC"/>
                <w:sz w:val="18"/>
                <w:szCs w:val="18"/>
              </w:rPr>
            </w:pPr>
            <w:r w:rsidRPr="00BF7527">
              <w:rPr>
                <w:rFonts w:ascii="VIC" w:eastAsia="Verdana" w:hAnsi="VIC"/>
                <w:color w:val="000000"/>
                <w:sz w:val="18"/>
                <w:szCs w:val="18"/>
              </w:rPr>
              <w:t>15.6</w:t>
            </w:r>
          </w:p>
        </w:tc>
        <w:tc>
          <w:tcPr>
            <w:tcW w:w="1524" w:type="dxa"/>
            <w:shd w:val="clear" w:color="auto" w:fill="BFCED6"/>
          </w:tcPr>
          <w:p w14:paraId="29E0F955" w14:textId="2B5BA10E" w:rsidR="0065124E" w:rsidRPr="00BF031D" w:rsidRDefault="0065124E" w:rsidP="0065124E">
            <w:pPr>
              <w:jc w:val="center"/>
              <w:rPr>
                <w:rFonts w:ascii="VIC" w:hAnsi="VIC"/>
                <w:sz w:val="18"/>
                <w:szCs w:val="18"/>
              </w:rPr>
            </w:pPr>
            <w:r w:rsidRPr="00BF7527">
              <w:rPr>
                <w:rFonts w:ascii="VIC" w:eastAsia="Verdana" w:hAnsi="VIC"/>
                <w:color w:val="000000"/>
                <w:sz w:val="18"/>
                <w:szCs w:val="18"/>
              </w:rPr>
              <w:t>58 %</w:t>
            </w:r>
          </w:p>
        </w:tc>
        <w:tc>
          <w:tcPr>
            <w:tcW w:w="1524" w:type="dxa"/>
            <w:shd w:val="clear" w:color="auto" w:fill="BFCED6"/>
          </w:tcPr>
          <w:p w14:paraId="36C9EA9A" w14:textId="753E6B20" w:rsidR="0065124E" w:rsidRPr="00BF031D" w:rsidRDefault="0065124E" w:rsidP="0065124E">
            <w:pPr>
              <w:jc w:val="center"/>
              <w:rPr>
                <w:rFonts w:ascii="VIC" w:hAnsi="VIC"/>
                <w:sz w:val="18"/>
                <w:szCs w:val="18"/>
              </w:rPr>
            </w:pPr>
            <w:r w:rsidRPr="00BF7527">
              <w:rPr>
                <w:rFonts w:ascii="VIC" w:eastAsia="Verdana" w:hAnsi="VIC"/>
                <w:color w:val="000000"/>
                <w:sz w:val="18"/>
                <w:szCs w:val="18"/>
              </w:rPr>
              <w:t>2 %</w:t>
            </w:r>
          </w:p>
        </w:tc>
        <w:tc>
          <w:tcPr>
            <w:tcW w:w="1524" w:type="dxa"/>
            <w:shd w:val="clear" w:color="auto" w:fill="BFCED6"/>
          </w:tcPr>
          <w:p w14:paraId="7B39DCAD" w14:textId="76A0B10B" w:rsidR="0065124E" w:rsidRPr="00BF031D" w:rsidRDefault="0065124E" w:rsidP="0065124E">
            <w:pPr>
              <w:jc w:val="center"/>
              <w:rPr>
                <w:rFonts w:ascii="VIC" w:hAnsi="VIC"/>
                <w:sz w:val="18"/>
                <w:szCs w:val="18"/>
              </w:rPr>
            </w:pPr>
            <w:r w:rsidRPr="00BF7527">
              <w:rPr>
                <w:rFonts w:ascii="VIC" w:eastAsia="Verdana" w:hAnsi="VIC"/>
                <w:color w:val="000000"/>
                <w:sz w:val="18"/>
                <w:szCs w:val="18"/>
              </w:rPr>
              <w:t>2.3</w:t>
            </w:r>
          </w:p>
        </w:tc>
      </w:tr>
      <w:tr w:rsidR="0065124E" w:rsidRPr="00BF031D" w14:paraId="48B2B848" w14:textId="77777777" w:rsidTr="009D3084">
        <w:trPr>
          <w:trHeight w:val="454"/>
        </w:trPr>
        <w:tc>
          <w:tcPr>
            <w:tcW w:w="1570" w:type="dxa"/>
            <w:vMerge/>
            <w:shd w:val="clear" w:color="auto" w:fill="BFCED6"/>
          </w:tcPr>
          <w:p w14:paraId="582CBCA5" w14:textId="77777777" w:rsidR="0065124E" w:rsidRPr="00BF031D" w:rsidRDefault="0065124E" w:rsidP="0065124E">
            <w:pPr>
              <w:pStyle w:val="DHHStabletext"/>
              <w:spacing w:before="0" w:after="0"/>
              <w:rPr>
                <w:rFonts w:ascii="VIC" w:hAnsi="VIC"/>
                <w:sz w:val="18"/>
                <w:szCs w:val="18"/>
              </w:rPr>
            </w:pPr>
          </w:p>
        </w:tc>
        <w:tc>
          <w:tcPr>
            <w:tcW w:w="1985" w:type="dxa"/>
            <w:shd w:val="clear" w:color="auto" w:fill="BFCED6"/>
          </w:tcPr>
          <w:p w14:paraId="474DEEC4" w14:textId="711F4611"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TOTAL</w:t>
            </w:r>
          </w:p>
        </w:tc>
        <w:tc>
          <w:tcPr>
            <w:tcW w:w="1523" w:type="dxa"/>
            <w:shd w:val="clear" w:color="auto" w:fill="BFCED6"/>
          </w:tcPr>
          <w:p w14:paraId="13CDB377" w14:textId="57CFE639" w:rsidR="0065124E" w:rsidRPr="00BF031D" w:rsidRDefault="0065124E" w:rsidP="0065124E">
            <w:pPr>
              <w:jc w:val="center"/>
              <w:rPr>
                <w:rFonts w:ascii="VIC" w:hAnsi="VIC"/>
                <w:sz w:val="18"/>
                <w:szCs w:val="18"/>
              </w:rPr>
            </w:pPr>
            <w:r w:rsidRPr="00BF7527">
              <w:rPr>
                <w:rFonts w:ascii="VIC" w:eastAsia="Verdana" w:hAnsi="VIC"/>
                <w:color w:val="000000"/>
                <w:sz w:val="18"/>
                <w:szCs w:val="18"/>
              </w:rPr>
              <w:t>50 %</w:t>
            </w:r>
          </w:p>
        </w:tc>
        <w:tc>
          <w:tcPr>
            <w:tcW w:w="1524" w:type="dxa"/>
            <w:shd w:val="clear" w:color="auto" w:fill="BFCED6"/>
          </w:tcPr>
          <w:p w14:paraId="556AA309" w14:textId="5DBFEFD9" w:rsidR="0065124E" w:rsidRPr="00BF031D" w:rsidRDefault="0065124E" w:rsidP="0065124E">
            <w:pPr>
              <w:jc w:val="center"/>
              <w:rPr>
                <w:rFonts w:ascii="VIC" w:hAnsi="VIC"/>
                <w:sz w:val="18"/>
                <w:szCs w:val="18"/>
              </w:rPr>
            </w:pPr>
            <w:r w:rsidRPr="00BF7527">
              <w:rPr>
                <w:rFonts w:ascii="VIC" w:eastAsia="Verdana" w:hAnsi="VIC"/>
                <w:color w:val="000000"/>
                <w:sz w:val="18"/>
                <w:szCs w:val="18"/>
              </w:rPr>
              <w:t>7.2</w:t>
            </w:r>
          </w:p>
        </w:tc>
        <w:tc>
          <w:tcPr>
            <w:tcW w:w="1524" w:type="dxa"/>
            <w:shd w:val="clear" w:color="auto" w:fill="BFCED6"/>
          </w:tcPr>
          <w:p w14:paraId="76FD830F" w14:textId="27613B30" w:rsidR="0065124E" w:rsidRPr="00BF031D" w:rsidRDefault="0065124E" w:rsidP="0065124E">
            <w:pPr>
              <w:jc w:val="center"/>
              <w:rPr>
                <w:rFonts w:ascii="VIC" w:hAnsi="VIC"/>
                <w:sz w:val="18"/>
                <w:szCs w:val="18"/>
              </w:rPr>
            </w:pPr>
            <w:r w:rsidRPr="00BF7527">
              <w:rPr>
                <w:rFonts w:ascii="VIC" w:eastAsia="Verdana" w:hAnsi="VIC"/>
                <w:color w:val="000000"/>
                <w:sz w:val="18"/>
                <w:szCs w:val="18"/>
              </w:rPr>
              <w:t>7 %</w:t>
            </w:r>
          </w:p>
        </w:tc>
        <w:tc>
          <w:tcPr>
            <w:tcW w:w="1524" w:type="dxa"/>
            <w:shd w:val="clear" w:color="auto" w:fill="BFCED6"/>
          </w:tcPr>
          <w:p w14:paraId="7699BAC6" w14:textId="582874BB" w:rsidR="0065124E" w:rsidRPr="00BF031D" w:rsidRDefault="0065124E" w:rsidP="0065124E">
            <w:pPr>
              <w:jc w:val="center"/>
              <w:rPr>
                <w:rFonts w:ascii="VIC" w:hAnsi="VIC"/>
                <w:sz w:val="18"/>
                <w:szCs w:val="18"/>
              </w:rPr>
            </w:pPr>
            <w:r w:rsidRPr="00BF7527">
              <w:rPr>
                <w:rFonts w:ascii="VIC" w:eastAsia="Verdana" w:hAnsi="VIC"/>
                <w:color w:val="000000"/>
                <w:sz w:val="18"/>
                <w:szCs w:val="18"/>
              </w:rPr>
              <w:t>64 %</w:t>
            </w:r>
          </w:p>
        </w:tc>
        <w:tc>
          <w:tcPr>
            <w:tcW w:w="1523" w:type="dxa"/>
            <w:shd w:val="clear" w:color="auto" w:fill="BFCED6"/>
          </w:tcPr>
          <w:p w14:paraId="029F4687" w14:textId="23131109" w:rsidR="0065124E" w:rsidRPr="00BF031D" w:rsidRDefault="0065124E" w:rsidP="0065124E">
            <w:pPr>
              <w:jc w:val="center"/>
              <w:rPr>
                <w:rFonts w:ascii="VIC" w:hAnsi="VIC"/>
                <w:sz w:val="18"/>
                <w:szCs w:val="18"/>
              </w:rPr>
            </w:pPr>
            <w:r w:rsidRPr="00BF7527">
              <w:rPr>
                <w:rFonts w:ascii="VIC" w:eastAsia="Verdana" w:hAnsi="VIC"/>
                <w:color w:val="000000"/>
                <w:sz w:val="18"/>
                <w:szCs w:val="18"/>
              </w:rPr>
              <w:t>13.3</w:t>
            </w:r>
          </w:p>
        </w:tc>
        <w:tc>
          <w:tcPr>
            <w:tcW w:w="1524" w:type="dxa"/>
            <w:shd w:val="clear" w:color="auto" w:fill="BFCED6"/>
          </w:tcPr>
          <w:p w14:paraId="3361619D" w14:textId="2D815DB6" w:rsidR="0065124E" w:rsidRPr="00BF031D" w:rsidRDefault="0065124E" w:rsidP="0065124E">
            <w:pPr>
              <w:jc w:val="center"/>
              <w:rPr>
                <w:rFonts w:ascii="VIC" w:hAnsi="VIC"/>
                <w:sz w:val="18"/>
                <w:szCs w:val="18"/>
              </w:rPr>
            </w:pPr>
            <w:r w:rsidRPr="00BF7527">
              <w:rPr>
                <w:rFonts w:ascii="VIC" w:eastAsia="Verdana" w:hAnsi="VIC"/>
                <w:color w:val="000000"/>
                <w:sz w:val="18"/>
                <w:szCs w:val="18"/>
              </w:rPr>
              <w:t>58 %</w:t>
            </w:r>
          </w:p>
        </w:tc>
        <w:tc>
          <w:tcPr>
            <w:tcW w:w="1524" w:type="dxa"/>
            <w:shd w:val="clear" w:color="auto" w:fill="BFCED6"/>
          </w:tcPr>
          <w:p w14:paraId="39EAA332" w14:textId="56F4E7FB" w:rsidR="0065124E" w:rsidRPr="00BF031D" w:rsidRDefault="0065124E" w:rsidP="0065124E">
            <w:pPr>
              <w:jc w:val="center"/>
              <w:rPr>
                <w:rFonts w:ascii="VIC" w:hAnsi="VIC"/>
                <w:sz w:val="18"/>
                <w:szCs w:val="18"/>
              </w:rPr>
            </w:pPr>
            <w:r w:rsidRPr="00BF7527">
              <w:rPr>
                <w:rFonts w:ascii="VIC" w:eastAsia="Verdana" w:hAnsi="VIC"/>
                <w:color w:val="000000"/>
                <w:sz w:val="18"/>
                <w:szCs w:val="18"/>
              </w:rPr>
              <w:t>2 %</w:t>
            </w:r>
          </w:p>
        </w:tc>
        <w:tc>
          <w:tcPr>
            <w:tcW w:w="1524" w:type="dxa"/>
            <w:shd w:val="clear" w:color="auto" w:fill="BFCED6"/>
          </w:tcPr>
          <w:p w14:paraId="798399DD" w14:textId="0C74725C" w:rsidR="0065124E" w:rsidRPr="00BF031D" w:rsidRDefault="0065124E" w:rsidP="0065124E">
            <w:pPr>
              <w:jc w:val="center"/>
              <w:rPr>
                <w:rFonts w:ascii="VIC" w:hAnsi="VIC"/>
                <w:sz w:val="18"/>
                <w:szCs w:val="18"/>
              </w:rPr>
            </w:pPr>
            <w:r w:rsidRPr="00BF7527">
              <w:rPr>
                <w:rFonts w:ascii="VIC" w:eastAsia="Verdana" w:hAnsi="VIC"/>
                <w:color w:val="000000"/>
                <w:sz w:val="18"/>
                <w:szCs w:val="18"/>
              </w:rPr>
              <w:t>1.9</w:t>
            </w:r>
          </w:p>
        </w:tc>
      </w:tr>
      <w:tr w:rsidR="0065124E" w:rsidRPr="00BF031D" w14:paraId="49979586" w14:textId="77777777" w:rsidTr="009D3084">
        <w:trPr>
          <w:trHeight w:val="454"/>
        </w:trPr>
        <w:tc>
          <w:tcPr>
            <w:tcW w:w="1570" w:type="dxa"/>
            <w:shd w:val="clear" w:color="auto" w:fill="auto"/>
          </w:tcPr>
          <w:p w14:paraId="0B548BE2" w14:textId="32041DC0"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Monash Health</w:t>
            </w:r>
          </w:p>
        </w:tc>
        <w:tc>
          <w:tcPr>
            <w:tcW w:w="1985" w:type="dxa"/>
            <w:shd w:val="clear" w:color="auto" w:fill="auto"/>
          </w:tcPr>
          <w:p w14:paraId="45871BE4" w14:textId="1780260A"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Middle South (Monash Aged)</w:t>
            </w:r>
          </w:p>
        </w:tc>
        <w:tc>
          <w:tcPr>
            <w:tcW w:w="1523" w:type="dxa"/>
            <w:shd w:val="clear" w:color="auto" w:fill="auto"/>
          </w:tcPr>
          <w:p w14:paraId="6B45DBE8" w14:textId="2A40162A" w:rsidR="0065124E" w:rsidRPr="00BF031D" w:rsidRDefault="0065124E" w:rsidP="0065124E">
            <w:pPr>
              <w:jc w:val="center"/>
              <w:rPr>
                <w:rFonts w:ascii="VIC" w:hAnsi="VIC"/>
                <w:sz w:val="18"/>
                <w:szCs w:val="18"/>
              </w:rPr>
            </w:pPr>
            <w:r w:rsidRPr="00BF7527">
              <w:rPr>
                <w:rFonts w:ascii="VIC" w:eastAsia="Verdana" w:hAnsi="VIC"/>
                <w:color w:val="000000"/>
                <w:sz w:val="18"/>
                <w:szCs w:val="18"/>
              </w:rPr>
              <w:t>57 %</w:t>
            </w:r>
          </w:p>
        </w:tc>
        <w:tc>
          <w:tcPr>
            <w:tcW w:w="1524" w:type="dxa"/>
            <w:shd w:val="clear" w:color="auto" w:fill="auto"/>
          </w:tcPr>
          <w:p w14:paraId="72124A90" w14:textId="779F1C80" w:rsidR="0065124E" w:rsidRPr="00BF031D" w:rsidRDefault="0065124E" w:rsidP="0065124E">
            <w:pPr>
              <w:jc w:val="center"/>
              <w:rPr>
                <w:rFonts w:ascii="VIC" w:hAnsi="VIC"/>
                <w:sz w:val="18"/>
                <w:szCs w:val="18"/>
              </w:rPr>
            </w:pPr>
            <w:r w:rsidRPr="00BF7527">
              <w:rPr>
                <w:rFonts w:ascii="VIC" w:eastAsia="Verdana" w:hAnsi="VIC"/>
                <w:color w:val="000000"/>
                <w:sz w:val="18"/>
                <w:szCs w:val="18"/>
              </w:rPr>
              <w:t>7.4</w:t>
            </w:r>
          </w:p>
        </w:tc>
        <w:tc>
          <w:tcPr>
            <w:tcW w:w="1524" w:type="dxa"/>
            <w:shd w:val="clear" w:color="auto" w:fill="auto"/>
          </w:tcPr>
          <w:p w14:paraId="42C37D1C" w14:textId="2E155323" w:rsidR="0065124E" w:rsidRPr="00BF031D" w:rsidRDefault="0065124E" w:rsidP="0065124E">
            <w:pPr>
              <w:jc w:val="center"/>
              <w:rPr>
                <w:rFonts w:ascii="VIC" w:hAnsi="VIC"/>
                <w:sz w:val="18"/>
                <w:szCs w:val="18"/>
              </w:rPr>
            </w:pPr>
            <w:r w:rsidRPr="00BF7527">
              <w:rPr>
                <w:rFonts w:ascii="VIC" w:eastAsia="Verdana" w:hAnsi="VIC"/>
                <w:color w:val="000000"/>
                <w:sz w:val="18"/>
                <w:szCs w:val="18"/>
              </w:rPr>
              <w:t>5 %</w:t>
            </w:r>
          </w:p>
        </w:tc>
        <w:tc>
          <w:tcPr>
            <w:tcW w:w="1524" w:type="dxa"/>
            <w:shd w:val="clear" w:color="auto" w:fill="auto"/>
          </w:tcPr>
          <w:p w14:paraId="60A36C51" w14:textId="03232A47" w:rsidR="0065124E" w:rsidRPr="00BF031D" w:rsidRDefault="0065124E" w:rsidP="0065124E">
            <w:pPr>
              <w:jc w:val="center"/>
              <w:rPr>
                <w:rFonts w:ascii="VIC" w:hAnsi="VIC"/>
                <w:sz w:val="18"/>
                <w:szCs w:val="18"/>
              </w:rPr>
            </w:pPr>
            <w:r w:rsidRPr="00BF7527">
              <w:rPr>
                <w:rFonts w:ascii="VIC" w:eastAsia="Verdana" w:hAnsi="VIC"/>
                <w:color w:val="000000"/>
                <w:sz w:val="18"/>
                <w:szCs w:val="18"/>
              </w:rPr>
              <w:t>94 %</w:t>
            </w:r>
          </w:p>
        </w:tc>
        <w:tc>
          <w:tcPr>
            <w:tcW w:w="1523" w:type="dxa"/>
            <w:shd w:val="clear" w:color="auto" w:fill="auto"/>
          </w:tcPr>
          <w:p w14:paraId="787F54C3" w14:textId="7719A0FC" w:rsidR="0065124E" w:rsidRPr="00BF031D" w:rsidRDefault="0065124E" w:rsidP="0065124E">
            <w:pPr>
              <w:jc w:val="center"/>
              <w:rPr>
                <w:rFonts w:ascii="VIC" w:hAnsi="VIC"/>
                <w:sz w:val="18"/>
                <w:szCs w:val="18"/>
              </w:rPr>
            </w:pPr>
            <w:r w:rsidRPr="00BF7527">
              <w:rPr>
                <w:rFonts w:ascii="VIC" w:eastAsia="Verdana" w:hAnsi="VIC"/>
                <w:color w:val="000000"/>
                <w:sz w:val="18"/>
                <w:szCs w:val="18"/>
              </w:rPr>
              <w:t>13.7</w:t>
            </w:r>
          </w:p>
        </w:tc>
        <w:tc>
          <w:tcPr>
            <w:tcW w:w="1524" w:type="dxa"/>
            <w:shd w:val="clear" w:color="auto" w:fill="auto"/>
          </w:tcPr>
          <w:p w14:paraId="47E3A7EA" w14:textId="2D41D06C" w:rsidR="0065124E" w:rsidRPr="00BF031D" w:rsidRDefault="0065124E" w:rsidP="0065124E">
            <w:pPr>
              <w:jc w:val="center"/>
              <w:rPr>
                <w:rFonts w:ascii="VIC" w:hAnsi="VIC"/>
                <w:sz w:val="18"/>
                <w:szCs w:val="18"/>
              </w:rPr>
            </w:pPr>
            <w:r w:rsidRPr="00BF7527">
              <w:rPr>
                <w:rFonts w:ascii="VIC" w:eastAsia="Verdana" w:hAnsi="VIC"/>
                <w:color w:val="000000"/>
                <w:sz w:val="18"/>
                <w:szCs w:val="18"/>
              </w:rPr>
              <w:t>57 %</w:t>
            </w:r>
          </w:p>
        </w:tc>
        <w:tc>
          <w:tcPr>
            <w:tcW w:w="1524" w:type="dxa"/>
            <w:shd w:val="clear" w:color="auto" w:fill="auto"/>
          </w:tcPr>
          <w:p w14:paraId="03AD8537" w14:textId="50E586CA" w:rsidR="0065124E" w:rsidRPr="00BF031D" w:rsidRDefault="0065124E" w:rsidP="0065124E">
            <w:pPr>
              <w:jc w:val="center"/>
              <w:rPr>
                <w:rFonts w:ascii="VIC" w:hAnsi="VIC"/>
                <w:sz w:val="18"/>
                <w:szCs w:val="18"/>
              </w:rPr>
            </w:pPr>
            <w:r w:rsidRPr="00BF7527">
              <w:rPr>
                <w:rFonts w:ascii="VIC" w:eastAsia="Verdana" w:hAnsi="VIC"/>
                <w:color w:val="000000"/>
                <w:sz w:val="18"/>
                <w:szCs w:val="18"/>
              </w:rPr>
              <w:t>2 %</w:t>
            </w:r>
          </w:p>
        </w:tc>
        <w:tc>
          <w:tcPr>
            <w:tcW w:w="1524" w:type="dxa"/>
            <w:shd w:val="clear" w:color="auto" w:fill="auto"/>
          </w:tcPr>
          <w:p w14:paraId="32DC5437" w14:textId="1070DF22" w:rsidR="0065124E" w:rsidRPr="00BF031D" w:rsidRDefault="0065124E" w:rsidP="0065124E">
            <w:pPr>
              <w:jc w:val="center"/>
              <w:rPr>
                <w:rFonts w:ascii="VIC" w:hAnsi="VIC"/>
                <w:sz w:val="18"/>
                <w:szCs w:val="18"/>
              </w:rPr>
            </w:pPr>
            <w:r w:rsidRPr="00BF7527">
              <w:rPr>
                <w:rFonts w:ascii="VIC" w:eastAsia="Verdana" w:hAnsi="VIC"/>
                <w:color w:val="000000"/>
                <w:sz w:val="18"/>
                <w:szCs w:val="18"/>
              </w:rPr>
              <w:t>1.9</w:t>
            </w:r>
          </w:p>
        </w:tc>
      </w:tr>
      <w:tr w:rsidR="0065124E" w:rsidRPr="00BF031D" w14:paraId="7488200C" w14:textId="77777777" w:rsidTr="009D3084">
        <w:trPr>
          <w:trHeight w:val="454"/>
        </w:trPr>
        <w:tc>
          <w:tcPr>
            <w:tcW w:w="1570" w:type="dxa"/>
            <w:shd w:val="clear" w:color="auto" w:fill="BFCED6"/>
          </w:tcPr>
          <w:p w14:paraId="575023D3" w14:textId="342C9F7F"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Peninsula Health</w:t>
            </w:r>
          </w:p>
        </w:tc>
        <w:tc>
          <w:tcPr>
            <w:tcW w:w="1985" w:type="dxa"/>
            <w:shd w:val="clear" w:color="auto" w:fill="BFCED6"/>
          </w:tcPr>
          <w:p w14:paraId="387B2FF1" w14:textId="3AC6DA6C"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Peninsula</w:t>
            </w:r>
          </w:p>
        </w:tc>
        <w:tc>
          <w:tcPr>
            <w:tcW w:w="1523" w:type="dxa"/>
            <w:shd w:val="clear" w:color="auto" w:fill="BFCED6"/>
          </w:tcPr>
          <w:p w14:paraId="68EB05AB" w14:textId="79B64569" w:rsidR="0065124E" w:rsidRPr="00BF031D" w:rsidRDefault="0065124E" w:rsidP="0065124E">
            <w:pPr>
              <w:jc w:val="center"/>
              <w:rPr>
                <w:rFonts w:ascii="VIC" w:hAnsi="VIC"/>
                <w:sz w:val="18"/>
                <w:szCs w:val="18"/>
              </w:rPr>
            </w:pPr>
            <w:r w:rsidRPr="00BF7527">
              <w:rPr>
                <w:rFonts w:ascii="VIC" w:eastAsia="Verdana" w:hAnsi="VIC"/>
                <w:color w:val="000000"/>
                <w:sz w:val="18"/>
                <w:szCs w:val="18"/>
              </w:rPr>
              <w:t>56 %</w:t>
            </w:r>
          </w:p>
        </w:tc>
        <w:tc>
          <w:tcPr>
            <w:tcW w:w="1524" w:type="dxa"/>
            <w:shd w:val="clear" w:color="auto" w:fill="BFCED6"/>
          </w:tcPr>
          <w:p w14:paraId="1B455826" w14:textId="6091C7BA" w:rsidR="0065124E" w:rsidRPr="00BF031D" w:rsidRDefault="0065124E" w:rsidP="0065124E">
            <w:pPr>
              <w:jc w:val="center"/>
              <w:rPr>
                <w:rFonts w:ascii="VIC" w:hAnsi="VIC"/>
                <w:sz w:val="18"/>
                <w:szCs w:val="18"/>
              </w:rPr>
            </w:pPr>
            <w:r w:rsidRPr="00BF7527">
              <w:rPr>
                <w:rFonts w:ascii="VIC" w:eastAsia="Verdana" w:hAnsi="VIC"/>
                <w:color w:val="000000"/>
                <w:sz w:val="18"/>
                <w:szCs w:val="18"/>
              </w:rPr>
              <w:t>8.0</w:t>
            </w:r>
          </w:p>
        </w:tc>
        <w:tc>
          <w:tcPr>
            <w:tcW w:w="1524" w:type="dxa"/>
            <w:shd w:val="clear" w:color="auto" w:fill="BFCED6"/>
          </w:tcPr>
          <w:p w14:paraId="4E537A47" w14:textId="53A80AB4" w:rsidR="0065124E" w:rsidRPr="00BF031D" w:rsidRDefault="0065124E" w:rsidP="0065124E">
            <w:pPr>
              <w:jc w:val="center"/>
              <w:rPr>
                <w:rFonts w:ascii="VIC" w:hAnsi="VIC"/>
                <w:sz w:val="18"/>
                <w:szCs w:val="18"/>
              </w:rPr>
            </w:pPr>
            <w:r w:rsidRPr="00BF7527">
              <w:rPr>
                <w:rFonts w:ascii="VIC" w:eastAsia="Verdana" w:hAnsi="VIC"/>
                <w:color w:val="000000"/>
                <w:sz w:val="18"/>
                <w:szCs w:val="18"/>
              </w:rPr>
              <w:t>3 %</w:t>
            </w:r>
          </w:p>
        </w:tc>
        <w:tc>
          <w:tcPr>
            <w:tcW w:w="1524" w:type="dxa"/>
            <w:shd w:val="clear" w:color="auto" w:fill="BFCED6"/>
          </w:tcPr>
          <w:p w14:paraId="7386D2C7" w14:textId="70AF76F3" w:rsidR="0065124E" w:rsidRPr="00BF031D" w:rsidRDefault="0065124E" w:rsidP="0065124E">
            <w:pPr>
              <w:jc w:val="center"/>
              <w:rPr>
                <w:rFonts w:ascii="VIC" w:hAnsi="VIC"/>
                <w:sz w:val="18"/>
                <w:szCs w:val="18"/>
              </w:rPr>
            </w:pPr>
            <w:r w:rsidRPr="00BF7527">
              <w:rPr>
                <w:rFonts w:ascii="VIC" w:eastAsia="Verdana" w:hAnsi="VIC"/>
                <w:color w:val="000000"/>
                <w:sz w:val="18"/>
                <w:szCs w:val="18"/>
              </w:rPr>
              <w:t>96 %</w:t>
            </w:r>
          </w:p>
        </w:tc>
        <w:tc>
          <w:tcPr>
            <w:tcW w:w="1523" w:type="dxa"/>
            <w:shd w:val="clear" w:color="auto" w:fill="BFCED6"/>
          </w:tcPr>
          <w:p w14:paraId="16510618" w14:textId="16734722" w:rsidR="0065124E" w:rsidRPr="00BF031D" w:rsidRDefault="0065124E" w:rsidP="0065124E">
            <w:pPr>
              <w:jc w:val="center"/>
              <w:rPr>
                <w:rFonts w:ascii="VIC" w:hAnsi="VIC"/>
                <w:sz w:val="18"/>
                <w:szCs w:val="18"/>
              </w:rPr>
            </w:pPr>
            <w:r w:rsidRPr="00BF7527">
              <w:rPr>
                <w:rFonts w:ascii="VIC" w:eastAsia="Verdana" w:hAnsi="VIC"/>
                <w:color w:val="000000"/>
                <w:sz w:val="18"/>
                <w:szCs w:val="18"/>
              </w:rPr>
              <w:t>17.6</w:t>
            </w:r>
          </w:p>
        </w:tc>
        <w:tc>
          <w:tcPr>
            <w:tcW w:w="1524" w:type="dxa"/>
            <w:shd w:val="clear" w:color="auto" w:fill="BFCED6"/>
          </w:tcPr>
          <w:p w14:paraId="3D638C7A" w14:textId="5F7CAAC2" w:rsidR="0065124E" w:rsidRPr="00BF031D" w:rsidRDefault="0065124E" w:rsidP="0065124E">
            <w:pPr>
              <w:jc w:val="center"/>
              <w:rPr>
                <w:rFonts w:ascii="VIC" w:hAnsi="VIC"/>
                <w:sz w:val="18"/>
                <w:szCs w:val="18"/>
              </w:rPr>
            </w:pPr>
            <w:r w:rsidRPr="00BF7527">
              <w:rPr>
                <w:rFonts w:ascii="VIC" w:eastAsia="Verdana" w:hAnsi="VIC"/>
                <w:color w:val="000000"/>
                <w:sz w:val="18"/>
                <w:szCs w:val="18"/>
              </w:rPr>
              <w:t>60 %</w:t>
            </w:r>
          </w:p>
        </w:tc>
        <w:tc>
          <w:tcPr>
            <w:tcW w:w="1524" w:type="dxa"/>
            <w:shd w:val="clear" w:color="auto" w:fill="BFCED6"/>
          </w:tcPr>
          <w:p w14:paraId="2F110248" w14:textId="4CAFB249" w:rsidR="0065124E" w:rsidRPr="00BF031D" w:rsidRDefault="0065124E" w:rsidP="0065124E">
            <w:pPr>
              <w:jc w:val="center"/>
              <w:rPr>
                <w:rFonts w:ascii="VIC" w:hAnsi="VIC"/>
                <w:sz w:val="18"/>
                <w:szCs w:val="18"/>
              </w:rPr>
            </w:pPr>
            <w:r w:rsidRPr="00BF7527">
              <w:rPr>
                <w:rFonts w:ascii="VIC" w:eastAsia="Verdana" w:hAnsi="VIC"/>
                <w:color w:val="000000"/>
                <w:sz w:val="18"/>
                <w:szCs w:val="18"/>
              </w:rPr>
              <w:t>1 %</w:t>
            </w:r>
          </w:p>
        </w:tc>
        <w:tc>
          <w:tcPr>
            <w:tcW w:w="1524" w:type="dxa"/>
            <w:shd w:val="clear" w:color="auto" w:fill="BFCED6"/>
          </w:tcPr>
          <w:p w14:paraId="3A915574" w14:textId="0B57843F" w:rsidR="0065124E" w:rsidRPr="00BF031D" w:rsidRDefault="0065124E" w:rsidP="0065124E">
            <w:pPr>
              <w:jc w:val="center"/>
              <w:rPr>
                <w:rFonts w:ascii="VIC" w:hAnsi="VIC"/>
                <w:sz w:val="18"/>
                <w:szCs w:val="18"/>
              </w:rPr>
            </w:pPr>
            <w:r w:rsidRPr="00BF7527">
              <w:rPr>
                <w:rFonts w:ascii="VIC" w:eastAsia="Verdana" w:hAnsi="VIC"/>
                <w:color w:val="000000"/>
                <w:sz w:val="18"/>
                <w:szCs w:val="18"/>
              </w:rPr>
              <w:t>1.7</w:t>
            </w:r>
          </w:p>
        </w:tc>
      </w:tr>
      <w:tr w:rsidR="0065124E" w:rsidRPr="00BF031D" w14:paraId="6B9DAA94" w14:textId="77777777" w:rsidTr="009D3084">
        <w:trPr>
          <w:trHeight w:val="454"/>
        </w:trPr>
        <w:tc>
          <w:tcPr>
            <w:tcW w:w="1570" w:type="dxa"/>
            <w:shd w:val="clear" w:color="auto" w:fill="auto"/>
          </w:tcPr>
          <w:p w14:paraId="2542758E" w14:textId="3D5A85EE" w:rsidR="0065124E" w:rsidRPr="00BF031D" w:rsidRDefault="0065124E" w:rsidP="0065124E">
            <w:pPr>
              <w:pStyle w:val="DHHStabletext"/>
              <w:spacing w:before="0" w:after="0"/>
              <w:rPr>
                <w:rFonts w:ascii="VIC" w:hAnsi="VIC"/>
                <w:sz w:val="18"/>
                <w:szCs w:val="18"/>
              </w:rPr>
            </w:pPr>
            <w:r w:rsidRPr="00BF7527">
              <w:rPr>
                <w:rFonts w:ascii="VIC" w:eastAsia="Verdana" w:hAnsi="VIC"/>
                <w:color w:val="000000"/>
                <w:sz w:val="18"/>
                <w:szCs w:val="18"/>
              </w:rPr>
              <w:t>St Vincent's Hospital</w:t>
            </w:r>
          </w:p>
        </w:tc>
        <w:tc>
          <w:tcPr>
            <w:tcW w:w="1985" w:type="dxa"/>
            <w:shd w:val="clear" w:color="auto" w:fill="auto"/>
          </w:tcPr>
          <w:p w14:paraId="01A4928B" w14:textId="693DAC08" w:rsidR="0065124E" w:rsidRPr="00BF031D" w:rsidRDefault="0065124E" w:rsidP="0065124E">
            <w:pPr>
              <w:pStyle w:val="DHHStabletext"/>
              <w:spacing w:before="0" w:after="0"/>
              <w:rPr>
                <w:rFonts w:ascii="VIC" w:eastAsia="Verdana" w:hAnsi="VIC" w:cs="Verdana"/>
                <w:sz w:val="18"/>
                <w:szCs w:val="18"/>
              </w:rPr>
            </w:pPr>
            <w:r w:rsidRPr="00BF7527">
              <w:rPr>
                <w:rFonts w:ascii="VIC" w:eastAsia="Verdana" w:hAnsi="VIC"/>
                <w:color w:val="000000"/>
                <w:sz w:val="18"/>
                <w:szCs w:val="18"/>
              </w:rPr>
              <w:t>Inner &amp; North East (St. George's)</w:t>
            </w:r>
          </w:p>
        </w:tc>
        <w:tc>
          <w:tcPr>
            <w:tcW w:w="1523" w:type="dxa"/>
            <w:shd w:val="clear" w:color="auto" w:fill="auto"/>
          </w:tcPr>
          <w:p w14:paraId="21969CB0" w14:textId="7DFDA657" w:rsidR="0065124E" w:rsidRPr="00BF031D" w:rsidRDefault="0065124E" w:rsidP="0065124E">
            <w:pPr>
              <w:jc w:val="center"/>
              <w:rPr>
                <w:rFonts w:ascii="VIC" w:hAnsi="VIC"/>
                <w:sz w:val="18"/>
                <w:szCs w:val="18"/>
              </w:rPr>
            </w:pPr>
            <w:r w:rsidRPr="00BF7527">
              <w:rPr>
                <w:rFonts w:ascii="VIC" w:eastAsia="Verdana" w:hAnsi="VIC"/>
                <w:color w:val="000000"/>
                <w:sz w:val="18"/>
                <w:szCs w:val="18"/>
              </w:rPr>
              <w:t>46 %</w:t>
            </w:r>
          </w:p>
        </w:tc>
        <w:tc>
          <w:tcPr>
            <w:tcW w:w="1524" w:type="dxa"/>
            <w:shd w:val="clear" w:color="auto" w:fill="auto"/>
          </w:tcPr>
          <w:p w14:paraId="2A05DCA3" w14:textId="06E345FB" w:rsidR="0065124E" w:rsidRPr="00BF031D" w:rsidRDefault="0065124E" w:rsidP="0065124E">
            <w:pPr>
              <w:jc w:val="center"/>
              <w:rPr>
                <w:rFonts w:ascii="VIC" w:hAnsi="VIC"/>
                <w:sz w:val="18"/>
                <w:szCs w:val="18"/>
              </w:rPr>
            </w:pPr>
            <w:r w:rsidRPr="00BF7527">
              <w:rPr>
                <w:rFonts w:ascii="VIC" w:eastAsia="Verdana" w:hAnsi="VIC"/>
                <w:color w:val="000000"/>
                <w:sz w:val="18"/>
                <w:szCs w:val="18"/>
              </w:rPr>
              <w:t>9.1</w:t>
            </w:r>
          </w:p>
        </w:tc>
        <w:tc>
          <w:tcPr>
            <w:tcW w:w="1524" w:type="dxa"/>
            <w:shd w:val="clear" w:color="auto" w:fill="auto"/>
          </w:tcPr>
          <w:p w14:paraId="3DEE303F" w14:textId="580050B9" w:rsidR="0065124E" w:rsidRPr="00BF031D" w:rsidRDefault="0065124E" w:rsidP="0065124E">
            <w:pPr>
              <w:jc w:val="center"/>
              <w:rPr>
                <w:rFonts w:ascii="VIC" w:hAnsi="VIC"/>
                <w:sz w:val="18"/>
                <w:szCs w:val="18"/>
              </w:rPr>
            </w:pPr>
            <w:r w:rsidRPr="00BF7527">
              <w:rPr>
                <w:rFonts w:ascii="VIC" w:eastAsia="Verdana" w:hAnsi="VIC"/>
                <w:color w:val="000000"/>
                <w:sz w:val="18"/>
                <w:szCs w:val="18"/>
              </w:rPr>
              <w:t>7 %</w:t>
            </w:r>
          </w:p>
        </w:tc>
        <w:tc>
          <w:tcPr>
            <w:tcW w:w="1524" w:type="dxa"/>
            <w:shd w:val="clear" w:color="auto" w:fill="auto"/>
          </w:tcPr>
          <w:p w14:paraId="75BDA69B" w14:textId="1F25BF4C" w:rsidR="0065124E" w:rsidRPr="00BF031D" w:rsidRDefault="0065124E" w:rsidP="0065124E">
            <w:pPr>
              <w:jc w:val="center"/>
              <w:rPr>
                <w:rFonts w:ascii="VIC" w:hAnsi="VIC"/>
                <w:sz w:val="18"/>
                <w:szCs w:val="18"/>
              </w:rPr>
            </w:pPr>
            <w:r w:rsidRPr="00BF7527">
              <w:rPr>
                <w:rFonts w:ascii="VIC" w:eastAsia="Verdana" w:hAnsi="VIC"/>
                <w:color w:val="000000"/>
                <w:sz w:val="18"/>
                <w:szCs w:val="18"/>
              </w:rPr>
              <w:t>81 %</w:t>
            </w:r>
          </w:p>
        </w:tc>
        <w:tc>
          <w:tcPr>
            <w:tcW w:w="1523" w:type="dxa"/>
            <w:shd w:val="clear" w:color="auto" w:fill="auto"/>
          </w:tcPr>
          <w:p w14:paraId="07AD7602" w14:textId="06288447" w:rsidR="0065124E" w:rsidRPr="00BF031D" w:rsidRDefault="0065124E" w:rsidP="0065124E">
            <w:pPr>
              <w:jc w:val="center"/>
              <w:rPr>
                <w:rFonts w:ascii="VIC" w:hAnsi="VIC"/>
                <w:sz w:val="18"/>
                <w:szCs w:val="18"/>
              </w:rPr>
            </w:pPr>
            <w:r w:rsidRPr="00BF7527">
              <w:rPr>
                <w:rFonts w:ascii="VIC" w:eastAsia="Verdana" w:hAnsi="VIC"/>
                <w:color w:val="000000"/>
                <w:sz w:val="18"/>
                <w:szCs w:val="18"/>
              </w:rPr>
              <w:t>15.2</w:t>
            </w:r>
          </w:p>
        </w:tc>
        <w:tc>
          <w:tcPr>
            <w:tcW w:w="1524" w:type="dxa"/>
            <w:shd w:val="clear" w:color="auto" w:fill="auto"/>
          </w:tcPr>
          <w:p w14:paraId="2494DB35" w14:textId="5B675E13" w:rsidR="0065124E" w:rsidRPr="00BF031D" w:rsidRDefault="0065124E" w:rsidP="0065124E">
            <w:pPr>
              <w:jc w:val="center"/>
              <w:rPr>
                <w:rFonts w:ascii="VIC" w:hAnsi="VIC"/>
                <w:sz w:val="18"/>
                <w:szCs w:val="18"/>
              </w:rPr>
            </w:pPr>
            <w:r w:rsidRPr="00BF7527">
              <w:rPr>
                <w:rFonts w:ascii="VIC" w:eastAsia="Verdana" w:hAnsi="VIC"/>
                <w:color w:val="000000"/>
                <w:sz w:val="18"/>
                <w:szCs w:val="18"/>
              </w:rPr>
              <w:t>51 %</w:t>
            </w:r>
          </w:p>
        </w:tc>
        <w:tc>
          <w:tcPr>
            <w:tcW w:w="1524" w:type="dxa"/>
            <w:shd w:val="clear" w:color="auto" w:fill="auto"/>
          </w:tcPr>
          <w:p w14:paraId="7DAA47BB" w14:textId="2790E747" w:rsidR="0065124E" w:rsidRPr="00BF031D" w:rsidRDefault="0065124E" w:rsidP="0065124E">
            <w:pPr>
              <w:jc w:val="center"/>
              <w:rPr>
                <w:rFonts w:ascii="VIC" w:hAnsi="VIC"/>
                <w:sz w:val="18"/>
                <w:szCs w:val="18"/>
              </w:rPr>
            </w:pPr>
            <w:r w:rsidRPr="00BF7527">
              <w:rPr>
                <w:rFonts w:ascii="VIC" w:eastAsia="Verdana" w:hAnsi="VIC"/>
                <w:color w:val="000000"/>
                <w:sz w:val="18"/>
                <w:szCs w:val="18"/>
              </w:rPr>
              <w:t>4 %</w:t>
            </w:r>
          </w:p>
        </w:tc>
        <w:tc>
          <w:tcPr>
            <w:tcW w:w="1524" w:type="dxa"/>
            <w:shd w:val="clear" w:color="auto" w:fill="auto"/>
          </w:tcPr>
          <w:p w14:paraId="088EDC14" w14:textId="7D05699A" w:rsidR="0065124E" w:rsidRPr="00BF031D" w:rsidRDefault="0065124E" w:rsidP="0065124E">
            <w:pPr>
              <w:jc w:val="center"/>
              <w:rPr>
                <w:rFonts w:ascii="VIC" w:hAnsi="VIC"/>
                <w:sz w:val="18"/>
                <w:szCs w:val="18"/>
              </w:rPr>
            </w:pPr>
            <w:r w:rsidRPr="00BF7527">
              <w:rPr>
                <w:rFonts w:ascii="VIC" w:eastAsia="Verdana" w:hAnsi="VIC"/>
                <w:color w:val="000000"/>
                <w:sz w:val="18"/>
                <w:szCs w:val="18"/>
              </w:rPr>
              <w:t>1.3</w:t>
            </w:r>
          </w:p>
        </w:tc>
      </w:tr>
      <w:tr w:rsidR="0065124E" w:rsidRPr="0065124E" w14:paraId="394118D5" w14:textId="77777777" w:rsidTr="009D3084">
        <w:trPr>
          <w:trHeight w:val="454"/>
        </w:trPr>
        <w:tc>
          <w:tcPr>
            <w:tcW w:w="1570" w:type="dxa"/>
            <w:shd w:val="clear" w:color="auto" w:fill="B1C9E8"/>
          </w:tcPr>
          <w:p w14:paraId="1AA5DC44" w14:textId="51C4AEB9" w:rsidR="0065124E" w:rsidRPr="0065124E" w:rsidRDefault="0065124E" w:rsidP="0065124E">
            <w:pPr>
              <w:pStyle w:val="DHHStabletext"/>
              <w:spacing w:before="0" w:after="0"/>
              <w:rPr>
                <w:rFonts w:ascii="VIC SemiBold" w:eastAsia="Verdana" w:hAnsi="VIC SemiBold" w:cs="Verdana"/>
                <w:color w:val="000000" w:themeColor="text1"/>
                <w:sz w:val="18"/>
                <w:szCs w:val="18"/>
              </w:rPr>
            </w:pPr>
            <w:r w:rsidRPr="0065124E">
              <w:rPr>
                <w:rFonts w:ascii="VIC" w:eastAsia="Verdana" w:hAnsi="VIC"/>
                <w:color w:val="000000" w:themeColor="text1"/>
                <w:sz w:val="18"/>
                <w:szCs w:val="18"/>
              </w:rPr>
              <w:t>TOTAL METRO</w:t>
            </w:r>
          </w:p>
        </w:tc>
        <w:tc>
          <w:tcPr>
            <w:tcW w:w="1985" w:type="dxa"/>
            <w:shd w:val="clear" w:color="auto" w:fill="B1C9E8"/>
          </w:tcPr>
          <w:p w14:paraId="67FFD0C7" w14:textId="388942A5" w:rsidR="0065124E" w:rsidRPr="0065124E" w:rsidRDefault="0065124E" w:rsidP="0065124E">
            <w:pPr>
              <w:pStyle w:val="DHHStabletext"/>
              <w:spacing w:before="0" w:after="0"/>
              <w:rPr>
                <w:rFonts w:ascii="VIC SemiBold" w:eastAsia="Verdana" w:hAnsi="VIC SemiBold" w:cs="Verdana"/>
                <w:color w:val="000000" w:themeColor="text1"/>
                <w:sz w:val="18"/>
                <w:szCs w:val="18"/>
              </w:rPr>
            </w:pPr>
            <w:r w:rsidRPr="0065124E">
              <w:rPr>
                <w:rFonts w:ascii="VIC" w:eastAsia="Verdana" w:hAnsi="VIC"/>
                <w:color w:val="000000" w:themeColor="text1"/>
                <w:sz w:val="18"/>
                <w:szCs w:val="18"/>
              </w:rPr>
              <w:t xml:space="preserve"> </w:t>
            </w:r>
          </w:p>
        </w:tc>
        <w:tc>
          <w:tcPr>
            <w:tcW w:w="1523" w:type="dxa"/>
            <w:shd w:val="clear" w:color="auto" w:fill="B1C9E8"/>
          </w:tcPr>
          <w:p w14:paraId="5BF94559" w14:textId="04CE80F9"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54 %</w:t>
            </w:r>
          </w:p>
        </w:tc>
        <w:tc>
          <w:tcPr>
            <w:tcW w:w="1524" w:type="dxa"/>
            <w:shd w:val="clear" w:color="auto" w:fill="B1C9E8"/>
          </w:tcPr>
          <w:p w14:paraId="04E6461F" w14:textId="013684E9"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7.4</w:t>
            </w:r>
          </w:p>
        </w:tc>
        <w:tc>
          <w:tcPr>
            <w:tcW w:w="1524" w:type="dxa"/>
            <w:shd w:val="clear" w:color="auto" w:fill="B1C9E8"/>
          </w:tcPr>
          <w:p w14:paraId="111CBE20" w14:textId="239597D1"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6 %</w:t>
            </w:r>
          </w:p>
        </w:tc>
        <w:tc>
          <w:tcPr>
            <w:tcW w:w="1524" w:type="dxa"/>
            <w:shd w:val="clear" w:color="auto" w:fill="B1C9E8"/>
          </w:tcPr>
          <w:p w14:paraId="16B68135" w14:textId="3CEDF71B"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84 %</w:t>
            </w:r>
          </w:p>
        </w:tc>
        <w:tc>
          <w:tcPr>
            <w:tcW w:w="1523" w:type="dxa"/>
            <w:shd w:val="clear" w:color="auto" w:fill="B1C9E8"/>
          </w:tcPr>
          <w:p w14:paraId="72878ED7" w14:textId="102DA569"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14.7</w:t>
            </w:r>
          </w:p>
        </w:tc>
        <w:tc>
          <w:tcPr>
            <w:tcW w:w="1524" w:type="dxa"/>
            <w:shd w:val="clear" w:color="auto" w:fill="B1C9E8"/>
          </w:tcPr>
          <w:p w14:paraId="557FBDF9" w14:textId="422F59CD"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58 %</w:t>
            </w:r>
          </w:p>
        </w:tc>
        <w:tc>
          <w:tcPr>
            <w:tcW w:w="1524" w:type="dxa"/>
            <w:shd w:val="clear" w:color="auto" w:fill="B1C9E8"/>
          </w:tcPr>
          <w:p w14:paraId="20A7DAA4" w14:textId="2D94F134"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2 %</w:t>
            </w:r>
          </w:p>
        </w:tc>
        <w:tc>
          <w:tcPr>
            <w:tcW w:w="1524" w:type="dxa"/>
            <w:shd w:val="clear" w:color="auto" w:fill="B1C9E8"/>
          </w:tcPr>
          <w:p w14:paraId="627B8F9B" w14:textId="45F628AA"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1.8</w:t>
            </w:r>
          </w:p>
        </w:tc>
      </w:tr>
      <w:tr w:rsidR="0065124E" w:rsidRPr="00592F37" w14:paraId="3CB90506" w14:textId="77777777" w:rsidTr="009D3084">
        <w:trPr>
          <w:trHeight w:val="454"/>
        </w:trPr>
        <w:tc>
          <w:tcPr>
            <w:tcW w:w="1570" w:type="dxa"/>
            <w:shd w:val="clear" w:color="auto" w:fill="244C5A"/>
          </w:tcPr>
          <w:p w14:paraId="11626FF5" w14:textId="0E574FD6" w:rsidR="0065124E" w:rsidRPr="00592F37" w:rsidRDefault="0065124E" w:rsidP="0065124E">
            <w:pPr>
              <w:pStyle w:val="DHHStabletext"/>
              <w:spacing w:before="0" w:after="0"/>
              <w:rPr>
                <w:rFonts w:ascii="VIC SemiBold" w:eastAsia="Verdana" w:hAnsi="VIC SemiBold" w:cs="Verdana"/>
                <w:color w:val="FFFFFF" w:themeColor="background1"/>
                <w:sz w:val="18"/>
                <w:szCs w:val="18"/>
              </w:rPr>
            </w:pPr>
            <w:r w:rsidRPr="00BF7527">
              <w:rPr>
                <w:rFonts w:ascii="VIC" w:eastAsia="Verdana" w:hAnsi="VIC"/>
                <w:color w:val="FFFFFF"/>
                <w:sz w:val="18"/>
                <w:szCs w:val="18"/>
              </w:rPr>
              <w:t>TOTAL STATEWIDE</w:t>
            </w:r>
          </w:p>
        </w:tc>
        <w:tc>
          <w:tcPr>
            <w:tcW w:w="1985" w:type="dxa"/>
            <w:shd w:val="clear" w:color="auto" w:fill="244C5A"/>
          </w:tcPr>
          <w:p w14:paraId="086DD5E9" w14:textId="4AEC51B1" w:rsidR="0065124E" w:rsidRPr="00592F37" w:rsidRDefault="0065124E" w:rsidP="0065124E">
            <w:pPr>
              <w:pStyle w:val="DHHStabletext"/>
              <w:spacing w:before="0" w:after="0"/>
              <w:rPr>
                <w:rFonts w:ascii="VIC SemiBold" w:eastAsia="Verdana" w:hAnsi="VIC SemiBold" w:cs="Verdana"/>
                <w:color w:val="FFFFFF" w:themeColor="background1"/>
                <w:sz w:val="18"/>
                <w:szCs w:val="18"/>
              </w:rPr>
            </w:pPr>
            <w:r w:rsidRPr="00BF7527">
              <w:rPr>
                <w:rFonts w:ascii="VIC" w:eastAsia="Verdana" w:hAnsi="VIC"/>
                <w:color w:val="FFFFFF"/>
                <w:sz w:val="18"/>
                <w:szCs w:val="18"/>
              </w:rPr>
              <w:t xml:space="preserve"> </w:t>
            </w:r>
          </w:p>
        </w:tc>
        <w:tc>
          <w:tcPr>
            <w:tcW w:w="1523" w:type="dxa"/>
            <w:shd w:val="clear" w:color="auto" w:fill="244C5A"/>
          </w:tcPr>
          <w:p w14:paraId="78B3FF31" w14:textId="6706DEE5"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51 %</w:t>
            </w:r>
          </w:p>
        </w:tc>
        <w:tc>
          <w:tcPr>
            <w:tcW w:w="1524" w:type="dxa"/>
            <w:shd w:val="clear" w:color="auto" w:fill="244C5A"/>
          </w:tcPr>
          <w:p w14:paraId="2C51F9CE" w14:textId="0DA1F11A"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7.7</w:t>
            </w:r>
          </w:p>
        </w:tc>
        <w:tc>
          <w:tcPr>
            <w:tcW w:w="1524" w:type="dxa"/>
            <w:shd w:val="clear" w:color="auto" w:fill="244C5A"/>
          </w:tcPr>
          <w:p w14:paraId="5FE9292D" w14:textId="18AB3A3B"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5 %</w:t>
            </w:r>
          </w:p>
        </w:tc>
        <w:tc>
          <w:tcPr>
            <w:tcW w:w="1524" w:type="dxa"/>
            <w:shd w:val="clear" w:color="auto" w:fill="244C5A"/>
          </w:tcPr>
          <w:p w14:paraId="0EDD9F48" w14:textId="7BE59D5B"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84 %</w:t>
            </w:r>
          </w:p>
        </w:tc>
        <w:tc>
          <w:tcPr>
            <w:tcW w:w="1523" w:type="dxa"/>
            <w:shd w:val="clear" w:color="auto" w:fill="244C5A"/>
          </w:tcPr>
          <w:p w14:paraId="67345144" w14:textId="32D2A78B"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14.5</w:t>
            </w:r>
          </w:p>
        </w:tc>
        <w:tc>
          <w:tcPr>
            <w:tcW w:w="1524" w:type="dxa"/>
            <w:shd w:val="clear" w:color="auto" w:fill="244C5A"/>
          </w:tcPr>
          <w:p w14:paraId="5D1E7BD0" w14:textId="56724028"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59 %</w:t>
            </w:r>
          </w:p>
        </w:tc>
        <w:tc>
          <w:tcPr>
            <w:tcW w:w="1524" w:type="dxa"/>
            <w:shd w:val="clear" w:color="auto" w:fill="244C5A"/>
          </w:tcPr>
          <w:p w14:paraId="7580B9CB" w14:textId="7814355D"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5 %</w:t>
            </w:r>
          </w:p>
        </w:tc>
        <w:tc>
          <w:tcPr>
            <w:tcW w:w="1524" w:type="dxa"/>
            <w:shd w:val="clear" w:color="auto" w:fill="244C5A"/>
          </w:tcPr>
          <w:p w14:paraId="66649BC7" w14:textId="3A503423" w:rsidR="0065124E" w:rsidRPr="00592F37"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1.8</w:t>
            </w:r>
          </w:p>
        </w:tc>
      </w:tr>
    </w:tbl>
    <w:p w14:paraId="210287F4" w14:textId="77777777" w:rsidR="00F91472" w:rsidRDefault="00F91472" w:rsidP="00F91472">
      <w:pPr>
        <w:pStyle w:val="Heading1"/>
      </w:pPr>
    </w:p>
    <w:p w14:paraId="79266E22" w14:textId="77777777" w:rsidR="00F91472" w:rsidRDefault="00F91472" w:rsidP="00F91472">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F91472" w:rsidRPr="00A6366B" w14:paraId="3B4D28AF" w14:textId="77777777" w:rsidTr="009D3084">
        <w:trPr>
          <w:trHeight w:val="1062"/>
          <w:tblHeader/>
        </w:trPr>
        <w:tc>
          <w:tcPr>
            <w:tcW w:w="3555" w:type="dxa"/>
            <w:gridSpan w:val="2"/>
            <w:shd w:val="clear" w:color="auto" w:fill="FFFFFF"/>
            <w:vAlign w:val="bottom"/>
          </w:tcPr>
          <w:p w14:paraId="525C0E07" w14:textId="40729277" w:rsidR="00F91472" w:rsidRPr="00592F37" w:rsidRDefault="00F91472" w:rsidP="009D3084">
            <w:pPr>
              <w:pStyle w:val="Heading1"/>
              <w:spacing w:before="0" w:line="240" w:lineRule="auto"/>
              <w:rPr>
                <w:color w:val="244C5A"/>
                <w:sz w:val="28"/>
                <w:szCs w:val="28"/>
              </w:rPr>
            </w:pPr>
            <w:bookmarkStart w:id="13" w:name="_Toc37865456"/>
            <w:r>
              <w:rPr>
                <w:color w:val="244C5A"/>
                <w:sz w:val="22"/>
                <w:szCs w:val="28"/>
              </w:rPr>
              <w:lastRenderedPageBreak/>
              <w:t>Community</w:t>
            </w:r>
            <w:r w:rsidRPr="00052DAD">
              <w:rPr>
                <w:color w:val="244C5A"/>
                <w:sz w:val="22"/>
                <w:szCs w:val="28"/>
              </w:rPr>
              <w:br w:type="textWrapping" w:clear="all"/>
            </w:r>
            <w:r>
              <w:rPr>
                <w:color w:val="244C5A"/>
                <w:sz w:val="22"/>
                <w:szCs w:val="28"/>
              </w:rPr>
              <w:t>2019–20 Q1–Q</w:t>
            </w:r>
            <w:r w:rsidR="004A1C0F">
              <w:rPr>
                <w:color w:val="244C5A"/>
                <w:sz w:val="22"/>
                <w:szCs w:val="28"/>
              </w:rPr>
              <w:t>3</w:t>
            </w:r>
            <w:r w:rsidRPr="00052DAD">
              <w:rPr>
                <w:color w:val="244C5A"/>
                <w:sz w:val="22"/>
                <w:szCs w:val="28"/>
              </w:rPr>
              <w:t xml:space="preserve"> Rural</w:t>
            </w:r>
            <w:bookmarkEnd w:id="13"/>
          </w:p>
        </w:tc>
        <w:tc>
          <w:tcPr>
            <w:tcW w:w="1523" w:type="dxa"/>
            <w:shd w:val="clear" w:color="auto" w:fill="FFFFFF"/>
            <w:vAlign w:val="bottom"/>
          </w:tcPr>
          <w:p w14:paraId="3093102A" w14:textId="77777777" w:rsidR="00F91472" w:rsidRPr="00BF031D" w:rsidRDefault="00F91472" w:rsidP="009D3084">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14DFEB22" w14:textId="77777777" w:rsidR="00F91472" w:rsidRPr="00BF031D" w:rsidRDefault="00F91472" w:rsidP="009D3084">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D4C42F4" w14:textId="77777777" w:rsidR="00F91472" w:rsidRPr="00BF031D" w:rsidRDefault="00F91472" w:rsidP="009D3084">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21B16F0C" w14:textId="77777777" w:rsidR="00F91472" w:rsidRPr="00BF031D" w:rsidRDefault="00F91472" w:rsidP="009D3084">
            <w:pPr>
              <w:pStyle w:val="VAHItablecolhead"/>
              <w:rPr>
                <w:rFonts w:eastAsia="Verdana"/>
                <w:color w:val="244C5A"/>
                <w:sz w:val="16"/>
              </w:rPr>
            </w:pPr>
            <w:r w:rsidRPr="00BF031D">
              <w:rPr>
                <w:sz w:val="16"/>
              </w:rPr>
              <w:t xml:space="preserve">HoNOS </w:t>
            </w:r>
            <w:r>
              <w:rPr>
                <w:sz w:val="16"/>
              </w:rPr>
              <w:br w:type="textWrapping" w:clear="all"/>
            </w:r>
            <w:r w:rsidRPr="00BF031D">
              <w:rPr>
                <w:sz w:val="16"/>
              </w:rPr>
              <w:t>compliance</w:t>
            </w:r>
          </w:p>
        </w:tc>
        <w:tc>
          <w:tcPr>
            <w:tcW w:w="1523" w:type="dxa"/>
            <w:shd w:val="clear" w:color="auto" w:fill="FFFFFF"/>
            <w:vAlign w:val="bottom"/>
          </w:tcPr>
          <w:p w14:paraId="2EFDE21F" w14:textId="77777777" w:rsidR="00F91472" w:rsidRPr="00BF031D" w:rsidRDefault="00F91472" w:rsidP="009D3084">
            <w:pPr>
              <w:pStyle w:val="VAHItablecolhead"/>
              <w:rPr>
                <w:rFonts w:eastAsia="Verdana"/>
                <w:color w:val="244C5A"/>
                <w:sz w:val="16"/>
              </w:rPr>
            </w:pPr>
            <w:r w:rsidRPr="00BF031D">
              <w:rPr>
                <w:sz w:val="16"/>
              </w:rPr>
              <w:t>Average HoNOS at case start</w:t>
            </w:r>
          </w:p>
        </w:tc>
        <w:tc>
          <w:tcPr>
            <w:tcW w:w="1524" w:type="dxa"/>
            <w:shd w:val="clear" w:color="auto" w:fill="FFFFFF"/>
            <w:vAlign w:val="bottom"/>
          </w:tcPr>
          <w:p w14:paraId="5CD89308" w14:textId="77777777" w:rsidR="00F91472" w:rsidRPr="00BF031D" w:rsidRDefault="00F91472" w:rsidP="009D3084">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7B8D7697" w14:textId="77777777" w:rsidR="00F91472" w:rsidRPr="00BF031D" w:rsidRDefault="00F91472" w:rsidP="009D3084">
            <w:pPr>
              <w:pStyle w:val="VAHItablecolhead"/>
              <w:rPr>
                <w:rFonts w:eastAsia="Verdana"/>
                <w:color w:val="244C5A"/>
                <w:sz w:val="16"/>
              </w:rPr>
            </w:pPr>
            <w:r w:rsidRPr="00BF031D">
              <w:rPr>
                <w:sz w:val="16"/>
              </w:rPr>
              <w:t>Self rated measures completed</w:t>
            </w:r>
          </w:p>
        </w:tc>
        <w:tc>
          <w:tcPr>
            <w:tcW w:w="1524" w:type="dxa"/>
            <w:shd w:val="clear" w:color="auto" w:fill="FFFFFF"/>
            <w:vAlign w:val="bottom"/>
          </w:tcPr>
          <w:p w14:paraId="7D0B7324" w14:textId="77777777" w:rsidR="00F91472" w:rsidRPr="00BF031D" w:rsidRDefault="00F91472" w:rsidP="009D3084">
            <w:pPr>
              <w:pStyle w:val="VAHItablecolhead"/>
              <w:rPr>
                <w:rFonts w:eastAsia="Verdana"/>
                <w:color w:val="244C5A"/>
                <w:sz w:val="16"/>
              </w:rPr>
            </w:pPr>
            <w:r w:rsidRPr="00BF031D">
              <w:rPr>
                <w:sz w:val="16"/>
              </w:rPr>
              <w:t>Average change in clinically significant HoNOS items</w:t>
            </w:r>
          </w:p>
        </w:tc>
      </w:tr>
      <w:tr w:rsidR="0065124E" w:rsidRPr="007B08C1" w14:paraId="30DF2BAF" w14:textId="77777777" w:rsidTr="009D3084">
        <w:trPr>
          <w:trHeight w:val="454"/>
        </w:trPr>
        <w:tc>
          <w:tcPr>
            <w:tcW w:w="1570" w:type="dxa"/>
            <w:shd w:val="clear" w:color="auto" w:fill="BFCED6"/>
          </w:tcPr>
          <w:p w14:paraId="1A1E9E1D" w14:textId="66B5B49F" w:rsidR="0065124E" w:rsidRPr="007B08C1" w:rsidRDefault="0065124E" w:rsidP="0065124E">
            <w:pPr>
              <w:rPr>
                <w:rFonts w:ascii="VIC" w:hAnsi="VIC"/>
                <w:sz w:val="18"/>
                <w:szCs w:val="18"/>
              </w:rPr>
            </w:pPr>
            <w:r w:rsidRPr="00BF7527">
              <w:rPr>
                <w:rFonts w:ascii="VIC" w:eastAsia="Verdana" w:hAnsi="VIC"/>
                <w:color w:val="000000"/>
                <w:sz w:val="18"/>
                <w:szCs w:val="18"/>
              </w:rPr>
              <w:t>Ballarat Health</w:t>
            </w:r>
          </w:p>
        </w:tc>
        <w:tc>
          <w:tcPr>
            <w:tcW w:w="1985" w:type="dxa"/>
            <w:shd w:val="clear" w:color="auto" w:fill="BFCED6"/>
          </w:tcPr>
          <w:p w14:paraId="23A47E87" w14:textId="029011A5" w:rsidR="0065124E" w:rsidRPr="007B08C1" w:rsidRDefault="0065124E" w:rsidP="0065124E">
            <w:pPr>
              <w:rPr>
                <w:rFonts w:ascii="VIC" w:hAnsi="VIC"/>
                <w:sz w:val="18"/>
                <w:szCs w:val="18"/>
              </w:rPr>
            </w:pPr>
            <w:r w:rsidRPr="00BF7527">
              <w:rPr>
                <w:rFonts w:ascii="VIC" w:eastAsia="Verdana" w:hAnsi="VIC"/>
                <w:color w:val="000000"/>
                <w:sz w:val="18"/>
                <w:szCs w:val="18"/>
              </w:rPr>
              <w:t>Grampians</w:t>
            </w:r>
          </w:p>
        </w:tc>
        <w:tc>
          <w:tcPr>
            <w:tcW w:w="1523" w:type="dxa"/>
            <w:shd w:val="clear" w:color="auto" w:fill="BFCED6"/>
          </w:tcPr>
          <w:p w14:paraId="7896B929" w14:textId="6C018AE8" w:rsidR="0065124E" w:rsidRPr="007B08C1" w:rsidRDefault="0065124E" w:rsidP="0065124E">
            <w:pPr>
              <w:jc w:val="center"/>
              <w:rPr>
                <w:rFonts w:ascii="VIC" w:hAnsi="VIC"/>
                <w:sz w:val="18"/>
                <w:szCs w:val="18"/>
              </w:rPr>
            </w:pPr>
            <w:r w:rsidRPr="00BF7527">
              <w:rPr>
                <w:rFonts w:ascii="VIC" w:eastAsia="Verdana" w:hAnsi="VIC"/>
                <w:color w:val="000000"/>
                <w:sz w:val="18"/>
                <w:szCs w:val="18"/>
              </w:rPr>
              <w:t>47 %</w:t>
            </w:r>
          </w:p>
        </w:tc>
        <w:tc>
          <w:tcPr>
            <w:tcW w:w="1524" w:type="dxa"/>
            <w:shd w:val="clear" w:color="auto" w:fill="BFCED6"/>
          </w:tcPr>
          <w:p w14:paraId="494A5BF8" w14:textId="123AC752" w:rsidR="0065124E" w:rsidRPr="007B08C1" w:rsidRDefault="0065124E" w:rsidP="0065124E">
            <w:pPr>
              <w:jc w:val="center"/>
              <w:rPr>
                <w:rFonts w:ascii="VIC" w:hAnsi="VIC"/>
                <w:sz w:val="18"/>
                <w:szCs w:val="18"/>
              </w:rPr>
            </w:pPr>
            <w:r w:rsidRPr="00BF7527">
              <w:rPr>
                <w:rFonts w:ascii="VIC" w:eastAsia="Verdana" w:hAnsi="VIC"/>
                <w:color w:val="000000"/>
                <w:sz w:val="18"/>
                <w:szCs w:val="18"/>
              </w:rPr>
              <w:t>8.7</w:t>
            </w:r>
          </w:p>
        </w:tc>
        <w:tc>
          <w:tcPr>
            <w:tcW w:w="1524" w:type="dxa"/>
            <w:shd w:val="clear" w:color="auto" w:fill="BFCED6"/>
          </w:tcPr>
          <w:p w14:paraId="44B71F85" w14:textId="73FD4185" w:rsidR="0065124E" w:rsidRPr="007B08C1" w:rsidRDefault="0065124E" w:rsidP="0065124E">
            <w:pPr>
              <w:jc w:val="center"/>
              <w:rPr>
                <w:rFonts w:ascii="VIC" w:hAnsi="VIC"/>
                <w:sz w:val="18"/>
                <w:szCs w:val="18"/>
              </w:rPr>
            </w:pPr>
            <w:r w:rsidRPr="00BF7527">
              <w:rPr>
                <w:rFonts w:ascii="VIC" w:eastAsia="Verdana" w:hAnsi="VIC"/>
                <w:color w:val="000000"/>
                <w:sz w:val="18"/>
                <w:szCs w:val="18"/>
              </w:rPr>
              <w:t>3 %</w:t>
            </w:r>
          </w:p>
        </w:tc>
        <w:tc>
          <w:tcPr>
            <w:tcW w:w="1524" w:type="dxa"/>
            <w:shd w:val="clear" w:color="auto" w:fill="BFCED6"/>
          </w:tcPr>
          <w:p w14:paraId="404116C5" w14:textId="55C77603" w:rsidR="0065124E" w:rsidRPr="007B08C1" w:rsidRDefault="0065124E" w:rsidP="0065124E">
            <w:pPr>
              <w:jc w:val="center"/>
              <w:rPr>
                <w:rFonts w:ascii="VIC" w:hAnsi="VIC"/>
                <w:sz w:val="18"/>
                <w:szCs w:val="18"/>
              </w:rPr>
            </w:pPr>
            <w:r w:rsidRPr="00BF7527">
              <w:rPr>
                <w:rFonts w:ascii="VIC" w:eastAsia="Verdana" w:hAnsi="VIC"/>
                <w:color w:val="000000"/>
                <w:sz w:val="18"/>
                <w:szCs w:val="18"/>
              </w:rPr>
              <w:t>73 %</w:t>
            </w:r>
          </w:p>
        </w:tc>
        <w:tc>
          <w:tcPr>
            <w:tcW w:w="1523" w:type="dxa"/>
            <w:shd w:val="clear" w:color="auto" w:fill="BFCED6"/>
          </w:tcPr>
          <w:p w14:paraId="1C135B29" w14:textId="6007441A" w:rsidR="0065124E" w:rsidRPr="007B08C1" w:rsidRDefault="0065124E" w:rsidP="0065124E">
            <w:pPr>
              <w:jc w:val="center"/>
              <w:rPr>
                <w:rFonts w:ascii="VIC" w:hAnsi="VIC"/>
                <w:sz w:val="18"/>
                <w:szCs w:val="18"/>
              </w:rPr>
            </w:pPr>
            <w:r w:rsidRPr="00BF7527">
              <w:rPr>
                <w:rFonts w:ascii="VIC" w:eastAsia="Verdana" w:hAnsi="VIC"/>
                <w:color w:val="000000"/>
                <w:sz w:val="18"/>
                <w:szCs w:val="18"/>
              </w:rPr>
              <w:t>13.7</w:t>
            </w:r>
          </w:p>
        </w:tc>
        <w:tc>
          <w:tcPr>
            <w:tcW w:w="1524" w:type="dxa"/>
            <w:shd w:val="clear" w:color="auto" w:fill="BFCED6"/>
          </w:tcPr>
          <w:p w14:paraId="2D9CF456" w14:textId="11CC92AF" w:rsidR="0065124E" w:rsidRPr="007B08C1" w:rsidRDefault="0065124E" w:rsidP="0065124E">
            <w:pPr>
              <w:jc w:val="center"/>
              <w:rPr>
                <w:rFonts w:ascii="VIC" w:hAnsi="VIC"/>
                <w:sz w:val="18"/>
                <w:szCs w:val="18"/>
              </w:rPr>
            </w:pPr>
            <w:r w:rsidRPr="00BF7527">
              <w:rPr>
                <w:rFonts w:ascii="VIC" w:eastAsia="Verdana" w:hAnsi="VIC"/>
                <w:color w:val="000000"/>
                <w:sz w:val="18"/>
                <w:szCs w:val="18"/>
              </w:rPr>
              <w:t>60 %</w:t>
            </w:r>
          </w:p>
        </w:tc>
        <w:tc>
          <w:tcPr>
            <w:tcW w:w="1524" w:type="dxa"/>
            <w:shd w:val="clear" w:color="auto" w:fill="BFCED6"/>
          </w:tcPr>
          <w:p w14:paraId="795642CF" w14:textId="7023F300" w:rsidR="0065124E" w:rsidRPr="007B08C1" w:rsidRDefault="0065124E" w:rsidP="0065124E">
            <w:pPr>
              <w:jc w:val="center"/>
              <w:rPr>
                <w:rFonts w:ascii="VIC" w:hAnsi="VIC"/>
                <w:sz w:val="18"/>
                <w:szCs w:val="18"/>
              </w:rPr>
            </w:pPr>
            <w:r w:rsidRPr="00BF7527">
              <w:rPr>
                <w:rFonts w:ascii="VIC" w:eastAsia="Verdana" w:hAnsi="VIC"/>
                <w:color w:val="000000"/>
                <w:sz w:val="18"/>
                <w:szCs w:val="18"/>
              </w:rPr>
              <w:t>1 %</w:t>
            </w:r>
          </w:p>
        </w:tc>
        <w:tc>
          <w:tcPr>
            <w:tcW w:w="1524" w:type="dxa"/>
            <w:shd w:val="clear" w:color="auto" w:fill="BFCED6"/>
          </w:tcPr>
          <w:p w14:paraId="7D4DE88C" w14:textId="2E2E4661" w:rsidR="0065124E" w:rsidRPr="007B08C1" w:rsidRDefault="0065124E" w:rsidP="0065124E">
            <w:pPr>
              <w:jc w:val="center"/>
              <w:rPr>
                <w:rFonts w:ascii="VIC" w:hAnsi="VIC"/>
                <w:sz w:val="18"/>
                <w:szCs w:val="18"/>
              </w:rPr>
            </w:pPr>
            <w:r w:rsidRPr="00BF7527">
              <w:rPr>
                <w:rFonts w:ascii="VIC" w:eastAsia="Verdana" w:hAnsi="VIC"/>
                <w:color w:val="000000"/>
                <w:sz w:val="18"/>
                <w:szCs w:val="18"/>
              </w:rPr>
              <w:t>1.9</w:t>
            </w:r>
          </w:p>
        </w:tc>
      </w:tr>
      <w:tr w:rsidR="0065124E" w:rsidRPr="007B08C1" w14:paraId="23A22B05" w14:textId="77777777" w:rsidTr="009D3084">
        <w:trPr>
          <w:trHeight w:val="454"/>
        </w:trPr>
        <w:tc>
          <w:tcPr>
            <w:tcW w:w="1570" w:type="dxa"/>
          </w:tcPr>
          <w:p w14:paraId="7C9BB6E8" w14:textId="29814BE8" w:rsidR="0065124E" w:rsidRPr="007B08C1" w:rsidRDefault="0065124E" w:rsidP="0065124E">
            <w:pPr>
              <w:rPr>
                <w:rFonts w:ascii="VIC" w:hAnsi="VIC"/>
                <w:sz w:val="18"/>
                <w:szCs w:val="18"/>
              </w:rPr>
            </w:pPr>
            <w:r w:rsidRPr="00BF7527">
              <w:rPr>
                <w:rFonts w:ascii="VIC" w:eastAsia="Verdana" w:hAnsi="VIC"/>
                <w:color w:val="000000"/>
                <w:sz w:val="18"/>
                <w:szCs w:val="18"/>
              </w:rPr>
              <w:t>Barwon Health</w:t>
            </w:r>
          </w:p>
        </w:tc>
        <w:tc>
          <w:tcPr>
            <w:tcW w:w="1985" w:type="dxa"/>
          </w:tcPr>
          <w:p w14:paraId="7CC4D66B" w14:textId="0A591B18" w:rsidR="0065124E" w:rsidRPr="007B08C1" w:rsidRDefault="0065124E" w:rsidP="0065124E">
            <w:pPr>
              <w:rPr>
                <w:rFonts w:ascii="VIC" w:hAnsi="VIC"/>
                <w:sz w:val="18"/>
                <w:szCs w:val="18"/>
              </w:rPr>
            </w:pPr>
            <w:r w:rsidRPr="00BF7527">
              <w:rPr>
                <w:rFonts w:ascii="VIC" w:eastAsia="Verdana" w:hAnsi="VIC"/>
                <w:color w:val="000000"/>
                <w:sz w:val="18"/>
                <w:szCs w:val="18"/>
              </w:rPr>
              <w:t>Barwon</w:t>
            </w:r>
          </w:p>
        </w:tc>
        <w:tc>
          <w:tcPr>
            <w:tcW w:w="1523" w:type="dxa"/>
          </w:tcPr>
          <w:p w14:paraId="2662B5B1" w14:textId="1771302D" w:rsidR="0065124E" w:rsidRPr="007B08C1" w:rsidRDefault="0065124E" w:rsidP="0065124E">
            <w:pPr>
              <w:jc w:val="center"/>
              <w:rPr>
                <w:rFonts w:ascii="VIC" w:hAnsi="VIC"/>
                <w:sz w:val="18"/>
                <w:szCs w:val="18"/>
              </w:rPr>
            </w:pPr>
            <w:r w:rsidRPr="00BF7527">
              <w:rPr>
                <w:rFonts w:ascii="VIC" w:eastAsia="Verdana" w:hAnsi="VIC"/>
                <w:color w:val="000000"/>
                <w:sz w:val="18"/>
                <w:szCs w:val="18"/>
              </w:rPr>
              <w:t>46 %</w:t>
            </w:r>
          </w:p>
        </w:tc>
        <w:tc>
          <w:tcPr>
            <w:tcW w:w="1524" w:type="dxa"/>
          </w:tcPr>
          <w:p w14:paraId="33E113A7" w14:textId="6C51FA9F" w:rsidR="0065124E" w:rsidRPr="007B08C1" w:rsidRDefault="0065124E" w:rsidP="0065124E">
            <w:pPr>
              <w:jc w:val="center"/>
              <w:rPr>
                <w:rFonts w:ascii="VIC" w:hAnsi="VIC"/>
                <w:sz w:val="18"/>
                <w:szCs w:val="18"/>
              </w:rPr>
            </w:pPr>
            <w:r w:rsidRPr="00BF7527">
              <w:rPr>
                <w:rFonts w:ascii="VIC" w:eastAsia="Verdana" w:hAnsi="VIC"/>
                <w:color w:val="000000"/>
                <w:sz w:val="18"/>
                <w:szCs w:val="18"/>
              </w:rPr>
              <w:t>11.1</w:t>
            </w:r>
          </w:p>
        </w:tc>
        <w:tc>
          <w:tcPr>
            <w:tcW w:w="1524" w:type="dxa"/>
          </w:tcPr>
          <w:p w14:paraId="5CBBCB07" w14:textId="2008A285" w:rsidR="0065124E" w:rsidRPr="007B08C1" w:rsidRDefault="0065124E" w:rsidP="0065124E">
            <w:pPr>
              <w:jc w:val="center"/>
              <w:rPr>
                <w:rFonts w:ascii="VIC" w:hAnsi="VIC"/>
                <w:sz w:val="18"/>
                <w:szCs w:val="18"/>
              </w:rPr>
            </w:pPr>
            <w:r w:rsidRPr="00BF7527">
              <w:rPr>
                <w:rFonts w:ascii="VIC" w:eastAsia="Verdana" w:hAnsi="VIC"/>
                <w:color w:val="000000"/>
                <w:sz w:val="18"/>
                <w:szCs w:val="18"/>
              </w:rPr>
              <w:t>8 %</w:t>
            </w:r>
          </w:p>
        </w:tc>
        <w:tc>
          <w:tcPr>
            <w:tcW w:w="1524" w:type="dxa"/>
          </w:tcPr>
          <w:p w14:paraId="2B68B1D2" w14:textId="064F8C6E" w:rsidR="0065124E" w:rsidRPr="007B08C1" w:rsidRDefault="0065124E" w:rsidP="0065124E">
            <w:pPr>
              <w:jc w:val="center"/>
              <w:rPr>
                <w:rFonts w:ascii="VIC" w:hAnsi="VIC"/>
                <w:sz w:val="18"/>
                <w:szCs w:val="18"/>
              </w:rPr>
            </w:pPr>
            <w:r w:rsidRPr="00BF7527">
              <w:rPr>
                <w:rFonts w:ascii="VIC" w:eastAsia="Verdana" w:hAnsi="VIC"/>
                <w:color w:val="000000"/>
                <w:sz w:val="18"/>
                <w:szCs w:val="18"/>
              </w:rPr>
              <w:t>95 %</w:t>
            </w:r>
          </w:p>
        </w:tc>
        <w:tc>
          <w:tcPr>
            <w:tcW w:w="1523" w:type="dxa"/>
          </w:tcPr>
          <w:p w14:paraId="6A7A9CCE" w14:textId="34CB0FB5" w:rsidR="0065124E" w:rsidRPr="007B08C1" w:rsidRDefault="0065124E" w:rsidP="0065124E">
            <w:pPr>
              <w:jc w:val="center"/>
              <w:rPr>
                <w:rFonts w:ascii="VIC" w:hAnsi="VIC"/>
                <w:sz w:val="18"/>
                <w:szCs w:val="18"/>
              </w:rPr>
            </w:pPr>
            <w:r w:rsidRPr="00BF7527">
              <w:rPr>
                <w:rFonts w:ascii="VIC" w:eastAsia="Verdana" w:hAnsi="VIC"/>
                <w:color w:val="000000"/>
                <w:sz w:val="18"/>
                <w:szCs w:val="18"/>
              </w:rPr>
              <w:t>12.7</w:t>
            </w:r>
          </w:p>
        </w:tc>
        <w:tc>
          <w:tcPr>
            <w:tcW w:w="1524" w:type="dxa"/>
          </w:tcPr>
          <w:p w14:paraId="7CDE6AAA" w14:textId="6D2671FC" w:rsidR="0065124E" w:rsidRPr="007B08C1" w:rsidRDefault="0065124E" w:rsidP="0065124E">
            <w:pPr>
              <w:jc w:val="center"/>
              <w:rPr>
                <w:rFonts w:ascii="VIC" w:hAnsi="VIC"/>
                <w:sz w:val="18"/>
                <w:szCs w:val="18"/>
              </w:rPr>
            </w:pPr>
            <w:r w:rsidRPr="00BF7527">
              <w:rPr>
                <w:rFonts w:ascii="VIC" w:eastAsia="Verdana" w:hAnsi="VIC"/>
                <w:color w:val="000000"/>
                <w:sz w:val="18"/>
                <w:szCs w:val="18"/>
              </w:rPr>
              <w:t>61 %</w:t>
            </w:r>
          </w:p>
        </w:tc>
        <w:tc>
          <w:tcPr>
            <w:tcW w:w="1524" w:type="dxa"/>
          </w:tcPr>
          <w:p w14:paraId="7BAF082C" w14:textId="76EFCB93" w:rsidR="0065124E" w:rsidRPr="007B08C1" w:rsidRDefault="0065124E" w:rsidP="0065124E">
            <w:pPr>
              <w:jc w:val="center"/>
              <w:rPr>
                <w:rFonts w:ascii="VIC" w:hAnsi="VIC"/>
                <w:sz w:val="18"/>
                <w:szCs w:val="18"/>
              </w:rPr>
            </w:pPr>
            <w:r w:rsidRPr="00BF7527">
              <w:rPr>
                <w:rFonts w:ascii="VIC" w:eastAsia="Verdana" w:hAnsi="VIC"/>
                <w:color w:val="000000"/>
                <w:sz w:val="18"/>
                <w:szCs w:val="18"/>
              </w:rPr>
              <w:t>64 %</w:t>
            </w:r>
          </w:p>
        </w:tc>
        <w:tc>
          <w:tcPr>
            <w:tcW w:w="1524" w:type="dxa"/>
          </w:tcPr>
          <w:p w14:paraId="04D9691D" w14:textId="6861D07E" w:rsidR="0065124E" w:rsidRPr="007B08C1" w:rsidRDefault="0065124E" w:rsidP="0065124E">
            <w:pPr>
              <w:jc w:val="center"/>
              <w:rPr>
                <w:rFonts w:ascii="VIC" w:hAnsi="VIC"/>
                <w:sz w:val="18"/>
                <w:szCs w:val="18"/>
              </w:rPr>
            </w:pPr>
            <w:r w:rsidRPr="00BF7527">
              <w:rPr>
                <w:rFonts w:ascii="VIC" w:eastAsia="Verdana" w:hAnsi="VIC"/>
                <w:color w:val="000000"/>
                <w:sz w:val="18"/>
                <w:szCs w:val="18"/>
              </w:rPr>
              <w:t>1.5</w:t>
            </w:r>
          </w:p>
        </w:tc>
      </w:tr>
      <w:tr w:rsidR="0065124E" w:rsidRPr="007B08C1" w14:paraId="4D5D4825" w14:textId="77777777" w:rsidTr="009D3084">
        <w:trPr>
          <w:trHeight w:val="454"/>
        </w:trPr>
        <w:tc>
          <w:tcPr>
            <w:tcW w:w="1570" w:type="dxa"/>
            <w:shd w:val="clear" w:color="auto" w:fill="BFCED6"/>
          </w:tcPr>
          <w:p w14:paraId="1F591C1C" w14:textId="0B306504" w:rsidR="0065124E" w:rsidRPr="007B08C1" w:rsidRDefault="0065124E" w:rsidP="0065124E">
            <w:pPr>
              <w:rPr>
                <w:rFonts w:ascii="VIC" w:hAnsi="VIC"/>
                <w:sz w:val="18"/>
                <w:szCs w:val="18"/>
              </w:rPr>
            </w:pPr>
            <w:r w:rsidRPr="00BF7527">
              <w:rPr>
                <w:rFonts w:ascii="VIC" w:eastAsia="Verdana" w:hAnsi="VIC"/>
                <w:color w:val="000000"/>
                <w:sz w:val="18"/>
                <w:szCs w:val="18"/>
              </w:rPr>
              <w:t>Bendigo Health</w:t>
            </w:r>
          </w:p>
        </w:tc>
        <w:tc>
          <w:tcPr>
            <w:tcW w:w="1985" w:type="dxa"/>
            <w:shd w:val="clear" w:color="auto" w:fill="BFCED6"/>
          </w:tcPr>
          <w:p w14:paraId="389827FA" w14:textId="462B2D27" w:rsidR="0065124E" w:rsidRPr="007B08C1" w:rsidRDefault="0065124E" w:rsidP="0065124E">
            <w:pPr>
              <w:rPr>
                <w:rFonts w:ascii="VIC" w:hAnsi="VIC"/>
                <w:sz w:val="18"/>
                <w:szCs w:val="18"/>
              </w:rPr>
            </w:pPr>
            <w:r w:rsidRPr="00BF7527">
              <w:rPr>
                <w:rFonts w:ascii="VIC" w:eastAsia="Verdana" w:hAnsi="VIC"/>
                <w:color w:val="000000"/>
                <w:sz w:val="18"/>
                <w:szCs w:val="18"/>
              </w:rPr>
              <w:t>Loddon/Southern Mallee</w:t>
            </w:r>
          </w:p>
        </w:tc>
        <w:tc>
          <w:tcPr>
            <w:tcW w:w="1523" w:type="dxa"/>
            <w:shd w:val="clear" w:color="auto" w:fill="BFCED6"/>
          </w:tcPr>
          <w:p w14:paraId="40427870" w14:textId="016FFD86" w:rsidR="0065124E" w:rsidRPr="007B08C1" w:rsidRDefault="0065124E" w:rsidP="0065124E">
            <w:pPr>
              <w:jc w:val="center"/>
              <w:rPr>
                <w:rFonts w:ascii="VIC" w:hAnsi="VIC"/>
                <w:sz w:val="18"/>
                <w:szCs w:val="18"/>
              </w:rPr>
            </w:pPr>
            <w:r w:rsidRPr="00BF7527">
              <w:rPr>
                <w:rFonts w:ascii="VIC" w:eastAsia="Verdana" w:hAnsi="VIC"/>
                <w:color w:val="000000"/>
                <w:sz w:val="18"/>
                <w:szCs w:val="18"/>
              </w:rPr>
              <w:t>49 %</w:t>
            </w:r>
          </w:p>
        </w:tc>
        <w:tc>
          <w:tcPr>
            <w:tcW w:w="1524" w:type="dxa"/>
            <w:shd w:val="clear" w:color="auto" w:fill="BFCED6"/>
          </w:tcPr>
          <w:p w14:paraId="511339A0" w14:textId="405DB4AD" w:rsidR="0065124E" w:rsidRPr="007B08C1" w:rsidRDefault="0065124E" w:rsidP="0065124E">
            <w:pPr>
              <w:jc w:val="center"/>
              <w:rPr>
                <w:rFonts w:ascii="VIC" w:hAnsi="VIC"/>
                <w:sz w:val="18"/>
                <w:szCs w:val="18"/>
              </w:rPr>
            </w:pPr>
            <w:r w:rsidRPr="00BF7527">
              <w:rPr>
                <w:rFonts w:ascii="VIC" w:eastAsia="Verdana" w:hAnsi="VIC"/>
                <w:color w:val="000000"/>
                <w:sz w:val="18"/>
                <w:szCs w:val="18"/>
              </w:rPr>
              <w:t>5.9</w:t>
            </w:r>
          </w:p>
        </w:tc>
        <w:tc>
          <w:tcPr>
            <w:tcW w:w="1524" w:type="dxa"/>
            <w:shd w:val="clear" w:color="auto" w:fill="BFCED6"/>
          </w:tcPr>
          <w:p w14:paraId="6996A044" w14:textId="65E93720" w:rsidR="0065124E" w:rsidRPr="007B08C1" w:rsidRDefault="0065124E" w:rsidP="0065124E">
            <w:pPr>
              <w:jc w:val="center"/>
              <w:rPr>
                <w:rFonts w:ascii="VIC" w:hAnsi="VIC"/>
                <w:sz w:val="18"/>
                <w:szCs w:val="18"/>
              </w:rPr>
            </w:pPr>
            <w:r w:rsidRPr="00BF7527">
              <w:rPr>
                <w:rFonts w:ascii="VIC" w:eastAsia="Verdana" w:hAnsi="VIC"/>
                <w:color w:val="000000"/>
                <w:sz w:val="18"/>
                <w:szCs w:val="18"/>
              </w:rPr>
              <w:t>3 %</w:t>
            </w:r>
          </w:p>
        </w:tc>
        <w:tc>
          <w:tcPr>
            <w:tcW w:w="1524" w:type="dxa"/>
            <w:shd w:val="clear" w:color="auto" w:fill="BFCED6"/>
          </w:tcPr>
          <w:p w14:paraId="528F352E" w14:textId="3EF4A99B" w:rsidR="0065124E" w:rsidRPr="007B08C1" w:rsidRDefault="0065124E" w:rsidP="0065124E">
            <w:pPr>
              <w:jc w:val="center"/>
              <w:rPr>
                <w:rFonts w:ascii="VIC" w:hAnsi="VIC"/>
                <w:sz w:val="18"/>
                <w:szCs w:val="18"/>
              </w:rPr>
            </w:pPr>
            <w:r w:rsidRPr="00BF7527">
              <w:rPr>
                <w:rFonts w:ascii="VIC" w:eastAsia="Verdana" w:hAnsi="VIC"/>
                <w:color w:val="000000"/>
                <w:sz w:val="18"/>
                <w:szCs w:val="18"/>
              </w:rPr>
              <w:t>95 %</w:t>
            </w:r>
          </w:p>
        </w:tc>
        <w:tc>
          <w:tcPr>
            <w:tcW w:w="1523" w:type="dxa"/>
            <w:shd w:val="clear" w:color="auto" w:fill="BFCED6"/>
          </w:tcPr>
          <w:p w14:paraId="5AF815CD" w14:textId="4B1B7720" w:rsidR="0065124E" w:rsidRPr="007B08C1" w:rsidRDefault="0065124E" w:rsidP="0065124E">
            <w:pPr>
              <w:jc w:val="center"/>
              <w:rPr>
                <w:rFonts w:ascii="VIC" w:hAnsi="VIC"/>
                <w:sz w:val="18"/>
                <w:szCs w:val="18"/>
              </w:rPr>
            </w:pPr>
            <w:r w:rsidRPr="00BF7527">
              <w:rPr>
                <w:rFonts w:ascii="VIC" w:eastAsia="Verdana" w:hAnsi="VIC"/>
                <w:color w:val="000000"/>
                <w:sz w:val="18"/>
                <w:szCs w:val="18"/>
              </w:rPr>
              <w:t>15.4</w:t>
            </w:r>
          </w:p>
        </w:tc>
        <w:tc>
          <w:tcPr>
            <w:tcW w:w="1524" w:type="dxa"/>
            <w:shd w:val="clear" w:color="auto" w:fill="BFCED6"/>
          </w:tcPr>
          <w:p w14:paraId="7A694F7B" w14:textId="77B5DBF7" w:rsidR="0065124E" w:rsidRPr="007B08C1" w:rsidRDefault="0065124E" w:rsidP="0065124E">
            <w:pPr>
              <w:jc w:val="center"/>
              <w:rPr>
                <w:rFonts w:ascii="VIC" w:hAnsi="VIC"/>
                <w:sz w:val="18"/>
                <w:szCs w:val="18"/>
              </w:rPr>
            </w:pPr>
            <w:r w:rsidRPr="00BF7527">
              <w:rPr>
                <w:rFonts w:ascii="VIC" w:eastAsia="Verdana" w:hAnsi="VIC"/>
                <w:color w:val="000000"/>
                <w:sz w:val="18"/>
                <w:szCs w:val="18"/>
              </w:rPr>
              <w:t>68 %</w:t>
            </w:r>
          </w:p>
        </w:tc>
        <w:tc>
          <w:tcPr>
            <w:tcW w:w="1524" w:type="dxa"/>
            <w:shd w:val="clear" w:color="auto" w:fill="BFCED6"/>
          </w:tcPr>
          <w:p w14:paraId="351B251C" w14:textId="16C48EAA" w:rsidR="0065124E" w:rsidRPr="007B08C1" w:rsidRDefault="0065124E" w:rsidP="0065124E">
            <w:pPr>
              <w:jc w:val="center"/>
              <w:rPr>
                <w:rFonts w:ascii="VIC" w:hAnsi="VIC"/>
                <w:sz w:val="18"/>
                <w:szCs w:val="18"/>
              </w:rPr>
            </w:pPr>
            <w:r w:rsidRPr="00BF7527">
              <w:rPr>
                <w:rFonts w:ascii="VIC" w:eastAsia="Verdana" w:hAnsi="VIC"/>
                <w:color w:val="000000"/>
                <w:sz w:val="18"/>
                <w:szCs w:val="18"/>
              </w:rPr>
              <w:t>1 %</w:t>
            </w:r>
          </w:p>
        </w:tc>
        <w:tc>
          <w:tcPr>
            <w:tcW w:w="1524" w:type="dxa"/>
            <w:shd w:val="clear" w:color="auto" w:fill="BFCED6"/>
          </w:tcPr>
          <w:p w14:paraId="6D6B6DB9" w14:textId="0DA1D405" w:rsidR="0065124E" w:rsidRPr="007B08C1" w:rsidRDefault="0065124E" w:rsidP="0065124E">
            <w:pPr>
              <w:jc w:val="center"/>
              <w:rPr>
                <w:rFonts w:ascii="VIC" w:hAnsi="VIC"/>
                <w:sz w:val="18"/>
                <w:szCs w:val="18"/>
              </w:rPr>
            </w:pPr>
            <w:r w:rsidRPr="00BF7527">
              <w:rPr>
                <w:rFonts w:ascii="VIC" w:eastAsia="Verdana" w:hAnsi="VIC"/>
                <w:color w:val="000000"/>
                <w:sz w:val="18"/>
                <w:szCs w:val="18"/>
              </w:rPr>
              <w:t>2.2</w:t>
            </w:r>
          </w:p>
        </w:tc>
      </w:tr>
      <w:tr w:rsidR="0065124E" w:rsidRPr="007B08C1" w14:paraId="4910B8ED" w14:textId="77777777" w:rsidTr="009D3084">
        <w:trPr>
          <w:trHeight w:val="454"/>
        </w:trPr>
        <w:tc>
          <w:tcPr>
            <w:tcW w:w="1570" w:type="dxa"/>
          </w:tcPr>
          <w:p w14:paraId="0EA589B0" w14:textId="4A5ACA7E" w:rsidR="0065124E" w:rsidRPr="007B08C1" w:rsidRDefault="0065124E" w:rsidP="0065124E">
            <w:pPr>
              <w:rPr>
                <w:rFonts w:ascii="VIC" w:hAnsi="VIC"/>
                <w:sz w:val="18"/>
                <w:szCs w:val="18"/>
              </w:rPr>
            </w:pPr>
            <w:r w:rsidRPr="00BF7527">
              <w:rPr>
                <w:rFonts w:ascii="VIC" w:eastAsia="Verdana" w:hAnsi="VIC"/>
                <w:color w:val="000000"/>
                <w:sz w:val="18"/>
                <w:szCs w:val="18"/>
              </w:rPr>
              <w:t>Goulburn Valley Health</w:t>
            </w:r>
          </w:p>
        </w:tc>
        <w:tc>
          <w:tcPr>
            <w:tcW w:w="1985" w:type="dxa"/>
          </w:tcPr>
          <w:p w14:paraId="7F9FDB08" w14:textId="492E4956" w:rsidR="0065124E" w:rsidRPr="007B08C1" w:rsidRDefault="0065124E" w:rsidP="0065124E">
            <w:pPr>
              <w:rPr>
                <w:rFonts w:ascii="VIC" w:hAnsi="VIC"/>
                <w:sz w:val="18"/>
                <w:szCs w:val="18"/>
              </w:rPr>
            </w:pPr>
            <w:r w:rsidRPr="00BF7527">
              <w:rPr>
                <w:rFonts w:ascii="VIC" w:eastAsia="Verdana" w:hAnsi="VIC"/>
                <w:color w:val="000000"/>
                <w:sz w:val="18"/>
                <w:szCs w:val="18"/>
              </w:rPr>
              <w:t>Goulburn &amp; Southern</w:t>
            </w:r>
          </w:p>
        </w:tc>
        <w:tc>
          <w:tcPr>
            <w:tcW w:w="1523" w:type="dxa"/>
          </w:tcPr>
          <w:p w14:paraId="32A2C7A8" w14:textId="0FC04E99" w:rsidR="0065124E" w:rsidRPr="007B08C1" w:rsidRDefault="0065124E" w:rsidP="0065124E">
            <w:pPr>
              <w:jc w:val="center"/>
              <w:rPr>
                <w:rFonts w:ascii="VIC" w:hAnsi="VIC"/>
                <w:sz w:val="18"/>
                <w:szCs w:val="18"/>
              </w:rPr>
            </w:pPr>
            <w:r w:rsidRPr="00BF7527">
              <w:rPr>
                <w:rFonts w:ascii="VIC" w:eastAsia="Verdana" w:hAnsi="VIC"/>
                <w:color w:val="000000"/>
                <w:sz w:val="18"/>
                <w:szCs w:val="18"/>
              </w:rPr>
              <w:t>44 %</w:t>
            </w:r>
          </w:p>
        </w:tc>
        <w:tc>
          <w:tcPr>
            <w:tcW w:w="1524" w:type="dxa"/>
          </w:tcPr>
          <w:p w14:paraId="29D2345A" w14:textId="5F93FBB4" w:rsidR="0065124E" w:rsidRPr="007B08C1" w:rsidRDefault="0065124E" w:rsidP="0065124E">
            <w:pPr>
              <w:jc w:val="center"/>
              <w:rPr>
                <w:rFonts w:ascii="VIC" w:hAnsi="VIC"/>
                <w:sz w:val="18"/>
                <w:szCs w:val="18"/>
              </w:rPr>
            </w:pPr>
            <w:r w:rsidRPr="00BF7527">
              <w:rPr>
                <w:rFonts w:ascii="VIC" w:eastAsia="Verdana" w:hAnsi="VIC"/>
                <w:color w:val="000000"/>
                <w:sz w:val="18"/>
                <w:szCs w:val="18"/>
              </w:rPr>
              <w:t>12.7</w:t>
            </w:r>
          </w:p>
        </w:tc>
        <w:tc>
          <w:tcPr>
            <w:tcW w:w="1524" w:type="dxa"/>
          </w:tcPr>
          <w:p w14:paraId="002F1CA4" w14:textId="4B2C041A" w:rsidR="0065124E" w:rsidRPr="007B08C1" w:rsidRDefault="0065124E" w:rsidP="0065124E">
            <w:pPr>
              <w:jc w:val="center"/>
              <w:rPr>
                <w:rFonts w:ascii="VIC" w:hAnsi="VIC"/>
                <w:sz w:val="18"/>
                <w:szCs w:val="18"/>
              </w:rPr>
            </w:pPr>
            <w:r w:rsidRPr="00BF7527">
              <w:rPr>
                <w:rFonts w:ascii="VIC" w:eastAsia="Verdana" w:hAnsi="VIC"/>
                <w:color w:val="000000"/>
                <w:sz w:val="18"/>
                <w:szCs w:val="18"/>
              </w:rPr>
              <w:t>3 %</w:t>
            </w:r>
          </w:p>
        </w:tc>
        <w:tc>
          <w:tcPr>
            <w:tcW w:w="1524" w:type="dxa"/>
          </w:tcPr>
          <w:p w14:paraId="2A6A7F0B" w14:textId="72A63FDF" w:rsidR="0065124E" w:rsidRPr="007B08C1" w:rsidRDefault="0065124E" w:rsidP="0065124E">
            <w:pPr>
              <w:jc w:val="center"/>
              <w:rPr>
                <w:rFonts w:ascii="VIC" w:hAnsi="VIC"/>
                <w:sz w:val="18"/>
                <w:szCs w:val="18"/>
              </w:rPr>
            </w:pPr>
            <w:r w:rsidRPr="00BF7527">
              <w:rPr>
                <w:rFonts w:ascii="VIC" w:eastAsia="Verdana" w:hAnsi="VIC"/>
                <w:color w:val="000000"/>
                <w:sz w:val="18"/>
                <w:szCs w:val="18"/>
              </w:rPr>
              <w:t>88 %</w:t>
            </w:r>
          </w:p>
        </w:tc>
        <w:tc>
          <w:tcPr>
            <w:tcW w:w="1523" w:type="dxa"/>
          </w:tcPr>
          <w:p w14:paraId="52989D11" w14:textId="6EED3376" w:rsidR="0065124E" w:rsidRPr="007B08C1" w:rsidRDefault="0065124E" w:rsidP="0065124E">
            <w:pPr>
              <w:jc w:val="center"/>
              <w:rPr>
                <w:rFonts w:ascii="VIC" w:hAnsi="VIC"/>
                <w:sz w:val="18"/>
                <w:szCs w:val="18"/>
              </w:rPr>
            </w:pPr>
            <w:r w:rsidRPr="00BF7527">
              <w:rPr>
                <w:rFonts w:ascii="VIC" w:eastAsia="Verdana" w:hAnsi="VIC"/>
                <w:color w:val="000000"/>
                <w:sz w:val="18"/>
                <w:szCs w:val="18"/>
              </w:rPr>
              <w:t>12.7</w:t>
            </w:r>
          </w:p>
        </w:tc>
        <w:tc>
          <w:tcPr>
            <w:tcW w:w="1524" w:type="dxa"/>
          </w:tcPr>
          <w:p w14:paraId="43CE75C2" w14:textId="1CDC33F9" w:rsidR="0065124E" w:rsidRPr="007B08C1" w:rsidRDefault="0065124E" w:rsidP="0065124E">
            <w:pPr>
              <w:jc w:val="center"/>
              <w:rPr>
                <w:rFonts w:ascii="VIC" w:hAnsi="VIC"/>
                <w:sz w:val="18"/>
                <w:szCs w:val="18"/>
              </w:rPr>
            </w:pPr>
            <w:r w:rsidRPr="00BF7527">
              <w:rPr>
                <w:rFonts w:ascii="VIC" w:eastAsia="Verdana" w:hAnsi="VIC"/>
                <w:color w:val="000000"/>
                <w:sz w:val="18"/>
                <w:szCs w:val="18"/>
              </w:rPr>
              <w:t>63 %</w:t>
            </w:r>
          </w:p>
        </w:tc>
        <w:tc>
          <w:tcPr>
            <w:tcW w:w="1524" w:type="dxa"/>
          </w:tcPr>
          <w:p w14:paraId="6288727C" w14:textId="46C2A5E8" w:rsidR="0065124E" w:rsidRPr="007B08C1" w:rsidRDefault="0065124E" w:rsidP="0065124E">
            <w:pPr>
              <w:jc w:val="center"/>
              <w:rPr>
                <w:rFonts w:ascii="VIC" w:hAnsi="VIC"/>
                <w:sz w:val="18"/>
                <w:szCs w:val="18"/>
              </w:rPr>
            </w:pPr>
            <w:r w:rsidRPr="00BF7527">
              <w:rPr>
                <w:rFonts w:ascii="VIC" w:eastAsia="Verdana" w:hAnsi="VIC"/>
                <w:color w:val="000000"/>
                <w:sz w:val="18"/>
                <w:szCs w:val="18"/>
              </w:rPr>
              <w:t>23 %</w:t>
            </w:r>
          </w:p>
        </w:tc>
        <w:tc>
          <w:tcPr>
            <w:tcW w:w="1524" w:type="dxa"/>
          </w:tcPr>
          <w:p w14:paraId="279CE52D" w14:textId="346395F1" w:rsidR="0065124E" w:rsidRPr="007B08C1" w:rsidRDefault="0065124E" w:rsidP="0065124E">
            <w:pPr>
              <w:jc w:val="center"/>
              <w:rPr>
                <w:rFonts w:ascii="VIC" w:hAnsi="VIC"/>
                <w:sz w:val="18"/>
                <w:szCs w:val="18"/>
              </w:rPr>
            </w:pPr>
            <w:r w:rsidRPr="00BF7527">
              <w:rPr>
                <w:rFonts w:ascii="VIC" w:eastAsia="Verdana" w:hAnsi="VIC"/>
                <w:color w:val="000000"/>
                <w:sz w:val="18"/>
                <w:szCs w:val="18"/>
              </w:rPr>
              <w:t>2.2</w:t>
            </w:r>
          </w:p>
        </w:tc>
      </w:tr>
      <w:tr w:rsidR="0065124E" w:rsidRPr="007B08C1" w14:paraId="0CD34972" w14:textId="77777777" w:rsidTr="009D3084">
        <w:trPr>
          <w:trHeight w:val="454"/>
        </w:trPr>
        <w:tc>
          <w:tcPr>
            <w:tcW w:w="1570" w:type="dxa"/>
            <w:shd w:val="clear" w:color="auto" w:fill="BFCED6"/>
          </w:tcPr>
          <w:p w14:paraId="2193442D" w14:textId="0ED27344" w:rsidR="0065124E" w:rsidRPr="007B08C1" w:rsidRDefault="0065124E" w:rsidP="0065124E">
            <w:pPr>
              <w:rPr>
                <w:rFonts w:ascii="VIC" w:hAnsi="VIC"/>
                <w:sz w:val="18"/>
                <w:szCs w:val="18"/>
              </w:rPr>
            </w:pPr>
            <w:r w:rsidRPr="00BF7527">
              <w:rPr>
                <w:rFonts w:ascii="VIC" w:eastAsia="Verdana" w:hAnsi="VIC"/>
                <w:color w:val="000000"/>
                <w:sz w:val="18"/>
                <w:szCs w:val="18"/>
              </w:rPr>
              <w:t>Latrobe Regional</w:t>
            </w:r>
          </w:p>
        </w:tc>
        <w:tc>
          <w:tcPr>
            <w:tcW w:w="1985" w:type="dxa"/>
            <w:shd w:val="clear" w:color="auto" w:fill="BFCED6"/>
          </w:tcPr>
          <w:p w14:paraId="29AB314A" w14:textId="2ABE2E96" w:rsidR="0065124E" w:rsidRPr="007B08C1" w:rsidRDefault="0065124E" w:rsidP="0065124E">
            <w:pPr>
              <w:rPr>
                <w:rFonts w:ascii="VIC" w:hAnsi="VIC"/>
                <w:sz w:val="18"/>
                <w:szCs w:val="18"/>
              </w:rPr>
            </w:pPr>
            <w:r w:rsidRPr="00BF7527">
              <w:rPr>
                <w:rFonts w:ascii="VIC" w:eastAsia="Verdana" w:hAnsi="VIC"/>
                <w:color w:val="000000"/>
                <w:sz w:val="18"/>
                <w:szCs w:val="18"/>
              </w:rPr>
              <w:t>Gippsland</w:t>
            </w:r>
          </w:p>
        </w:tc>
        <w:tc>
          <w:tcPr>
            <w:tcW w:w="1523" w:type="dxa"/>
            <w:shd w:val="clear" w:color="auto" w:fill="BFCED6"/>
          </w:tcPr>
          <w:p w14:paraId="278EAD8A" w14:textId="5D0E0130" w:rsidR="0065124E" w:rsidRPr="007B08C1" w:rsidRDefault="0065124E" w:rsidP="0065124E">
            <w:pPr>
              <w:jc w:val="center"/>
              <w:rPr>
                <w:rFonts w:ascii="VIC" w:hAnsi="VIC"/>
                <w:sz w:val="18"/>
                <w:szCs w:val="18"/>
              </w:rPr>
            </w:pPr>
            <w:r w:rsidRPr="00BF7527">
              <w:rPr>
                <w:rFonts w:ascii="VIC" w:eastAsia="Verdana" w:hAnsi="VIC"/>
                <w:color w:val="000000"/>
                <w:sz w:val="18"/>
                <w:szCs w:val="18"/>
              </w:rPr>
              <w:t>52 %</w:t>
            </w:r>
          </w:p>
        </w:tc>
        <w:tc>
          <w:tcPr>
            <w:tcW w:w="1524" w:type="dxa"/>
            <w:shd w:val="clear" w:color="auto" w:fill="BFCED6"/>
          </w:tcPr>
          <w:p w14:paraId="27A44FD1" w14:textId="7D508053" w:rsidR="0065124E" w:rsidRPr="007B08C1" w:rsidRDefault="0065124E" w:rsidP="0065124E">
            <w:pPr>
              <w:jc w:val="center"/>
              <w:rPr>
                <w:rFonts w:ascii="VIC" w:hAnsi="VIC"/>
                <w:sz w:val="18"/>
                <w:szCs w:val="18"/>
              </w:rPr>
            </w:pPr>
            <w:r w:rsidRPr="00BF7527">
              <w:rPr>
                <w:rFonts w:ascii="VIC" w:eastAsia="Verdana" w:hAnsi="VIC"/>
                <w:color w:val="000000"/>
                <w:sz w:val="18"/>
                <w:szCs w:val="18"/>
              </w:rPr>
              <w:t>9.1</w:t>
            </w:r>
          </w:p>
        </w:tc>
        <w:tc>
          <w:tcPr>
            <w:tcW w:w="1524" w:type="dxa"/>
            <w:shd w:val="clear" w:color="auto" w:fill="BFCED6"/>
          </w:tcPr>
          <w:p w14:paraId="6596BFBE" w14:textId="1457F3F4" w:rsidR="0065124E" w:rsidRPr="007B08C1" w:rsidRDefault="0065124E" w:rsidP="0065124E">
            <w:pPr>
              <w:jc w:val="center"/>
              <w:rPr>
                <w:rFonts w:ascii="VIC" w:hAnsi="VIC"/>
                <w:sz w:val="18"/>
                <w:szCs w:val="18"/>
              </w:rPr>
            </w:pPr>
            <w:r w:rsidRPr="00BF7527">
              <w:rPr>
                <w:rFonts w:ascii="VIC" w:eastAsia="Verdana" w:hAnsi="VIC"/>
                <w:color w:val="000000"/>
                <w:sz w:val="18"/>
                <w:szCs w:val="18"/>
              </w:rPr>
              <w:t>3 %</w:t>
            </w:r>
          </w:p>
        </w:tc>
        <w:tc>
          <w:tcPr>
            <w:tcW w:w="1524" w:type="dxa"/>
            <w:shd w:val="clear" w:color="auto" w:fill="BFCED6"/>
          </w:tcPr>
          <w:p w14:paraId="6346CC6A" w14:textId="0D369E9A" w:rsidR="0065124E" w:rsidRPr="007B08C1" w:rsidRDefault="0065124E" w:rsidP="0065124E">
            <w:pPr>
              <w:jc w:val="center"/>
              <w:rPr>
                <w:rFonts w:ascii="VIC" w:hAnsi="VIC"/>
                <w:sz w:val="18"/>
                <w:szCs w:val="18"/>
              </w:rPr>
            </w:pPr>
            <w:r w:rsidRPr="00BF7527">
              <w:rPr>
                <w:rFonts w:ascii="VIC" w:eastAsia="Verdana" w:hAnsi="VIC"/>
                <w:color w:val="000000"/>
                <w:sz w:val="18"/>
                <w:szCs w:val="18"/>
              </w:rPr>
              <w:t>95 %</w:t>
            </w:r>
          </w:p>
        </w:tc>
        <w:tc>
          <w:tcPr>
            <w:tcW w:w="1523" w:type="dxa"/>
            <w:shd w:val="clear" w:color="auto" w:fill="BFCED6"/>
          </w:tcPr>
          <w:p w14:paraId="2E1CEA08" w14:textId="036F2DF3" w:rsidR="0065124E" w:rsidRPr="007B08C1" w:rsidRDefault="0065124E" w:rsidP="0065124E">
            <w:pPr>
              <w:jc w:val="center"/>
              <w:rPr>
                <w:rFonts w:ascii="VIC" w:hAnsi="VIC"/>
                <w:sz w:val="18"/>
                <w:szCs w:val="18"/>
              </w:rPr>
            </w:pPr>
            <w:r w:rsidRPr="00BF7527">
              <w:rPr>
                <w:rFonts w:ascii="VIC" w:eastAsia="Verdana" w:hAnsi="VIC"/>
                <w:color w:val="000000"/>
                <w:sz w:val="18"/>
                <w:szCs w:val="18"/>
              </w:rPr>
              <w:t>17.7</w:t>
            </w:r>
          </w:p>
        </w:tc>
        <w:tc>
          <w:tcPr>
            <w:tcW w:w="1524" w:type="dxa"/>
            <w:shd w:val="clear" w:color="auto" w:fill="BFCED6"/>
          </w:tcPr>
          <w:p w14:paraId="264B017C" w14:textId="5B427900" w:rsidR="0065124E" w:rsidRPr="007B08C1" w:rsidRDefault="0065124E" w:rsidP="0065124E">
            <w:pPr>
              <w:jc w:val="center"/>
              <w:rPr>
                <w:rFonts w:ascii="VIC" w:hAnsi="VIC"/>
                <w:sz w:val="18"/>
                <w:szCs w:val="18"/>
              </w:rPr>
            </w:pPr>
            <w:r w:rsidRPr="00BF7527">
              <w:rPr>
                <w:rFonts w:ascii="VIC" w:eastAsia="Verdana" w:hAnsi="VIC"/>
                <w:color w:val="000000"/>
                <w:sz w:val="18"/>
                <w:szCs w:val="18"/>
              </w:rPr>
              <w:t>59 %</w:t>
            </w:r>
          </w:p>
        </w:tc>
        <w:tc>
          <w:tcPr>
            <w:tcW w:w="1524" w:type="dxa"/>
            <w:shd w:val="clear" w:color="auto" w:fill="BFCED6"/>
          </w:tcPr>
          <w:p w14:paraId="2684BDF3" w14:textId="2028D7E8" w:rsidR="0065124E" w:rsidRPr="007B08C1" w:rsidRDefault="0065124E" w:rsidP="0065124E">
            <w:pPr>
              <w:jc w:val="center"/>
              <w:rPr>
                <w:rFonts w:ascii="VIC" w:hAnsi="VIC"/>
                <w:sz w:val="18"/>
                <w:szCs w:val="18"/>
              </w:rPr>
            </w:pPr>
            <w:r w:rsidRPr="00BF7527">
              <w:rPr>
                <w:rFonts w:ascii="VIC" w:eastAsia="Verdana" w:hAnsi="VIC"/>
                <w:color w:val="000000"/>
                <w:sz w:val="18"/>
                <w:szCs w:val="18"/>
              </w:rPr>
              <w:t>6 %</w:t>
            </w:r>
          </w:p>
        </w:tc>
        <w:tc>
          <w:tcPr>
            <w:tcW w:w="1524" w:type="dxa"/>
            <w:shd w:val="clear" w:color="auto" w:fill="BFCED6"/>
          </w:tcPr>
          <w:p w14:paraId="4D77ED31" w14:textId="59EFB021" w:rsidR="0065124E" w:rsidRPr="007B08C1" w:rsidRDefault="0065124E" w:rsidP="0065124E">
            <w:pPr>
              <w:jc w:val="center"/>
              <w:rPr>
                <w:rFonts w:ascii="VIC" w:hAnsi="VIC"/>
                <w:sz w:val="18"/>
                <w:szCs w:val="18"/>
              </w:rPr>
            </w:pPr>
            <w:r w:rsidRPr="00BF7527">
              <w:rPr>
                <w:rFonts w:ascii="VIC" w:eastAsia="Verdana" w:hAnsi="VIC"/>
                <w:color w:val="000000"/>
                <w:sz w:val="18"/>
                <w:szCs w:val="18"/>
              </w:rPr>
              <w:t>1.6</w:t>
            </w:r>
          </w:p>
        </w:tc>
      </w:tr>
      <w:tr w:rsidR="0065124E" w:rsidRPr="007B08C1" w14:paraId="463AA333" w14:textId="77777777" w:rsidTr="009D3084">
        <w:trPr>
          <w:trHeight w:val="454"/>
        </w:trPr>
        <w:tc>
          <w:tcPr>
            <w:tcW w:w="1570" w:type="dxa"/>
            <w:shd w:val="clear" w:color="auto" w:fill="FFFFFF" w:themeFill="background1"/>
          </w:tcPr>
          <w:p w14:paraId="20B54952" w14:textId="76D82655" w:rsidR="0065124E" w:rsidRPr="007B08C1" w:rsidRDefault="0065124E" w:rsidP="0065124E">
            <w:pPr>
              <w:rPr>
                <w:rFonts w:ascii="VIC" w:hAnsi="VIC"/>
                <w:sz w:val="18"/>
                <w:szCs w:val="18"/>
              </w:rPr>
            </w:pPr>
            <w:r w:rsidRPr="00BF7527">
              <w:rPr>
                <w:rFonts w:ascii="VIC" w:eastAsia="Verdana" w:hAnsi="VIC"/>
                <w:color w:val="000000"/>
                <w:sz w:val="18"/>
                <w:szCs w:val="18"/>
              </w:rPr>
              <w:t>Mildura Base Hospital</w:t>
            </w:r>
          </w:p>
        </w:tc>
        <w:tc>
          <w:tcPr>
            <w:tcW w:w="1985" w:type="dxa"/>
            <w:shd w:val="clear" w:color="auto" w:fill="FFFFFF" w:themeFill="background1"/>
          </w:tcPr>
          <w:p w14:paraId="65CA9D63" w14:textId="0080F5BB" w:rsidR="0065124E" w:rsidRPr="007B08C1" w:rsidRDefault="0065124E" w:rsidP="0065124E">
            <w:pPr>
              <w:rPr>
                <w:rFonts w:ascii="VIC" w:hAnsi="VIC"/>
                <w:sz w:val="18"/>
                <w:szCs w:val="18"/>
              </w:rPr>
            </w:pPr>
            <w:r w:rsidRPr="00BF7527">
              <w:rPr>
                <w:rFonts w:ascii="VIC" w:eastAsia="Verdana" w:hAnsi="VIC"/>
                <w:color w:val="000000"/>
                <w:sz w:val="18"/>
                <w:szCs w:val="18"/>
              </w:rPr>
              <w:t>Northern Mallee</w:t>
            </w:r>
          </w:p>
        </w:tc>
        <w:tc>
          <w:tcPr>
            <w:tcW w:w="1523" w:type="dxa"/>
            <w:shd w:val="clear" w:color="auto" w:fill="FFFFFF" w:themeFill="background1"/>
          </w:tcPr>
          <w:p w14:paraId="2904CD90" w14:textId="6E5FBDEE" w:rsidR="0065124E" w:rsidRPr="007B08C1" w:rsidRDefault="0065124E" w:rsidP="0065124E">
            <w:pPr>
              <w:jc w:val="center"/>
              <w:rPr>
                <w:rFonts w:ascii="VIC" w:hAnsi="VIC"/>
                <w:sz w:val="18"/>
                <w:szCs w:val="18"/>
              </w:rPr>
            </w:pPr>
            <w:r w:rsidRPr="00BF7527">
              <w:rPr>
                <w:rFonts w:ascii="VIC" w:eastAsia="Verdana" w:hAnsi="VIC"/>
                <w:color w:val="000000"/>
                <w:sz w:val="18"/>
                <w:szCs w:val="18"/>
              </w:rPr>
              <w:t>31 %</w:t>
            </w:r>
          </w:p>
        </w:tc>
        <w:tc>
          <w:tcPr>
            <w:tcW w:w="1524" w:type="dxa"/>
            <w:shd w:val="clear" w:color="auto" w:fill="FFFFFF" w:themeFill="background1"/>
          </w:tcPr>
          <w:p w14:paraId="384EC4AF" w14:textId="6A0639BD" w:rsidR="0065124E" w:rsidRPr="007B08C1" w:rsidRDefault="0065124E" w:rsidP="0065124E">
            <w:pPr>
              <w:jc w:val="center"/>
              <w:rPr>
                <w:rFonts w:ascii="VIC" w:hAnsi="VIC"/>
                <w:sz w:val="18"/>
                <w:szCs w:val="18"/>
              </w:rPr>
            </w:pPr>
            <w:r w:rsidRPr="00BF7527">
              <w:rPr>
                <w:rFonts w:ascii="VIC" w:eastAsia="Verdana" w:hAnsi="VIC"/>
                <w:color w:val="000000"/>
                <w:sz w:val="18"/>
                <w:szCs w:val="18"/>
              </w:rPr>
              <w:t>15.3</w:t>
            </w:r>
          </w:p>
        </w:tc>
        <w:tc>
          <w:tcPr>
            <w:tcW w:w="1524" w:type="dxa"/>
            <w:shd w:val="clear" w:color="auto" w:fill="FFFFFF" w:themeFill="background1"/>
          </w:tcPr>
          <w:p w14:paraId="40DC5054" w14:textId="0BE1EACB" w:rsidR="0065124E" w:rsidRPr="007B08C1" w:rsidRDefault="0065124E" w:rsidP="0065124E">
            <w:pPr>
              <w:jc w:val="center"/>
              <w:rPr>
                <w:rFonts w:ascii="VIC" w:hAnsi="VIC"/>
                <w:sz w:val="18"/>
                <w:szCs w:val="18"/>
              </w:rPr>
            </w:pPr>
            <w:r w:rsidRPr="00BF7527">
              <w:rPr>
                <w:rFonts w:ascii="VIC" w:eastAsia="Verdana" w:hAnsi="VIC"/>
                <w:color w:val="000000"/>
                <w:sz w:val="18"/>
                <w:szCs w:val="18"/>
              </w:rPr>
              <w:t>4 %</w:t>
            </w:r>
          </w:p>
        </w:tc>
        <w:tc>
          <w:tcPr>
            <w:tcW w:w="1524" w:type="dxa"/>
            <w:shd w:val="clear" w:color="auto" w:fill="FFFFFF" w:themeFill="background1"/>
          </w:tcPr>
          <w:p w14:paraId="5F028FCA" w14:textId="74F92D22" w:rsidR="0065124E" w:rsidRPr="007B08C1" w:rsidRDefault="0065124E" w:rsidP="0065124E">
            <w:pPr>
              <w:jc w:val="center"/>
              <w:rPr>
                <w:rFonts w:ascii="VIC" w:hAnsi="VIC"/>
                <w:sz w:val="18"/>
                <w:szCs w:val="18"/>
              </w:rPr>
            </w:pPr>
            <w:r w:rsidRPr="00BF7527">
              <w:rPr>
                <w:rFonts w:ascii="VIC" w:eastAsia="Verdana" w:hAnsi="VIC"/>
                <w:color w:val="000000"/>
                <w:sz w:val="18"/>
                <w:szCs w:val="18"/>
              </w:rPr>
              <w:t>83 %</w:t>
            </w:r>
          </w:p>
        </w:tc>
        <w:tc>
          <w:tcPr>
            <w:tcW w:w="1523" w:type="dxa"/>
            <w:shd w:val="clear" w:color="auto" w:fill="FFFFFF" w:themeFill="background1"/>
          </w:tcPr>
          <w:p w14:paraId="00531A18" w14:textId="164564D2" w:rsidR="0065124E" w:rsidRPr="007B08C1" w:rsidRDefault="0065124E" w:rsidP="0065124E">
            <w:pPr>
              <w:jc w:val="center"/>
              <w:rPr>
                <w:rFonts w:ascii="VIC" w:hAnsi="VIC"/>
                <w:sz w:val="18"/>
                <w:szCs w:val="18"/>
              </w:rPr>
            </w:pPr>
            <w:r w:rsidRPr="00BF7527">
              <w:rPr>
                <w:rFonts w:ascii="VIC" w:eastAsia="Verdana" w:hAnsi="VIC"/>
                <w:color w:val="000000"/>
                <w:sz w:val="18"/>
                <w:szCs w:val="18"/>
              </w:rPr>
              <w:t>9.9</w:t>
            </w:r>
          </w:p>
        </w:tc>
        <w:tc>
          <w:tcPr>
            <w:tcW w:w="1524" w:type="dxa"/>
            <w:shd w:val="clear" w:color="auto" w:fill="FFFFFF" w:themeFill="background1"/>
          </w:tcPr>
          <w:p w14:paraId="0F1CB8CE" w14:textId="7F397C51" w:rsidR="0065124E" w:rsidRPr="007B08C1" w:rsidRDefault="0065124E" w:rsidP="0065124E">
            <w:pPr>
              <w:jc w:val="center"/>
              <w:rPr>
                <w:rFonts w:ascii="VIC" w:hAnsi="VIC"/>
                <w:sz w:val="18"/>
                <w:szCs w:val="18"/>
              </w:rPr>
            </w:pPr>
            <w:r w:rsidRPr="00BF7527">
              <w:rPr>
                <w:rFonts w:ascii="VIC" w:eastAsia="Verdana" w:hAnsi="VIC"/>
                <w:color w:val="000000"/>
                <w:sz w:val="18"/>
                <w:szCs w:val="18"/>
              </w:rPr>
              <w:t>69 %</w:t>
            </w:r>
          </w:p>
        </w:tc>
        <w:tc>
          <w:tcPr>
            <w:tcW w:w="1524" w:type="dxa"/>
            <w:shd w:val="clear" w:color="auto" w:fill="FFFFFF" w:themeFill="background1"/>
          </w:tcPr>
          <w:p w14:paraId="5BEA5F26" w14:textId="5B6319D3" w:rsidR="0065124E" w:rsidRPr="007B08C1" w:rsidRDefault="0065124E" w:rsidP="0065124E">
            <w:pPr>
              <w:jc w:val="center"/>
              <w:rPr>
                <w:rFonts w:ascii="VIC" w:hAnsi="VIC"/>
                <w:sz w:val="18"/>
                <w:szCs w:val="18"/>
              </w:rPr>
            </w:pPr>
            <w:r w:rsidRPr="00BF7527">
              <w:rPr>
                <w:rFonts w:ascii="VIC" w:eastAsia="Verdana" w:hAnsi="VIC"/>
                <w:color w:val="000000"/>
                <w:sz w:val="18"/>
                <w:szCs w:val="18"/>
              </w:rPr>
              <w:t>19 %</w:t>
            </w:r>
          </w:p>
        </w:tc>
        <w:tc>
          <w:tcPr>
            <w:tcW w:w="1524" w:type="dxa"/>
            <w:shd w:val="clear" w:color="auto" w:fill="FFFFFF" w:themeFill="background1"/>
          </w:tcPr>
          <w:p w14:paraId="4951125F" w14:textId="03E28ACC" w:rsidR="0065124E" w:rsidRPr="007B08C1" w:rsidRDefault="0065124E" w:rsidP="0065124E">
            <w:pPr>
              <w:jc w:val="center"/>
              <w:rPr>
                <w:rFonts w:ascii="VIC" w:hAnsi="VIC"/>
                <w:sz w:val="18"/>
                <w:szCs w:val="18"/>
              </w:rPr>
            </w:pPr>
            <w:r w:rsidRPr="00BF7527">
              <w:rPr>
                <w:rFonts w:ascii="VIC" w:eastAsia="Verdana" w:hAnsi="VIC"/>
                <w:color w:val="000000"/>
                <w:sz w:val="18"/>
                <w:szCs w:val="18"/>
              </w:rPr>
              <w:t>2.1</w:t>
            </w:r>
          </w:p>
        </w:tc>
      </w:tr>
      <w:tr w:rsidR="0065124E" w:rsidRPr="007B08C1" w14:paraId="6E2BAAB5" w14:textId="77777777" w:rsidTr="009D3084">
        <w:trPr>
          <w:trHeight w:val="454"/>
        </w:trPr>
        <w:tc>
          <w:tcPr>
            <w:tcW w:w="1570" w:type="dxa"/>
            <w:vMerge w:val="restart"/>
            <w:shd w:val="clear" w:color="auto" w:fill="BFCED6"/>
          </w:tcPr>
          <w:p w14:paraId="5293A974" w14:textId="2A46C6BE" w:rsidR="0065124E" w:rsidRPr="007B08C1" w:rsidRDefault="0065124E" w:rsidP="0065124E">
            <w:pPr>
              <w:rPr>
                <w:rFonts w:ascii="VIC" w:hAnsi="VIC"/>
                <w:sz w:val="18"/>
                <w:szCs w:val="18"/>
              </w:rPr>
            </w:pPr>
            <w:r w:rsidRPr="00BF7527">
              <w:rPr>
                <w:rFonts w:ascii="VIC" w:eastAsia="Verdana" w:hAnsi="VIC"/>
                <w:color w:val="000000"/>
                <w:sz w:val="18"/>
                <w:szCs w:val="18"/>
              </w:rPr>
              <w:t>Albury Wodonga Health</w:t>
            </w:r>
          </w:p>
        </w:tc>
        <w:tc>
          <w:tcPr>
            <w:tcW w:w="1985" w:type="dxa"/>
            <w:shd w:val="clear" w:color="auto" w:fill="BFCED6"/>
          </w:tcPr>
          <w:p w14:paraId="05D89D63" w14:textId="43593B48" w:rsidR="0065124E" w:rsidRPr="007B08C1" w:rsidRDefault="0065124E" w:rsidP="0065124E">
            <w:pPr>
              <w:rPr>
                <w:rFonts w:ascii="VIC" w:hAnsi="VIC"/>
                <w:sz w:val="18"/>
                <w:szCs w:val="18"/>
              </w:rPr>
            </w:pPr>
            <w:r w:rsidRPr="00BF7527">
              <w:rPr>
                <w:rFonts w:ascii="VIC" w:eastAsia="Verdana" w:hAnsi="VIC"/>
                <w:color w:val="000000"/>
                <w:sz w:val="18"/>
                <w:szCs w:val="18"/>
              </w:rPr>
              <w:t>Albury - NSW</w:t>
            </w:r>
          </w:p>
        </w:tc>
        <w:tc>
          <w:tcPr>
            <w:tcW w:w="1523" w:type="dxa"/>
            <w:shd w:val="clear" w:color="auto" w:fill="BFCED6"/>
          </w:tcPr>
          <w:p w14:paraId="621A9510" w14:textId="51441218" w:rsidR="0065124E" w:rsidRPr="007B08C1" w:rsidRDefault="0065124E" w:rsidP="0065124E">
            <w:pPr>
              <w:jc w:val="center"/>
              <w:rPr>
                <w:rFonts w:ascii="VIC" w:hAnsi="VIC"/>
                <w:sz w:val="18"/>
                <w:szCs w:val="18"/>
              </w:rPr>
            </w:pPr>
            <w:r w:rsidRPr="00BF7527">
              <w:rPr>
                <w:rFonts w:ascii="VIC" w:eastAsia="Verdana" w:hAnsi="VIC"/>
                <w:color w:val="000000"/>
                <w:sz w:val="18"/>
                <w:szCs w:val="18"/>
              </w:rPr>
              <w:t>48 %</w:t>
            </w:r>
          </w:p>
        </w:tc>
        <w:tc>
          <w:tcPr>
            <w:tcW w:w="1524" w:type="dxa"/>
            <w:shd w:val="clear" w:color="auto" w:fill="BFCED6"/>
          </w:tcPr>
          <w:p w14:paraId="30D56633" w14:textId="3B7713DC" w:rsidR="0065124E" w:rsidRPr="007B08C1" w:rsidRDefault="0065124E" w:rsidP="0065124E">
            <w:pPr>
              <w:jc w:val="center"/>
              <w:rPr>
                <w:rFonts w:ascii="VIC" w:hAnsi="VIC"/>
                <w:sz w:val="18"/>
                <w:szCs w:val="18"/>
              </w:rPr>
            </w:pPr>
            <w:r w:rsidRPr="00BF7527">
              <w:rPr>
                <w:rFonts w:ascii="VIC" w:eastAsia="Verdana" w:hAnsi="VIC"/>
                <w:color w:val="000000"/>
                <w:sz w:val="18"/>
                <w:szCs w:val="18"/>
              </w:rPr>
              <w:t>4.8</w:t>
            </w:r>
          </w:p>
        </w:tc>
        <w:tc>
          <w:tcPr>
            <w:tcW w:w="1524" w:type="dxa"/>
            <w:shd w:val="clear" w:color="auto" w:fill="BFCED6"/>
          </w:tcPr>
          <w:p w14:paraId="05BE6EC6" w14:textId="6241C366" w:rsidR="0065124E" w:rsidRPr="007B08C1" w:rsidRDefault="0065124E" w:rsidP="0065124E">
            <w:pPr>
              <w:jc w:val="center"/>
              <w:rPr>
                <w:rFonts w:ascii="VIC" w:hAnsi="VIC"/>
                <w:sz w:val="18"/>
                <w:szCs w:val="18"/>
              </w:rPr>
            </w:pPr>
            <w:r w:rsidRPr="00BF7527">
              <w:rPr>
                <w:rFonts w:ascii="VIC" w:eastAsia="Verdana" w:hAnsi="VIC"/>
                <w:color w:val="000000"/>
                <w:sz w:val="18"/>
                <w:szCs w:val="18"/>
              </w:rPr>
              <w:t>0 %</w:t>
            </w:r>
          </w:p>
        </w:tc>
        <w:tc>
          <w:tcPr>
            <w:tcW w:w="1524" w:type="dxa"/>
            <w:shd w:val="clear" w:color="auto" w:fill="BFCED6"/>
          </w:tcPr>
          <w:p w14:paraId="75AC56E7" w14:textId="0FF21027" w:rsidR="0065124E" w:rsidRPr="007B08C1" w:rsidRDefault="0065124E" w:rsidP="0065124E">
            <w:pPr>
              <w:jc w:val="center"/>
              <w:rPr>
                <w:rFonts w:ascii="VIC" w:hAnsi="VIC"/>
                <w:sz w:val="18"/>
                <w:szCs w:val="18"/>
              </w:rPr>
            </w:pPr>
            <w:r w:rsidRPr="00BF7527">
              <w:rPr>
                <w:rFonts w:ascii="VIC" w:eastAsia="Verdana" w:hAnsi="VIC"/>
                <w:color w:val="000000"/>
                <w:sz w:val="18"/>
                <w:szCs w:val="18"/>
              </w:rPr>
              <w:t>58 %</w:t>
            </w:r>
          </w:p>
        </w:tc>
        <w:tc>
          <w:tcPr>
            <w:tcW w:w="1523" w:type="dxa"/>
            <w:shd w:val="clear" w:color="auto" w:fill="BFCED6"/>
          </w:tcPr>
          <w:p w14:paraId="6F8EC5DD" w14:textId="54625174" w:rsidR="0065124E" w:rsidRPr="007B08C1" w:rsidRDefault="0065124E" w:rsidP="0065124E">
            <w:pPr>
              <w:jc w:val="center"/>
              <w:rPr>
                <w:rFonts w:ascii="VIC" w:hAnsi="VIC"/>
                <w:sz w:val="18"/>
                <w:szCs w:val="18"/>
              </w:rPr>
            </w:pPr>
            <w:r w:rsidRPr="00BF7527">
              <w:rPr>
                <w:rFonts w:ascii="VIC" w:eastAsia="Verdana" w:hAnsi="VIC"/>
                <w:color w:val="000000"/>
                <w:sz w:val="18"/>
                <w:szCs w:val="18"/>
              </w:rPr>
              <w:t>15.5</w:t>
            </w:r>
          </w:p>
        </w:tc>
        <w:tc>
          <w:tcPr>
            <w:tcW w:w="1524" w:type="dxa"/>
            <w:shd w:val="clear" w:color="auto" w:fill="BFCED6"/>
          </w:tcPr>
          <w:p w14:paraId="5349A97E" w14:textId="5ADBAC33" w:rsidR="0065124E" w:rsidRPr="007B08C1" w:rsidRDefault="0065124E" w:rsidP="0065124E">
            <w:pPr>
              <w:jc w:val="center"/>
              <w:rPr>
                <w:rFonts w:ascii="VIC" w:hAnsi="VIC"/>
                <w:sz w:val="18"/>
                <w:szCs w:val="18"/>
              </w:rPr>
            </w:pPr>
            <w:r w:rsidRPr="00BF7527">
              <w:rPr>
                <w:rFonts w:ascii="VIC" w:eastAsia="Verdana" w:hAnsi="VIC"/>
                <w:color w:val="000000"/>
                <w:sz w:val="18"/>
                <w:szCs w:val="18"/>
              </w:rPr>
              <w:t>68 %</w:t>
            </w:r>
          </w:p>
        </w:tc>
        <w:tc>
          <w:tcPr>
            <w:tcW w:w="1524" w:type="dxa"/>
            <w:shd w:val="clear" w:color="auto" w:fill="BFCED6"/>
          </w:tcPr>
          <w:p w14:paraId="4BF82A81" w14:textId="386A114C" w:rsidR="0065124E" w:rsidRPr="007B08C1" w:rsidRDefault="0065124E" w:rsidP="0065124E">
            <w:pPr>
              <w:jc w:val="center"/>
              <w:rPr>
                <w:rFonts w:ascii="VIC" w:hAnsi="VIC"/>
                <w:sz w:val="18"/>
                <w:szCs w:val="18"/>
              </w:rPr>
            </w:pPr>
            <w:r w:rsidRPr="00BF7527">
              <w:rPr>
                <w:rFonts w:ascii="VIC" w:eastAsia="Verdana" w:hAnsi="VIC"/>
                <w:color w:val="000000"/>
                <w:sz w:val="18"/>
                <w:szCs w:val="18"/>
              </w:rPr>
              <w:t>6 %</w:t>
            </w:r>
          </w:p>
        </w:tc>
        <w:tc>
          <w:tcPr>
            <w:tcW w:w="1524" w:type="dxa"/>
            <w:shd w:val="clear" w:color="auto" w:fill="BFCED6"/>
          </w:tcPr>
          <w:p w14:paraId="0A8367A4" w14:textId="5826523F" w:rsidR="0065124E" w:rsidRPr="007B08C1" w:rsidRDefault="0065124E" w:rsidP="0065124E">
            <w:pPr>
              <w:jc w:val="center"/>
              <w:rPr>
                <w:rFonts w:ascii="VIC" w:hAnsi="VIC"/>
                <w:sz w:val="18"/>
                <w:szCs w:val="18"/>
              </w:rPr>
            </w:pPr>
            <w:r w:rsidRPr="00BF7527">
              <w:rPr>
                <w:rFonts w:ascii="VIC" w:eastAsia="Verdana" w:hAnsi="VIC"/>
                <w:color w:val="000000"/>
                <w:sz w:val="18"/>
                <w:szCs w:val="18"/>
              </w:rPr>
              <w:t>2.0</w:t>
            </w:r>
          </w:p>
        </w:tc>
      </w:tr>
      <w:tr w:rsidR="0065124E" w:rsidRPr="007B08C1" w14:paraId="3603131E" w14:textId="77777777" w:rsidTr="009D3084">
        <w:trPr>
          <w:trHeight w:val="454"/>
        </w:trPr>
        <w:tc>
          <w:tcPr>
            <w:tcW w:w="1570" w:type="dxa"/>
            <w:vMerge/>
            <w:shd w:val="clear" w:color="auto" w:fill="BFCED6"/>
          </w:tcPr>
          <w:p w14:paraId="529F59F7" w14:textId="77777777" w:rsidR="0065124E" w:rsidRPr="00625339" w:rsidRDefault="0065124E" w:rsidP="0065124E">
            <w:pPr>
              <w:rPr>
                <w:rFonts w:ascii="VIC" w:eastAsia="Verdana" w:hAnsi="VIC"/>
                <w:color w:val="000000"/>
                <w:sz w:val="18"/>
              </w:rPr>
            </w:pPr>
          </w:p>
        </w:tc>
        <w:tc>
          <w:tcPr>
            <w:tcW w:w="1985" w:type="dxa"/>
            <w:shd w:val="clear" w:color="auto" w:fill="BFCED6"/>
          </w:tcPr>
          <w:p w14:paraId="464B3D82" w14:textId="708A6D7B" w:rsidR="0065124E" w:rsidRPr="00625339" w:rsidRDefault="0065124E" w:rsidP="0065124E">
            <w:pPr>
              <w:rPr>
                <w:rFonts w:ascii="VIC" w:eastAsia="Verdana" w:hAnsi="VIC"/>
                <w:color w:val="000000"/>
                <w:sz w:val="18"/>
              </w:rPr>
            </w:pPr>
            <w:r w:rsidRPr="00BF7527">
              <w:rPr>
                <w:rFonts w:ascii="VIC" w:eastAsia="Verdana" w:hAnsi="VIC"/>
                <w:color w:val="000000"/>
                <w:sz w:val="18"/>
                <w:szCs w:val="18"/>
              </w:rPr>
              <w:t>North East &amp; Border</w:t>
            </w:r>
          </w:p>
        </w:tc>
        <w:tc>
          <w:tcPr>
            <w:tcW w:w="1523" w:type="dxa"/>
            <w:shd w:val="clear" w:color="auto" w:fill="BFCED6"/>
          </w:tcPr>
          <w:p w14:paraId="4F8389D4" w14:textId="0996F65B" w:rsidR="0065124E" w:rsidRPr="007B08C1" w:rsidRDefault="0065124E" w:rsidP="0065124E">
            <w:pPr>
              <w:jc w:val="center"/>
              <w:rPr>
                <w:rFonts w:ascii="VIC" w:hAnsi="VIC"/>
                <w:sz w:val="18"/>
                <w:szCs w:val="18"/>
              </w:rPr>
            </w:pPr>
            <w:r w:rsidRPr="00BF7527">
              <w:rPr>
                <w:rFonts w:ascii="VIC" w:eastAsia="Verdana" w:hAnsi="VIC"/>
                <w:color w:val="000000"/>
                <w:sz w:val="18"/>
                <w:szCs w:val="18"/>
              </w:rPr>
              <w:t>51 %</w:t>
            </w:r>
          </w:p>
        </w:tc>
        <w:tc>
          <w:tcPr>
            <w:tcW w:w="1524" w:type="dxa"/>
            <w:shd w:val="clear" w:color="auto" w:fill="BFCED6"/>
          </w:tcPr>
          <w:p w14:paraId="044B6F8C" w14:textId="7F75BF78" w:rsidR="0065124E" w:rsidRPr="007B08C1" w:rsidRDefault="0065124E" w:rsidP="0065124E">
            <w:pPr>
              <w:jc w:val="center"/>
              <w:rPr>
                <w:rFonts w:ascii="VIC" w:hAnsi="VIC"/>
                <w:sz w:val="18"/>
                <w:szCs w:val="18"/>
              </w:rPr>
            </w:pPr>
            <w:r w:rsidRPr="00BF7527">
              <w:rPr>
                <w:rFonts w:ascii="VIC" w:eastAsia="Verdana" w:hAnsi="VIC"/>
                <w:color w:val="000000"/>
                <w:sz w:val="18"/>
                <w:szCs w:val="18"/>
              </w:rPr>
              <w:t>4.8</w:t>
            </w:r>
          </w:p>
        </w:tc>
        <w:tc>
          <w:tcPr>
            <w:tcW w:w="1524" w:type="dxa"/>
            <w:shd w:val="clear" w:color="auto" w:fill="BFCED6"/>
          </w:tcPr>
          <w:p w14:paraId="5D03060E" w14:textId="633F6A8F" w:rsidR="0065124E" w:rsidRPr="007B08C1" w:rsidRDefault="0065124E" w:rsidP="0065124E">
            <w:pPr>
              <w:jc w:val="center"/>
              <w:rPr>
                <w:rFonts w:ascii="VIC" w:hAnsi="VIC"/>
                <w:sz w:val="18"/>
                <w:szCs w:val="18"/>
              </w:rPr>
            </w:pPr>
            <w:r w:rsidRPr="00BF7527">
              <w:rPr>
                <w:rFonts w:ascii="VIC" w:eastAsia="Verdana" w:hAnsi="VIC"/>
                <w:color w:val="000000"/>
                <w:sz w:val="18"/>
                <w:szCs w:val="18"/>
              </w:rPr>
              <w:t>1 %</w:t>
            </w:r>
          </w:p>
        </w:tc>
        <w:tc>
          <w:tcPr>
            <w:tcW w:w="1524" w:type="dxa"/>
            <w:shd w:val="clear" w:color="auto" w:fill="BFCED6"/>
          </w:tcPr>
          <w:p w14:paraId="580C29C4" w14:textId="12E7D57B" w:rsidR="0065124E" w:rsidRPr="007B08C1" w:rsidRDefault="0065124E" w:rsidP="0065124E">
            <w:pPr>
              <w:jc w:val="center"/>
              <w:rPr>
                <w:rFonts w:ascii="VIC" w:hAnsi="VIC"/>
                <w:sz w:val="18"/>
                <w:szCs w:val="18"/>
              </w:rPr>
            </w:pPr>
            <w:r w:rsidRPr="00BF7527">
              <w:rPr>
                <w:rFonts w:ascii="VIC" w:eastAsia="Verdana" w:hAnsi="VIC"/>
                <w:color w:val="000000"/>
                <w:sz w:val="18"/>
                <w:szCs w:val="18"/>
              </w:rPr>
              <w:t>73 %</w:t>
            </w:r>
          </w:p>
        </w:tc>
        <w:tc>
          <w:tcPr>
            <w:tcW w:w="1523" w:type="dxa"/>
            <w:shd w:val="clear" w:color="auto" w:fill="BFCED6"/>
          </w:tcPr>
          <w:p w14:paraId="65AB2682" w14:textId="62F587E1" w:rsidR="0065124E" w:rsidRPr="007B08C1" w:rsidRDefault="0065124E" w:rsidP="0065124E">
            <w:pPr>
              <w:jc w:val="center"/>
              <w:rPr>
                <w:rFonts w:ascii="VIC" w:hAnsi="VIC"/>
                <w:sz w:val="18"/>
                <w:szCs w:val="18"/>
              </w:rPr>
            </w:pPr>
            <w:r w:rsidRPr="00BF7527">
              <w:rPr>
                <w:rFonts w:ascii="VIC" w:eastAsia="Verdana" w:hAnsi="VIC"/>
                <w:color w:val="000000"/>
                <w:sz w:val="18"/>
                <w:szCs w:val="18"/>
              </w:rPr>
              <w:t>11.3</w:t>
            </w:r>
          </w:p>
        </w:tc>
        <w:tc>
          <w:tcPr>
            <w:tcW w:w="1524" w:type="dxa"/>
            <w:shd w:val="clear" w:color="auto" w:fill="BFCED6"/>
          </w:tcPr>
          <w:p w14:paraId="71F12F0D" w14:textId="006AA56C" w:rsidR="0065124E" w:rsidRPr="007B08C1" w:rsidRDefault="0065124E" w:rsidP="0065124E">
            <w:pPr>
              <w:jc w:val="center"/>
              <w:rPr>
                <w:rFonts w:ascii="VIC" w:hAnsi="VIC"/>
                <w:sz w:val="18"/>
                <w:szCs w:val="18"/>
              </w:rPr>
            </w:pPr>
            <w:r w:rsidRPr="00BF7527">
              <w:rPr>
                <w:rFonts w:ascii="VIC" w:eastAsia="Verdana" w:hAnsi="VIC"/>
                <w:color w:val="000000"/>
                <w:sz w:val="18"/>
                <w:szCs w:val="18"/>
              </w:rPr>
              <w:t>50 %</w:t>
            </w:r>
          </w:p>
        </w:tc>
        <w:tc>
          <w:tcPr>
            <w:tcW w:w="1524" w:type="dxa"/>
            <w:shd w:val="clear" w:color="auto" w:fill="BFCED6"/>
          </w:tcPr>
          <w:p w14:paraId="4CA70028" w14:textId="1658DC2E" w:rsidR="0065124E" w:rsidRPr="007B08C1" w:rsidRDefault="0065124E" w:rsidP="0065124E">
            <w:pPr>
              <w:jc w:val="center"/>
              <w:rPr>
                <w:rFonts w:ascii="VIC" w:hAnsi="VIC"/>
                <w:sz w:val="18"/>
                <w:szCs w:val="18"/>
              </w:rPr>
            </w:pPr>
            <w:r w:rsidRPr="00BF7527">
              <w:rPr>
                <w:rFonts w:ascii="VIC" w:eastAsia="Verdana" w:hAnsi="VIC"/>
                <w:color w:val="000000"/>
                <w:sz w:val="18"/>
                <w:szCs w:val="18"/>
              </w:rPr>
              <w:t>0 %</w:t>
            </w:r>
          </w:p>
        </w:tc>
        <w:tc>
          <w:tcPr>
            <w:tcW w:w="1524" w:type="dxa"/>
            <w:shd w:val="clear" w:color="auto" w:fill="BFCED6"/>
          </w:tcPr>
          <w:p w14:paraId="3DBDD0E1" w14:textId="6A03902D" w:rsidR="0065124E" w:rsidRPr="007B08C1" w:rsidRDefault="0065124E" w:rsidP="0065124E">
            <w:pPr>
              <w:jc w:val="center"/>
              <w:rPr>
                <w:rFonts w:ascii="VIC" w:hAnsi="VIC"/>
                <w:sz w:val="18"/>
                <w:szCs w:val="18"/>
              </w:rPr>
            </w:pPr>
            <w:r w:rsidRPr="00BF7527">
              <w:rPr>
                <w:rFonts w:ascii="VIC" w:eastAsia="Verdana" w:hAnsi="VIC"/>
                <w:color w:val="000000"/>
                <w:sz w:val="18"/>
                <w:szCs w:val="18"/>
              </w:rPr>
              <w:t>1.5</w:t>
            </w:r>
          </w:p>
        </w:tc>
      </w:tr>
      <w:tr w:rsidR="0065124E" w:rsidRPr="007B08C1" w14:paraId="607575D5" w14:textId="77777777" w:rsidTr="009D3084">
        <w:trPr>
          <w:trHeight w:val="454"/>
        </w:trPr>
        <w:tc>
          <w:tcPr>
            <w:tcW w:w="1570" w:type="dxa"/>
            <w:vMerge/>
            <w:shd w:val="clear" w:color="auto" w:fill="BFCED6"/>
          </w:tcPr>
          <w:p w14:paraId="2C0E82DB" w14:textId="77777777" w:rsidR="0065124E" w:rsidRPr="00625339" w:rsidRDefault="0065124E" w:rsidP="0065124E">
            <w:pPr>
              <w:rPr>
                <w:rFonts w:ascii="VIC" w:eastAsia="Verdana" w:hAnsi="VIC"/>
                <w:color w:val="000000"/>
                <w:sz w:val="18"/>
              </w:rPr>
            </w:pPr>
          </w:p>
        </w:tc>
        <w:tc>
          <w:tcPr>
            <w:tcW w:w="1985" w:type="dxa"/>
            <w:shd w:val="clear" w:color="auto" w:fill="BFCED6"/>
          </w:tcPr>
          <w:p w14:paraId="43BEC6FA" w14:textId="28BA312E" w:rsidR="0065124E" w:rsidRPr="00625339" w:rsidRDefault="0065124E" w:rsidP="0065124E">
            <w:pPr>
              <w:rPr>
                <w:rFonts w:ascii="VIC" w:eastAsia="Verdana" w:hAnsi="VIC"/>
                <w:color w:val="000000"/>
                <w:sz w:val="18"/>
              </w:rPr>
            </w:pPr>
            <w:r w:rsidRPr="00BF7527">
              <w:rPr>
                <w:rFonts w:ascii="VIC" w:eastAsia="Verdana" w:hAnsi="VIC"/>
                <w:color w:val="000000"/>
                <w:sz w:val="18"/>
                <w:szCs w:val="18"/>
              </w:rPr>
              <w:t>TOTAL</w:t>
            </w:r>
          </w:p>
        </w:tc>
        <w:tc>
          <w:tcPr>
            <w:tcW w:w="1523" w:type="dxa"/>
            <w:shd w:val="clear" w:color="auto" w:fill="BFCED6"/>
          </w:tcPr>
          <w:p w14:paraId="08E4403D" w14:textId="09FD7F44" w:rsidR="0065124E" w:rsidRPr="007B08C1" w:rsidRDefault="0065124E" w:rsidP="0065124E">
            <w:pPr>
              <w:jc w:val="center"/>
              <w:rPr>
                <w:rFonts w:ascii="VIC" w:hAnsi="VIC"/>
                <w:sz w:val="18"/>
                <w:szCs w:val="18"/>
              </w:rPr>
            </w:pPr>
            <w:r w:rsidRPr="00BF7527">
              <w:rPr>
                <w:rFonts w:ascii="VIC" w:eastAsia="Verdana" w:hAnsi="VIC"/>
                <w:color w:val="000000"/>
                <w:sz w:val="18"/>
                <w:szCs w:val="18"/>
              </w:rPr>
              <w:t>50 %</w:t>
            </w:r>
          </w:p>
        </w:tc>
        <w:tc>
          <w:tcPr>
            <w:tcW w:w="1524" w:type="dxa"/>
            <w:shd w:val="clear" w:color="auto" w:fill="BFCED6"/>
          </w:tcPr>
          <w:p w14:paraId="3781085A" w14:textId="5D08071A" w:rsidR="0065124E" w:rsidRPr="007B08C1" w:rsidRDefault="0065124E" w:rsidP="0065124E">
            <w:pPr>
              <w:jc w:val="center"/>
              <w:rPr>
                <w:rFonts w:ascii="VIC" w:hAnsi="VIC"/>
                <w:sz w:val="18"/>
                <w:szCs w:val="18"/>
              </w:rPr>
            </w:pPr>
            <w:r w:rsidRPr="00BF7527">
              <w:rPr>
                <w:rFonts w:ascii="VIC" w:eastAsia="Verdana" w:hAnsi="VIC"/>
                <w:color w:val="000000"/>
                <w:sz w:val="18"/>
                <w:szCs w:val="18"/>
              </w:rPr>
              <w:t>4.8</w:t>
            </w:r>
          </w:p>
        </w:tc>
        <w:tc>
          <w:tcPr>
            <w:tcW w:w="1524" w:type="dxa"/>
            <w:shd w:val="clear" w:color="auto" w:fill="BFCED6"/>
          </w:tcPr>
          <w:p w14:paraId="6C2A3444" w14:textId="18056184" w:rsidR="0065124E" w:rsidRPr="007B08C1" w:rsidRDefault="0065124E" w:rsidP="0065124E">
            <w:pPr>
              <w:jc w:val="center"/>
              <w:rPr>
                <w:rFonts w:ascii="VIC" w:hAnsi="VIC"/>
                <w:sz w:val="18"/>
                <w:szCs w:val="18"/>
              </w:rPr>
            </w:pPr>
            <w:r w:rsidRPr="00BF7527">
              <w:rPr>
                <w:rFonts w:ascii="VIC" w:eastAsia="Verdana" w:hAnsi="VIC"/>
                <w:color w:val="000000"/>
                <w:sz w:val="18"/>
                <w:szCs w:val="18"/>
              </w:rPr>
              <w:t>1 %</w:t>
            </w:r>
          </w:p>
        </w:tc>
        <w:tc>
          <w:tcPr>
            <w:tcW w:w="1524" w:type="dxa"/>
            <w:shd w:val="clear" w:color="auto" w:fill="BFCED6"/>
          </w:tcPr>
          <w:p w14:paraId="2A241129" w14:textId="217ABC1A" w:rsidR="0065124E" w:rsidRPr="007B08C1" w:rsidRDefault="0065124E" w:rsidP="0065124E">
            <w:pPr>
              <w:jc w:val="center"/>
              <w:rPr>
                <w:rFonts w:ascii="VIC" w:hAnsi="VIC"/>
                <w:sz w:val="18"/>
                <w:szCs w:val="18"/>
              </w:rPr>
            </w:pPr>
            <w:r w:rsidRPr="00BF7527">
              <w:rPr>
                <w:rFonts w:ascii="VIC" w:eastAsia="Verdana" w:hAnsi="VIC"/>
                <w:color w:val="000000"/>
                <w:sz w:val="18"/>
                <w:szCs w:val="18"/>
              </w:rPr>
              <w:t>69 %</w:t>
            </w:r>
          </w:p>
        </w:tc>
        <w:tc>
          <w:tcPr>
            <w:tcW w:w="1523" w:type="dxa"/>
            <w:shd w:val="clear" w:color="auto" w:fill="BFCED6"/>
          </w:tcPr>
          <w:p w14:paraId="44B3207F" w14:textId="7C8EFF4B" w:rsidR="0065124E" w:rsidRPr="007B08C1" w:rsidRDefault="0065124E" w:rsidP="0065124E">
            <w:pPr>
              <w:jc w:val="center"/>
              <w:rPr>
                <w:rFonts w:ascii="VIC" w:hAnsi="VIC"/>
                <w:sz w:val="18"/>
                <w:szCs w:val="18"/>
              </w:rPr>
            </w:pPr>
            <w:r w:rsidRPr="00BF7527">
              <w:rPr>
                <w:rFonts w:ascii="VIC" w:eastAsia="Verdana" w:hAnsi="VIC"/>
                <w:color w:val="000000"/>
                <w:sz w:val="18"/>
                <w:szCs w:val="18"/>
              </w:rPr>
              <w:t>12.1</w:t>
            </w:r>
          </w:p>
        </w:tc>
        <w:tc>
          <w:tcPr>
            <w:tcW w:w="1524" w:type="dxa"/>
            <w:shd w:val="clear" w:color="auto" w:fill="BFCED6"/>
          </w:tcPr>
          <w:p w14:paraId="26F2705F" w14:textId="14E4D5E3" w:rsidR="0065124E" w:rsidRPr="007B08C1" w:rsidRDefault="0065124E" w:rsidP="0065124E">
            <w:pPr>
              <w:jc w:val="center"/>
              <w:rPr>
                <w:rFonts w:ascii="VIC" w:hAnsi="VIC"/>
                <w:sz w:val="18"/>
                <w:szCs w:val="18"/>
              </w:rPr>
            </w:pPr>
            <w:r w:rsidRPr="00BF7527">
              <w:rPr>
                <w:rFonts w:ascii="VIC" w:eastAsia="Verdana" w:hAnsi="VIC"/>
                <w:color w:val="000000"/>
                <w:sz w:val="18"/>
                <w:szCs w:val="18"/>
              </w:rPr>
              <w:t>53 %</w:t>
            </w:r>
          </w:p>
        </w:tc>
        <w:tc>
          <w:tcPr>
            <w:tcW w:w="1524" w:type="dxa"/>
            <w:shd w:val="clear" w:color="auto" w:fill="BFCED6"/>
          </w:tcPr>
          <w:p w14:paraId="3DCDA3E2" w14:textId="29EE1FD6" w:rsidR="0065124E" w:rsidRPr="007B08C1" w:rsidRDefault="0065124E" w:rsidP="0065124E">
            <w:pPr>
              <w:jc w:val="center"/>
              <w:rPr>
                <w:rFonts w:ascii="VIC" w:hAnsi="VIC"/>
                <w:sz w:val="18"/>
                <w:szCs w:val="18"/>
              </w:rPr>
            </w:pPr>
            <w:r w:rsidRPr="00BF7527">
              <w:rPr>
                <w:rFonts w:ascii="VIC" w:eastAsia="Verdana" w:hAnsi="VIC"/>
                <w:color w:val="000000"/>
                <w:sz w:val="18"/>
                <w:szCs w:val="18"/>
              </w:rPr>
              <w:t>2 %</w:t>
            </w:r>
          </w:p>
        </w:tc>
        <w:tc>
          <w:tcPr>
            <w:tcW w:w="1524" w:type="dxa"/>
            <w:shd w:val="clear" w:color="auto" w:fill="BFCED6"/>
          </w:tcPr>
          <w:p w14:paraId="1514F7DC" w14:textId="2F481B53" w:rsidR="0065124E" w:rsidRPr="007B08C1" w:rsidRDefault="0065124E" w:rsidP="0065124E">
            <w:pPr>
              <w:jc w:val="center"/>
              <w:rPr>
                <w:rFonts w:ascii="VIC" w:hAnsi="VIC"/>
                <w:sz w:val="18"/>
                <w:szCs w:val="18"/>
              </w:rPr>
            </w:pPr>
            <w:r w:rsidRPr="00BF7527">
              <w:rPr>
                <w:rFonts w:ascii="VIC" w:eastAsia="Verdana" w:hAnsi="VIC"/>
                <w:color w:val="000000"/>
                <w:sz w:val="18"/>
                <w:szCs w:val="18"/>
              </w:rPr>
              <w:t>1.6</w:t>
            </w:r>
          </w:p>
        </w:tc>
      </w:tr>
      <w:tr w:rsidR="0065124E" w:rsidRPr="007B08C1" w14:paraId="448CB465" w14:textId="77777777" w:rsidTr="009D3084">
        <w:trPr>
          <w:trHeight w:val="454"/>
        </w:trPr>
        <w:tc>
          <w:tcPr>
            <w:tcW w:w="1570" w:type="dxa"/>
            <w:shd w:val="clear" w:color="auto" w:fill="FFFFFF" w:themeFill="background1"/>
          </w:tcPr>
          <w:p w14:paraId="1C40E16F" w14:textId="355FD2F6" w:rsidR="0065124E" w:rsidRPr="007B08C1" w:rsidRDefault="0065124E" w:rsidP="0065124E">
            <w:pPr>
              <w:rPr>
                <w:rFonts w:ascii="VIC" w:hAnsi="VIC"/>
                <w:sz w:val="18"/>
                <w:szCs w:val="18"/>
              </w:rPr>
            </w:pPr>
            <w:r w:rsidRPr="00BF7527">
              <w:rPr>
                <w:rFonts w:ascii="VIC" w:eastAsia="Verdana" w:hAnsi="VIC"/>
                <w:color w:val="000000"/>
                <w:sz w:val="18"/>
                <w:szCs w:val="18"/>
              </w:rPr>
              <w:t>South West Health</w:t>
            </w:r>
          </w:p>
        </w:tc>
        <w:tc>
          <w:tcPr>
            <w:tcW w:w="1985" w:type="dxa"/>
            <w:shd w:val="clear" w:color="auto" w:fill="FFFFFF" w:themeFill="background1"/>
          </w:tcPr>
          <w:p w14:paraId="00152696" w14:textId="32A81383" w:rsidR="0065124E" w:rsidRPr="007B08C1" w:rsidRDefault="0065124E" w:rsidP="0065124E">
            <w:pPr>
              <w:rPr>
                <w:rFonts w:ascii="VIC" w:hAnsi="VIC"/>
                <w:sz w:val="18"/>
                <w:szCs w:val="18"/>
              </w:rPr>
            </w:pPr>
            <w:r w:rsidRPr="00BF7527">
              <w:rPr>
                <w:rFonts w:ascii="VIC" w:eastAsia="Verdana" w:hAnsi="VIC"/>
                <w:color w:val="000000"/>
                <w:sz w:val="18"/>
                <w:szCs w:val="18"/>
              </w:rPr>
              <w:t>South West Health Care</w:t>
            </w:r>
          </w:p>
        </w:tc>
        <w:tc>
          <w:tcPr>
            <w:tcW w:w="1523" w:type="dxa"/>
            <w:shd w:val="clear" w:color="auto" w:fill="FFFFFF" w:themeFill="background1"/>
          </w:tcPr>
          <w:p w14:paraId="4675F201" w14:textId="750155FD" w:rsidR="0065124E" w:rsidRPr="007B08C1" w:rsidRDefault="0065124E" w:rsidP="0065124E">
            <w:pPr>
              <w:jc w:val="center"/>
              <w:rPr>
                <w:rFonts w:ascii="VIC" w:hAnsi="VIC"/>
                <w:sz w:val="18"/>
                <w:szCs w:val="18"/>
              </w:rPr>
            </w:pPr>
            <w:r w:rsidRPr="00BF7527">
              <w:rPr>
                <w:rFonts w:ascii="VIC" w:eastAsia="Verdana" w:hAnsi="VIC"/>
                <w:color w:val="000000"/>
                <w:sz w:val="18"/>
                <w:szCs w:val="18"/>
              </w:rPr>
              <w:t>34 %</w:t>
            </w:r>
          </w:p>
        </w:tc>
        <w:tc>
          <w:tcPr>
            <w:tcW w:w="1524" w:type="dxa"/>
            <w:shd w:val="clear" w:color="auto" w:fill="FFFFFF" w:themeFill="background1"/>
          </w:tcPr>
          <w:p w14:paraId="35D1DBF8" w14:textId="4F4CBD1A" w:rsidR="0065124E" w:rsidRPr="007B08C1" w:rsidRDefault="0065124E" w:rsidP="0065124E">
            <w:pPr>
              <w:jc w:val="center"/>
              <w:rPr>
                <w:rFonts w:ascii="VIC" w:hAnsi="VIC"/>
                <w:sz w:val="18"/>
                <w:szCs w:val="18"/>
              </w:rPr>
            </w:pPr>
            <w:r w:rsidRPr="00BF7527">
              <w:rPr>
                <w:rFonts w:ascii="VIC" w:eastAsia="Verdana" w:hAnsi="VIC"/>
                <w:color w:val="000000"/>
                <w:sz w:val="18"/>
                <w:szCs w:val="18"/>
              </w:rPr>
              <w:t>8.3</w:t>
            </w:r>
          </w:p>
        </w:tc>
        <w:tc>
          <w:tcPr>
            <w:tcW w:w="1524" w:type="dxa"/>
            <w:shd w:val="clear" w:color="auto" w:fill="FFFFFF" w:themeFill="background1"/>
          </w:tcPr>
          <w:p w14:paraId="4EF084C5" w14:textId="4DFF6164" w:rsidR="0065124E" w:rsidRPr="007B08C1" w:rsidRDefault="0065124E" w:rsidP="0065124E">
            <w:pPr>
              <w:jc w:val="center"/>
              <w:rPr>
                <w:rFonts w:ascii="VIC" w:hAnsi="VIC"/>
                <w:sz w:val="18"/>
                <w:szCs w:val="18"/>
              </w:rPr>
            </w:pPr>
            <w:r w:rsidRPr="00BF7527">
              <w:rPr>
                <w:rFonts w:ascii="VIC" w:eastAsia="Verdana" w:hAnsi="VIC"/>
                <w:color w:val="000000"/>
                <w:sz w:val="18"/>
                <w:szCs w:val="18"/>
              </w:rPr>
              <w:t>6 %</w:t>
            </w:r>
          </w:p>
        </w:tc>
        <w:tc>
          <w:tcPr>
            <w:tcW w:w="1524" w:type="dxa"/>
            <w:shd w:val="clear" w:color="auto" w:fill="FFFFFF" w:themeFill="background1"/>
          </w:tcPr>
          <w:p w14:paraId="7C2264EF" w14:textId="59481617" w:rsidR="0065124E" w:rsidRPr="007B08C1" w:rsidRDefault="0065124E" w:rsidP="0065124E">
            <w:pPr>
              <w:jc w:val="center"/>
              <w:rPr>
                <w:rFonts w:ascii="VIC" w:hAnsi="VIC"/>
                <w:sz w:val="18"/>
                <w:szCs w:val="18"/>
              </w:rPr>
            </w:pPr>
            <w:r w:rsidRPr="00BF7527">
              <w:rPr>
                <w:rFonts w:ascii="VIC" w:eastAsia="Verdana" w:hAnsi="VIC"/>
                <w:color w:val="000000"/>
                <w:sz w:val="18"/>
                <w:szCs w:val="18"/>
              </w:rPr>
              <w:t>76 %</w:t>
            </w:r>
          </w:p>
        </w:tc>
        <w:tc>
          <w:tcPr>
            <w:tcW w:w="1523" w:type="dxa"/>
            <w:shd w:val="clear" w:color="auto" w:fill="FFFFFF" w:themeFill="background1"/>
          </w:tcPr>
          <w:p w14:paraId="4E873031" w14:textId="3D844540" w:rsidR="0065124E" w:rsidRPr="007B08C1" w:rsidRDefault="0065124E" w:rsidP="0065124E">
            <w:pPr>
              <w:jc w:val="center"/>
              <w:rPr>
                <w:rFonts w:ascii="VIC" w:hAnsi="VIC"/>
                <w:sz w:val="18"/>
                <w:szCs w:val="18"/>
              </w:rPr>
            </w:pPr>
            <w:r w:rsidRPr="00BF7527">
              <w:rPr>
                <w:rFonts w:ascii="VIC" w:eastAsia="Verdana" w:hAnsi="VIC"/>
                <w:color w:val="000000"/>
                <w:sz w:val="18"/>
                <w:szCs w:val="18"/>
              </w:rPr>
              <w:t>11.4</w:t>
            </w:r>
          </w:p>
        </w:tc>
        <w:tc>
          <w:tcPr>
            <w:tcW w:w="1524" w:type="dxa"/>
            <w:shd w:val="clear" w:color="auto" w:fill="FFFFFF" w:themeFill="background1"/>
          </w:tcPr>
          <w:p w14:paraId="33509BF2" w14:textId="16617A60" w:rsidR="0065124E" w:rsidRPr="007B08C1" w:rsidRDefault="0065124E" w:rsidP="0065124E">
            <w:pPr>
              <w:jc w:val="center"/>
              <w:rPr>
                <w:rFonts w:ascii="VIC" w:hAnsi="VIC"/>
                <w:sz w:val="18"/>
                <w:szCs w:val="18"/>
              </w:rPr>
            </w:pPr>
            <w:r w:rsidRPr="00BF7527">
              <w:rPr>
                <w:rFonts w:ascii="VIC" w:eastAsia="Verdana" w:hAnsi="VIC"/>
                <w:color w:val="000000"/>
                <w:sz w:val="18"/>
                <w:szCs w:val="18"/>
              </w:rPr>
              <w:t>63 %</w:t>
            </w:r>
          </w:p>
        </w:tc>
        <w:tc>
          <w:tcPr>
            <w:tcW w:w="1524" w:type="dxa"/>
            <w:shd w:val="clear" w:color="auto" w:fill="FFFFFF" w:themeFill="background1"/>
          </w:tcPr>
          <w:p w14:paraId="367B6C14" w14:textId="34A06B59" w:rsidR="0065124E" w:rsidRPr="007B08C1" w:rsidRDefault="0065124E" w:rsidP="0065124E">
            <w:pPr>
              <w:jc w:val="center"/>
              <w:rPr>
                <w:rFonts w:ascii="VIC" w:hAnsi="VIC"/>
                <w:sz w:val="18"/>
                <w:szCs w:val="18"/>
              </w:rPr>
            </w:pPr>
            <w:r w:rsidRPr="00BF7527">
              <w:rPr>
                <w:rFonts w:ascii="VIC" w:eastAsia="Verdana" w:hAnsi="VIC"/>
                <w:color w:val="000000"/>
                <w:sz w:val="18"/>
                <w:szCs w:val="18"/>
              </w:rPr>
              <w:t>4 %</w:t>
            </w:r>
          </w:p>
        </w:tc>
        <w:tc>
          <w:tcPr>
            <w:tcW w:w="1524" w:type="dxa"/>
            <w:shd w:val="clear" w:color="auto" w:fill="FFFFFF" w:themeFill="background1"/>
          </w:tcPr>
          <w:p w14:paraId="37EE1AF3" w14:textId="09431133" w:rsidR="0065124E" w:rsidRPr="007B08C1" w:rsidRDefault="0065124E" w:rsidP="0065124E">
            <w:pPr>
              <w:jc w:val="center"/>
              <w:rPr>
                <w:rFonts w:ascii="VIC" w:hAnsi="VIC"/>
                <w:sz w:val="18"/>
                <w:szCs w:val="18"/>
              </w:rPr>
            </w:pPr>
            <w:r w:rsidRPr="00BF7527">
              <w:rPr>
                <w:rFonts w:ascii="VIC" w:eastAsia="Verdana" w:hAnsi="VIC"/>
                <w:color w:val="000000"/>
                <w:sz w:val="18"/>
                <w:szCs w:val="18"/>
              </w:rPr>
              <w:t>1.9</w:t>
            </w:r>
          </w:p>
        </w:tc>
      </w:tr>
      <w:tr w:rsidR="0065124E" w:rsidRPr="0065124E" w14:paraId="4AE77164" w14:textId="77777777" w:rsidTr="009D3084">
        <w:trPr>
          <w:trHeight w:val="454"/>
        </w:trPr>
        <w:tc>
          <w:tcPr>
            <w:tcW w:w="1570" w:type="dxa"/>
            <w:shd w:val="clear" w:color="auto" w:fill="B1C9E8"/>
          </w:tcPr>
          <w:p w14:paraId="64F1518B" w14:textId="6CF01D77" w:rsidR="0065124E" w:rsidRPr="0065124E" w:rsidRDefault="0065124E" w:rsidP="0065124E">
            <w:pPr>
              <w:rPr>
                <w:rFonts w:ascii="VIC SemiBold" w:hAnsi="VIC SemiBold"/>
                <w:color w:val="000000" w:themeColor="text1"/>
                <w:sz w:val="18"/>
                <w:szCs w:val="18"/>
              </w:rPr>
            </w:pPr>
            <w:r w:rsidRPr="0065124E">
              <w:rPr>
                <w:rFonts w:ascii="VIC" w:eastAsia="Verdana" w:hAnsi="VIC"/>
                <w:color w:val="000000" w:themeColor="text1"/>
                <w:sz w:val="18"/>
                <w:szCs w:val="18"/>
              </w:rPr>
              <w:t>TOTAL RURAL</w:t>
            </w:r>
          </w:p>
        </w:tc>
        <w:tc>
          <w:tcPr>
            <w:tcW w:w="1985" w:type="dxa"/>
            <w:shd w:val="clear" w:color="auto" w:fill="B1C9E8"/>
          </w:tcPr>
          <w:p w14:paraId="18D22CF2" w14:textId="79A51CA8" w:rsidR="0065124E" w:rsidRPr="0065124E" w:rsidRDefault="0065124E" w:rsidP="0065124E">
            <w:pPr>
              <w:rPr>
                <w:rFonts w:ascii="VIC SemiBold" w:hAnsi="VIC SemiBold"/>
                <w:color w:val="000000" w:themeColor="text1"/>
                <w:sz w:val="18"/>
                <w:szCs w:val="18"/>
              </w:rPr>
            </w:pPr>
            <w:r w:rsidRPr="0065124E">
              <w:rPr>
                <w:rFonts w:ascii="VIC" w:eastAsia="Verdana" w:hAnsi="VIC"/>
                <w:color w:val="000000" w:themeColor="text1"/>
                <w:sz w:val="18"/>
                <w:szCs w:val="18"/>
              </w:rPr>
              <w:t xml:space="preserve"> </w:t>
            </w:r>
          </w:p>
        </w:tc>
        <w:tc>
          <w:tcPr>
            <w:tcW w:w="1523" w:type="dxa"/>
            <w:shd w:val="clear" w:color="auto" w:fill="B1C9E8"/>
          </w:tcPr>
          <w:p w14:paraId="52130586" w14:textId="4E493F15"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46 %</w:t>
            </w:r>
          </w:p>
        </w:tc>
        <w:tc>
          <w:tcPr>
            <w:tcW w:w="1524" w:type="dxa"/>
            <w:shd w:val="clear" w:color="auto" w:fill="B1C9E8"/>
          </w:tcPr>
          <w:p w14:paraId="3EC7B5B4" w14:textId="6B05F1C0"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8.3</w:t>
            </w:r>
          </w:p>
        </w:tc>
        <w:tc>
          <w:tcPr>
            <w:tcW w:w="1524" w:type="dxa"/>
            <w:shd w:val="clear" w:color="auto" w:fill="B1C9E8"/>
          </w:tcPr>
          <w:p w14:paraId="0E9293EF" w14:textId="5E184CE2"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3 %</w:t>
            </w:r>
          </w:p>
        </w:tc>
        <w:tc>
          <w:tcPr>
            <w:tcW w:w="1524" w:type="dxa"/>
            <w:shd w:val="clear" w:color="auto" w:fill="B1C9E8"/>
          </w:tcPr>
          <w:p w14:paraId="2841EDA0" w14:textId="654A56F0"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85 %</w:t>
            </w:r>
          </w:p>
        </w:tc>
        <w:tc>
          <w:tcPr>
            <w:tcW w:w="1523" w:type="dxa"/>
            <w:shd w:val="clear" w:color="auto" w:fill="B1C9E8"/>
          </w:tcPr>
          <w:p w14:paraId="0445D6A4" w14:textId="6FF6110C"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14.1</w:t>
            </w:r>
          </w:p>
        </w:tc>
        <w:tc>
          <w:tcPr>
            <w:tcW w:w="1524" w:type="dxa"/>
            <w:shd w:val="clear" w:color="auto" w:fill="B1C9E8"/>
          </w:tcPr>
          <w:p w14:paraId="0647F7F2" w14:textId="4DF8EDB9"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61 %</w:t>
            </w:r>
          </w:p>
        </w:tc>
        <w:tc>
          <w:tcPr>
            <w:tcW w:w="1524" w:type="dxa"/>
            <w:shd w:val="clear" w:color="auto" w:fill="B1C9E8"/>
          </w:tcPr>
          <w:p w14:paraId="11FFB265" w14:textId="61C4AF7E"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12 %</w:t>
            </w:r>
          </w:p>
        </w:tc>
        <w:tc>
          <w:tcPr>
            <w:tcW w:w="1524" w:type="dxa"/>
            <w:shd w:val="clear" w:color="auto" w:fill="B1C9E8"/>
          </w:tcPr>
          <w:p w14:paraId="196B7801" w14:textId="518D5415" w:rsidR="0065124E" w:rsidRPr="0065124E" w:rsidRDefault="0065124E" w:rsidP="0065124E">
            <w:pPr>
              <w:jc w:val="center"/>
              <w:rPr>
                <w:rFonts w:ascii="VIC SemiBold" w:hAnsi="VIC SemiBold"/>
                <w:color w:val="000000" w:themeColor="text1"/>
                <w:sz w:val="18"/>
                <w:szCs w:val="18"/>
              </w:rPr>
            </w:pPr>
            <w:r w:rsidRPr="0065124E">
              <w:rPr>
                <w:rFonts w:ascii="VIC" w:eastAsia="Verdana" w:hAnsi="VIC"/>
                <w:color w:val="000000" w:themeColor="text1"/>
                <w:sz w:val="18"/>
                <w:szCs w:val="18"/>
              </w:rPr>
              <w:t>1.9</w:t>
            </w:r>
          </w:p>
        </w:tc>
      </w:tr>
      <w:tr w:rsidR="0065124E" w:rsidRPr="007B08C1" w14:paraId="0531F876" w14:textId="77777777" w:rsidTr="009D3084">
        <w:tc>
          <w:tcPr>
            <w:tcW w:w="1570" w:type="dxa"/>
            <w:shd w:val="clear" w:color="auto" w:fill="244C5A"/>
          </w:tcPr>
          <w:p w14:paraId="2BF5D78E" w14:textId="5B086129" w:rsidR="0065124E" w:rsidRPr="007B08C1" w:rsidRDefault="0065124E" w:rsidP="0065124E">
            <w:pPr>
              <w:rPr>
                <w:rFonts w:ascii="VIC SemiBold" w:hAnsi="VIC SemiBold"/>
                <w:color w:val="FFFFFF" w:themeColor="background1"/>
                <w:sz w:val="18"/>
                <w:szCs w:val="18"/>
              </w:rPr>
            </w:pPr>
            <w:r w:rsidRPr="00BF7527">
              <w:rPr>
                <w:rFonts w:ascii="VIC" w:eastAsia="Verdana" w:hAnsi="VIC"/>
                <w:color w:val="FFFFFF"/>
                <w:sz w:val="18"/>
                <w:szCs w:val="18"/>
              </w:rPr>
              <w:t>TOTAL STATEWIDE</w:t>
            </w:r>
          </w:p>
        </w:tc>
        <w:tc>
          <w:tcPr>
            <w:tcW w:w="1985" w:type="dxa"/>
            <w:shd w:val="clear" w:color="auto" w:fill="244C5A"/>
          </w:tcPr>
          <w:p w14:paraId="115B2E57" w14:textId="4D5011CF" w:rsidR="0065124E" w:rsidRPr="00592F37" w:rsidRDefault="0065124E" w:rsidP="0065124E">
            <w:pPr>
              <w:pStyle w:val="DHHStabletext"/>
              <w:spacing w:before="0" w:after="0"/>
              <w:rPr>
                <w:rFonts w:ascii="VIC SemiBold" w:eastAsia="Verdana" w:hAnsi="VIC SemiBold" w:cs="Verdana"/>
                <w:color w:val="FFFFFF" w:themeColor="background1"/>
                <w:sz w:val="18"/>
                <w:szCs w:val="18"/>
              </w:rPr>
            </w:pPr>
            <w:r w:rsidRPr="00BF7527">
              <w:rPr>
                <w:rFonts w:ascii="VIC" w:eastAsia="Verdana" w:hAnsi="VIC"/>
                <w:color w:val="FFFFFF"/>
                <w:sz w:val="18"/>
                <w:szCs w:val="18"/>
              </w:rPr>
              <w:t xml:space="preserve"> </w:t>
            </w:r>
          </w:p>
        </w:tc>
        <w:tc>
          <w:tcPr>
            <w:tcW w:w="1523" w:type="dxa"/>
            <w:shd w:val="clear" w:color="auto" w:fill="244C5A"/>
          </w:tcPr>
          <w:p w14:paraId="720D8B94" w14:textId="13C81C87"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51 %</w:t>
            </w:r>
          </w:p>
        </w:tc>
        <w:tc>
          <w:tcPr>
            <w:tcW w:w="1524" w:type="dxa"/>
            <w:shd w:val="clear" w:color="auto" w:fill="244C5A"/>
          </w:tcPr>
          <w:p w14:paraId="0CB0B404" w14:textId="7EFB10D9"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7.7</w:t>
            </w:r>
          </w:p>
        </w:tc>
        <w:tc>
          <w:tcPr>
            <w:tcW w:w="1524" w:type="dxa"/>
            <w:shd w:val="clear" w:color="auto" w:fill="244C5A"/>
          </w:tcPr>
          <w:p w14:paraId="71F6ABAE" w14:textId="00C262AD"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5 %</w:t>
            </w:r>
          </w:p>
        </w:tc>
        <w:tc>
          <w:tcPr>
            <w:tcW w:w="1524" w:type="dxa"/>
            <w:shd w:val="clear" w:color="auto" w:fill="244C5A"/>
          </w:tcPr>
          <w:p w14:paraId="1F253530" w14:textId="3C50347B"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84 %</w:t>
            </w:r>
          </w:p>
        </w:tc>
        <w:tc>
          <w:tcPr>
            <w:tcW w:w="1523" w:type="dxa"/>
            <w:shd w:val="clear" w:color="auto" w:fill="244C5A"/>
          </w:tcPr>
          <w:p w14:paraId="71763964" w14:textId="6BFA1DE9"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14.5</w:t>
            </w:r>
          </w:p>
        </w:tc>
        <w:tc>
          <w:tcPr>
            <w:tcW w:w="1524" w:type="dxa"/>
            <w:shd w:val="clear" w:color="auto" w:fill="244C5A"/>
          </w:tcPr>
          <w:p w14:paraId="5F84B20E" w14:textId="755A6708"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59 %</w:t>
            </w:r>
          </w:p>
        </w:tc>
        <w:tc>
          <w:tcPr>
            <w:tcW w:w="1524" w:type="dxa"/>
            <w:shd w:val="clear" w:color="auto" w:fill="244C5A"/>
          </w:tcPr>
          <w:p w14:paraId="00AF9F54" w14:textId="282F939F"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5 %</w:t>
            </w:r>
          </w:p>
        </w:tc>
        <w:tc>
          <w:tcPr>
            <w:tcW w:w="1524" w:type="dxa"/>
            <w:shd w:val="clear" w:color="auto" w:fill="244C5A"/>
          </w:tcPr>
          <w:p w14:paraId="6C7FFDA1" w14:textId="443EFC06" w:rsidR="0065124E" w:rsidRPr="007B08C1" w:rsidRDefault="0065124E" w:rsidP="0065124E">
            <w:pPr>
              <w:jc w:val="center"/>
              <w:rPr>
                <w:rFonts w:ascii="VIC SemiBold" w:hAnsi="VIC SemiBold"/>
                <w:color w:val="FFFFFF" w:themeColor="background1"/>
                <w:sz w:val="18"/>
                <w:szCs w:val="18"/>
              </w:rPr>
            </w:pPr>
            <w:r w:rsidRPr="00BF7527">
              <w:rPr>
                <w:rFonts w:ascii="VIC" w:eastAsia="Verdana" w:hAnsi="VIC"/>
                <w:color w:val="FFFFFF"/>
                <w:sz w:val="18"/>
                <w:szCs w:val="18"/>
              </w:rPr>
              <w:t>1.8</w:t>
            </w:r>
          </w:p>
        </w:tc>
      </w:tr>
    </w:tbl>
    <w:p w14:paraId="365B8CAA" w14:textId="4656AF4E" w:rsidR="00973843" w:rsidRDefault="00973843">
      <w:pPr>
        <w:widowControl/>
        <w:rPr>
          <w:rFonts w:ascii="VIC" w:eastAsia="MS Gothic" w:hAnsi="VIC" w:cs="Arial"/>
          <w:bCs/>
          <w:color w:val="004EA8"/>
          <w:kern w:val="32"/>
          <w:sz w:val="36"/>
          <w:szCs w:val="40"/>
          <w:lang w:val="en-AU"/>
        </w:rPr>
      </w:pPr>
      <w:r>
        <w:rPr>
          <w:rFonts w:ascii="VIC" w:hAnsi="VIC"/>
        </w:rPr>
        <w:br w:type="page"/>
      </w:r>
    </w:p>
    <w:p w14:paraId="5A47FE46" w14:textId="77777777" w:rsidR="0069621D" w:rsidRPr="0069621D" w:rsidRDefault="0069621D">
      <w:pPr>
        <w:rPr>
          <w:sz w:val="14"/>
        </w:rPr>
      </w:pPr>
    </w:p>
    <w:p w14:paraId="162C6D25" w14:textId="6AE09577" w:rsidR="00CF11E1" w:rsidRDefault="005A5E67" w:rsidP="00E36C2D">
      <w:pPr>
        <w:pStyle w:val="Heading1"/>
        <w:rPr>
          <w:sz w:val="22"/>
          <w:szCs w:val="22"/>
        </w:rPr>
      </w:pPr>
      <w:bookmarkStart w:id="14" w:name="_Toc37865457"/>
      <w:r>
        <w:rPr>
          <w:sz w:val="22"/>
          <w:szCs w:val="22"/>
        </w:rPr>
        <w:t>Indicator descriptions and notes</w:t>
      </w:r>
      <w:bookmarkEnd w:id="14"/>
    </w:p>
    <w:p w14:paraId="6C16D423" w14:textId="0721C441" w:rsidR="00D948FE" w:rsidRPr="00851497" w:rsidRDefault="00D948FE" w:rsidP="00D948FE">
      <w:pPr>
        <w:widowControl/>
        <w:spacing w:after="60"/>
        <w:rPr>
          <w:rFonts w:ascii="VIC" w:hAnsi="VIC"/>
          <w:color w:val="696969"/>
          <w:sz w:val="18"/>
          <w:szCs w:val="18"/>
        </w:rPr>
      </w:pPr>
      <w:bookmarkStart w:id="15" w:name="_Hlk22058920"/>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bookmarkEnd w:id="15"/>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8C0E9A" w:rsidRPr="0069621D" w14:paraId="3987C89B" w14:textId="77777777" w:rsidTr="000B0CCC">
        <w:trPr>
          <w:cantSplit/>
        </w:trPr>
        <w:tc>
          <w:tcPr>
            <w:tcW w:w="1702" w:type="dxa"/>
            <w:shd w:val="clear" w:color="auto" w:fill="auto"/>
          </w:tcPr>
          <w:p w14:paraId="6CD9E818" w14:textId="38D28853" w:rsidR="008C0E9A" w:rsidRPr="008C0E9A" w:rsidRDefault="008C0E9A" w:rsidP="008C0E9A">
            <w:pPr>
              <w:pStyle w:val="VAHItabletext"/>
              <w:rPr>
                <w:szCs w:val="18"/>
              </w:rPr>
            </w:pPr>
            <w:r w:rsidRPr="008C0E9A">
              <w:rPr>
                <w:rFonts w:eastAsia="Verdana"/>
                <w:color w:val="696969"/>
              </w:rPr>
              <w:t>Inpatient</w:t>
            </w:r>
          </w:p>
        </w:tc>
        <w:tc>
          <w:tcPr>
            <w:tcW w:w="1842" w:type="dxa"/>
          </w:tcPr>
          <w:p w14:paraId="7EA9C319" w14:textId="3460D7D0" w:rsidR="008C0E9A" w:rsidRPr="008C0E9A" w:rsidRDefault="008C0E9A" w:rsidP="008C0E9A">
            <w:pPr>
              <w:pStyle w:val="VAHItabletext"/>
              <w:rPr>
                <w:rFonts w:eastAsia="Verdana" w:cs="Verdana"/>
                <w:szCs w:val="18"/>
              </w:rPr>
            </w:pPr>
            <w:r w:rsidRPr="008C0E9A">
              <w:rPr>
                <w:rFonts w:eastAsia="Verdana"/>
                <w:color w:val="696969"/>
              </w:rPr>
              <w:t>Beds per 10,000 population</w:t>
            </w:r>
          </w:p>
        </w:tc>
        <w:tc>
          <w:tcPr>
            <w:tcW w:w="5103" w:type="dxa"/>
          </w:tcPr>
          <w:p w14:paraId="51AE82F4" w14:textId="0A3FE53B" w:rsidR="008C0E9A" w:rsidRPr="008C0E9A" w:rsidRDefault="008C0E9A" w:rsidP="008C0E9A">
            <w:pPr>
              <w:pStyle w:val="VAHItabletext"/>
              <w:rPr>
                <w:rFonts w:eastAsia="Verdana" w:cs="Verdana"/>
                <w:szCs w:val="18"/>
              </w:rPr>
            </w:pPr>
            <w:r w:rsidRPr="008C0E9A">
              <w:rPr>
                <w:rFonts w:eastAsia="Verdana"/>
                <w:color w:val="696969"/>
              </w:rPr>
              <w:t>Number of funded aged mental health inpatient beds per 10,000 population aged 65 years and over in the area mental health service.</w:t>
            </w:r>
          </w:p>
        </w:tc>
        <w:tc>
          <w:tcPr>
            <w:tcW w:w="1559" w:type="dxa"/>
          </w:tcPr>
          <w:p w14:paraId="2EE2A1A2" w14:textId="77777777" w:rsidR="008C0E9A" w:rsidRPr="008C0E9A" w:rsidRDefault="008C0E9A" w:rsidP="008C0E9A">
            <w:pPr>
              <w:pStyle w:val="VAHItabletext"/>
              <w:rPr>
                <w:szCs w:val="18"/>
              </w:rPr>
            </w:pPr>
          </w:p>
        </w:tc>
        <w:tc>
          <w:tcPr>
            <w:tcW w:w="4820" w:type="dxa"/>
          </w:tcPr>
          <w:p w14:paraId="475F9945" w14:textId="3A2D661E" w:rsidR="008C0E9A" w:rsidRPr="008C0E9A" w:rsidRDefault="008C0E9A" w:rsidP="008C0E9A">
            <w:pPr>
              <w:pStyle w:val="VAHItabletext"/>
              <w:rPr>
                <w:rFonts w:eastAsia="Verdana" w:cs="Verdana"/>
                <w:szCs w:val="18"/>
              </w:rPr>
            </w:pPr>
            <w:r w:rsidRPr="008C0E9A">
              <w:rPr>
                <w:rFonts w:eastAsia="Verdana"/>
                <w:color w:val="696969"/>
              </w:rPr>
              <w:t>Population estimates are based on Victoria in Future 2016.</w:t>
            </w:r>
          </w:p>
        </w:tc>
      </w:tr>
      <w:tr w:rsidR="008C0E9A" w:rsidRPr="0069621D" w14:paraId="1B57C156" w14:textId="77777777" w:rsidTr="000B0CCC">
        <w:trPr>
          <w:cantSplit/>
        </w:trPr>
        <w:tc>
          <w:tcPr>
            <w:tcW w:w="1702" w:type="dxa"/>
            <w:shd w:val="clear" w:color="auto" w:fill="auto"/>
          </w:tcPr>
          <w:p w14:paraId="2927A24D" w14:textId="77777777" w:rsidR="008C0E9A" w:rsidRPr="008C0E9A" w:rsidRDefault="008C0E9A" w:rsidP="008C0E9A">
            <w:pPr>
              <w:pStyle w:val="VAHItabletext"/>
              <w:rPr>
                <w:szCs w:val="18"/>
              </w:rPr>
            </w:pPr>
          </w:p>
        </w:tc>
        <w:tc>
          <w:tcPr>
            <w:tcW w:w="1842" w:type="dxa"/>
          </w:tcPr>
          <w:p w14:paraId="708A1C17" w14:textId="4F1A5699" w:rsidR="008C0E9A" w:rsidRPr="008C0E9A" w:rsidRDefault="008C0E9A" w:rsidP="008C0E9A">
            <w:pPr>
              <w:pStyle w:val="VAHItabletext"/>
              <w:rPr>
                <w:rFonts w:eastAsia="Verdana" w:cs="Verdana"/>
                <w:szCs w:val="18"/>
              </w:rPr>
            </w:pPr>
            <w:r w:rsidRPr="008C0E9A">
              <w:rPr>
                <w:rFonts w:eastAsia="Verdana"/>
                <w:color w:val="696969"/>
              </w:rPr>
              <w:t>Bed occupancy (excl leave)</w:t>
            </w:r>
          </w:p>
        </w:tc>
        <w:tc>
          <w:tcPr>
            <w:tcW w:w="5103" w:type="dxa"/>
          </w:tcPr>
          <w:p w14:paraId="7D64A06D" w14:textId="37A86E78" w:rsidR="008C0E9A" w:rsidRPr="008C0E9A" w:rsidRDefault="008C0E9A" w:rsidP="008C0E9A">
            <w:pPr>
              <w:pStyle w:val="VAHItabletext"/>
              <w:rPr>
                <w:rFonts w:eastAsia="Verdana" w:cs="Verdana"/>
                <w:szCs w:val="18"/>
              </w:rPr>
            </w:pPr>
            <w:r w:rsidRPr="008C0E9A">
              <w:rPr>
                <w:rFonts w:eastAsia="Verdana"/>
                <w:color w:val="696969"/>
              </w:rPr>
              <w:t xml:space="preserve">Rate of occupied bed hours (excluding leave) per funded bed hours within an </w:t>
            </w:r>
            <w:r w:rsidR="00736D36" w:rsidRPr="008C0E9A">
              <w:rPr>
                <w:rFonts w:eastAsia="Verdana"/>
                <w:color w:val="696969"/>
              </w:rPr>
              <w:t>inpatient unit</w:t>
            </w:r>
            <w:r w:rsidRPr="008C0E9A">
              <w:rPr>
                <w:rFonts w:eastAsia="Verdana"/>
                <w:color w:val="696969"/>
              </w:rPr>
              <w:t>.</w:t>
            </w:r>
          </w:p>
        </w:tc>
        <w:tc>
          <w:tcPr>
            <w:tcW w:w="1559" w:type="dxa"/>
          </w:tcPr>
          <w:p w14:paraId="186B8264" w14:textId="77777777" w:rsidR="008C0E9A" w:rsidRPr="008C0E9A" w:rsidRDefault="008C0E9A" w:rsidP="008C0E9A">
            <w:pPr>
              <w:pStyle w:val="VAHItabletext"/>
              <w:rPr>
                <w:szCs w:val="18"/>
              </w:rPr>
            </w:pPr>
          </w:p>
        </w:tc>
        <w:tc>
          <w:tcPr>
            <w:tcW w:w="4820" w:type="dxa"/>
          </w:tcPr>
          <w:p w14:paraId="6F75F57D" w14:textId="08DA89C8" w:rsidR="008C0E9A" w:rsidRPr="008C0E9A" w:rsidRDefault="008C0E9A" w:rsidP="008C0E9A">
            <w:pPr>
              <w:pStyle w:val="VAHItabletext"/>
              <w:rPr>
                <w:rFonts w:eastAsia="Verdana" w:cs="Verdana"/>
                <w:szCs w:val="18"/>
              </w:rPr>
            </w:pPr>
          </w:p>
        </w:tc>
      </w:tr>
      <w:tr w:rsidR="008C0E9A" w:rsidRPr="0069621D" w14:paraId="16D49F57" w14:textId="77777777" w:rsidTr="000B0CCC">
        <w:trPr>
          <w:cantSplit/>
        </w:trPr>
        <w:tc>
          <w:tcPr>
            <w:tcW w:w="1702" w:type="dxa"/>
            <w:shd w:val="clear" w:color="auto" w:fill="auto"/>
          </w:tcPr>
          <w:p w14:paraId="10A0BCB6" w14:textId="77777777" w:rsidR="008C0E9A" w:rsidRPr="008C0E9A" w:rsidRDefault="008C0E9A" w:rsidP="008C0E9A">
            <w:pPr>
              <w:pStyle w:val="VAHItabletext"/>
              <w:rPr>
                <w:szCs w:val="18"/>
              </w:rPr>
            </w:pPr>
          </w:p>
        </w:tc>
        <w:tc>
          <w:tcPr>
            <w:tcW w:w="1842" w:type="dxa"/>
          </w:tcPr>
          <w:p w14:paraId="01745C00" w14:textId="34788E45" w:rsidR="008C0E9A" w:rsidRPr="008C0E9A" w:rsidRDefault="008C0E9A" w:rsidP="008C0E9A">
            <w:pPr>
              <w:pStyle w:val="VAHItabletext"/>
              <w:rPr>
                <w:rFonts w:eastAsia="Verdana" w:cs="Verdana"/>
                <w:szCs w:val="18"/>
              </w:rPr>
            </w:pPr>
            <w:r w:rsidRPr="008C0E9A">
              <w:rPr>
                <w:rFonts w:eastAsia="Verdana"/>
                <w:color w:val="696969"/>
              </w:rPr>
              <w:t>Trimmed average length of stay (≤50 days)</w:t>
            </w:r>
          </w:p>
        </w:tc>
        <w:tc>
          <w:tcPr>
            <w:tcW w:w="5103" w:type="dxa"/>
          </w:tcPr>
          <w:p w14:paraId="67FA2338" w14:textId="26AB3B46" w:rsidR="008C0E9A" w:rsidRPr="008C0E9A" w:rsidRDefault="008C0E9A" w:rsidP="008C0E9A">
            <w:pPr>
              <w:pStyle w:val="VAHItabletext"/>
              <w:rPr>
                <w:rFonts w:eastAsia="Verdana" w:cs="Verdana"/>
                <w:szCs w:val="18"/>
              </w:rPr>
            </w:pPr>
            <w:r w:rsidRPr="008C0E9A">
              <w:rPr>
                <w:rFonts w:eastAsia="Verdana"/>
                <w:color w:val="696969"/>
              </w:rPr>
              <w:t xml:space="preserve">Average length of stay (days) of separations from an </w:t>
            </w:r>
            <w:r w:rsidR="00736D36" w:rsidRPr="008C0E9A">
              <w:rPr>
                <w:rFonts w:eastAsia="Verdana"/>
                <w:color w:val="696969"/>
              </w:rPr>
              <w:t>inpatient unit</w:t>
            </w:r>
            <w:r w:rsidRPr="008C0E9A">
              <w:rPr>
                <w:rFonts w:eastAsia="Verdana"/>
                <w:color w:val="696969"/>
              </w:rPr>
              <w:t>, excluding same day stays and separations with an average length of stay greater than 50 days.</w:t>
            </w:r>
          </w:p>
        </w:tc>
        <w:tc>
          <w:tcPr>
            <w:tcW w:w="1559" w:type="dxa"/>
          </w:tcPr>
          <w:p w14:paraId="02261688" w14:textId="77777777" w:rsidR="008C0E9A" w:rsidRPr="008C0E9A" w:rsidRDefault="008C0E9A" w:rsidP="008C0E9A">
            <w:pPr>
              <w:pStyle w:val="VAHItabletext"/>
              <w:rPr>
                <w:szCs w:val="18"/>
              </w:rPr>
            </w:pPr>
          </w:p>
        </w:tc>
        <w:tc>
          <w:tcPr>
            <w:tcW w:w="4820" w:type="dxa"/>
          </w:tcPr>
          <w:p w14:paraId="0A3B0FAA" w14:textId="5139476C" w:rsidR="008C0E9A" w:rsidRPr="008C0E9A" w:rsidRDefault="008C0E9A" w:rsidP="008C0E9A">
            <w:pPr>
              <w:pStyle w:val="VAHItabletext"/>
              <w:rPr>
                <w:rFonts w:eastAsia="Verdana" w:cs="Verdana"/>
                <w:szCs w:val="18"/>
              </w:rPr>
            </w:pPr>
            <w:r w:rsidRPr="008C0E9A">
              <w:rPr>
                <w:rFonts w:eastAsia="Verdana"/>
                <w:color w:val="696969"/>
              </w:rPr>
              <w:t>A shorter length of stay may be associated with higher re-admission rates. Measure calculation is based on episode start and end dates and not individual admission events within an episode.</w:t>
            </w:r>
          </w:p>
        </w:tc>
      </w:tr>
      <w:tr w:rsidR="008C0E9A" w:rsidRPr="0069621D" w14:paraId="42567377" w14:textId="77777777" w:rsidTr="000B0CCC">
        <w:trPr>
          <w:cantSplit/>
        </w:trPr>
        <w:tc>
          <w:tcPr>
            <w:tcW w:w="1702" w:type="dxa"/>
            <w:shd w:val="clear" w:color="auto" w:fill="auto"/>
          </w:tcPr>
          <w:p w14:paraId="75F18803" w14:textId="77777777" w:rsidR="008C0E9A" w:rsidRPr="008C0E9A" w:rsidRDefault="008C0E9A" w:rsidP="008C0E9A">
            <w:pPr>
              <w:pStyle w:val="VAHItabletext"/>
              <w:rPr>
                <w:szCs w:val="18"/>
              </w:rPr>
            </w:pPr>
          </w:p>
        </w:tc>
        <w:tc>
          <w:tcPr>
            <w:tcW w:w="1842" w:type="dxa"/>
          </w:tcPr>
          <w:p w14:paraId="4DFBCD9E" w14:textId="4BD73444" w:rsidR="008C0E9A" w:rsidRPr="008C0E9A" w:rsidRDefault="008C0E9A" w:rsidP="008C0E9A">
            <w:pPr>
              <w:pStyle w:val="VAHItabletext"/>
              <w:rPr>
                <w:rFonts w:eastAsia="Verdana" w:cs="Verdana"/>
                <w:szCs w:val="18"/>
              </w:rPr>
            </w:pPr>
            <w:r w:rsidRPr="008C0E9A">
              <w:rPr>
                <w:rFonts w:eastAsia="Verdana"/>
                <w:color w:val="696969"/>
              </w:rPr>
              <w:t>Long stay bed occupancy (&gt;50 days)</w:t>
            </w:r>
          </w:p>
        </w:tc>
        <w:tc>
          <w:tcPr>
            <w:tcW w:w="5103" w:type="dxa"/>
          </w:tcPr>
          <w:p w14:paraId="500C05A2" w14:textId="34B2DFCB" w:rsidR="008C0E9A" w:rsidRPr="008C0E9A" w:rsidRDefault="008C0E9A" w:rsidP="008C0E9A">
            <w:pPr>
              <w:pStyle w:val="VAHItabletext"/>
              <w:rPr>
                <w:rFonts w:eastAsia="Verdana" w:cs="Verdana"/>
                <w:szCs w:val="18"/>
              </w:rPr>
            </w:pPr>
            <w:r w:rsidRPr="008C0E9A">
              <w:rPr>
                <w:rFonts w:eastAsia="Verdana"/>
                <w:color w:val="696969"/>
              </w:rPr>
              <w:t xml:space="preserve">Rate of occupied bed hours for 'long stay' admissions (excludes first 50 days of admission) per funded bed hours within an </w:t>
            </w:r>
            <w:r w:rsidR="00736D36" w:rsidRPr="008C0E9A">
              <w:rPr>
                <w:rFonts w:eastAsia="Verdana"/>
                <w:color w:val="696969"/>
              </w:rPr>
              <w:t>inpatient unit</w:t>
            </w:r>
            <w:r w:rsidRPr="008C0E9A">
              <w:rPr>
                <w:rFonts w:eastAsia="Verdana"/>
                <w:color w:val="696969"/>
              </w:rPr>
              <w:t>.</w:t>
            </w:r>
          </w:p>
        </w:tc>
        <w:tc>
          <w:tcPr>
            <w:tcW w:w="1559" w:type="dxa"/>
          </w:tcPr>
          <w:p w14:paraId="7840EC84" w14:textId="050EFAAD" w:rsidR="008C0E9A" w:rsidRPr="008C0E9A" w:rsidRDefault="008C0E9A" w:rsidP="008C0E9A">
            <w:pPr>
              <w:pStyle w:val="VAHItabletext"/>
              <w:rPr>
                <w:rFonts w:eastAsia="Verdana" w:cs="Verdana"/>
                <w:szCs w:val="18"/>
              </w:rPr>
            </w:pPr>
          </w:p>
        </w:tc>
        <w:tc>
          <w:tcPr>
            <w:tcW w:w="4820" w:type="dxa"/>
          </w:tcPr>
          <w:p w14:paraId="6DBE8DE5" w14:textId="2AB367AF" w:rsidR="008C0E9A" w:rsidRPr="008C0E9A" w:rsidRDefault="008C0E9A" w:rsidP="008C0E9A">
            <w:pPr>
              <w:pStyle w:val="VAHItabletext"/>
              <w:rPr>
                <w:rFonts w:eastAsia="Verdana" w:cs="Verdana"/>
                <w:szCs w:val="18"/>
              </w:rPr>
            </w:pPr>
          </w:p>
        </w:tc>
      </w:tr>
      <w:tr w:rsidR="008C0E9A" w:rsidRPr="0069621D" w14:paraId="02CA2FC1" w14:textId="77777777" w:rsidTr="000B0CCC">
        <w:trPr>
          <w:cantSplit/>
        </w:trPr>
        <w:tc>
          <w:tcPr>
            <w:tcW w:w="1702" w:type="dxa"/>
            <w:shd w:val="clear" w:color="auto" w:fill="auto"/>
          </w:tcPr>
          <w:p w14:paraId="09987E04" w14:textId="77777777" w:rsidR="008C0E9A" w:rsidRPr="008C0E9A" w:rsidRDefault="008C0E9A" w:rsidP="008C0E9A">
            <w:pPr>
              <w:pStyle w:val="VAHItabletext"/>
              <w:rPr>
                <w:szCs w:val="18"/>
              </w:rPr>
            </w:pPr>
          </w:p>
        </w:tc>
        <w:tc>
          <w:tcPr>
            <w:tcW w:w="1842" w:type="dxa"/>
          </w:tcPr>
          <w:p w14:paraId="3A271481" w14:textId="3185BEB6" w:rsidR="008C0E9A" w:rsidRPr="008C0E9A" w:rsidRDefault="008C0E9A" w:rsidP="008C0E9A">
            <w:pPr>
              <w:pStyle w:val="VAHItabletext"/>
              <w:rPr>
                <w:rFonts w:eastAsia="Verdana" w:cs="Verdana"/>
                <w:szCs w:val="18"/>
              </w:rPr>
            </w:pPr>
            <w:r w:rsidRPr="008C0E9A">
              <w:rPr>
                <w:rFonts w:eastAsia="Verdana"/>
                <w:color w:val="696969"/>
              </w:rPr>
              <w:t>28 day readmission</w:t>
            </w:r>
          </w:p>
        </w:tc>
        <w:tc>
          <w:tcPr>
            <w:tcW w:w="5103" w:type="dxa"/>
          </w:tcPr>
          <w:p w14:paraId="084A636C" w14:textId="4EDAB759" w:rsidR="008C0E9A" w:rsidRPr="008C0E9A" w:rsidRDefault="008C0E9A" w:rsidP="008C0E9A">
            <w:pPr>
              <w:pStyle w:val="VAHItabletext"/>
              <w:rPr>
                <w:rFonts w:eastAsia="Verdana" w:cs="Verdana"/>
                <w:szCs w:val="18"/>
              </w:rPr>
            </w:pPr>
            <w:r w:rsidRPr="008C0E9A">
              <w:rPr>
                <w:rFonts w:eastAsia="Verdana"/>
                <w:color w:val="696969"/>
              </w:rPr>
              <w:t>Percentage of separations from an inpatient unit where the consumer was re-admitted (planned or unplanned) to any inpatient unit within 28 days of separation.</w:t>
            </w:r>
          </w:p>
        </w:tc>
        <w:tc>
          <w:tcPr>
            <w:tcW w:w="1559" w:type="dxa"/>
          </w:tcPr>
          <w:p w14:paraId="28D4CF72" w14:textId="42DC0509" w:rsidR="008C0E9A" w:rsidRPr="008C0E9A" w:rsidRDefault="008C0E9A" w:rsidP="008C0E9A">
            <w:pPr>
              <w:pStyle w:val="VAHItabletext"/>
              <w:rPr>
                <w:rFonts w:eastAsia="Verdana" w:cs="Verdana"/>
                <w:szCs w:val="18"/>
              </w:rPr>
            </w:pPr>
            <w:r w:rsidRPr="008C0E9A">
              <w:rPr>
                <w:rFonts w:eastAsia="Verdana"/>
                <w:color w:val="696969"/>
              </w:rPr>
              <w:t>14.0 %</w:t>
            </w:r>
          </w:p>
        </w:tc>
        <w:tc>
          <w:tcPr>
            <w:tcW w:w="4820" w:type="dxa"/>
          </w:tcPr>
          <w:p w14:paraId="07271E83" w14:textId="341FB923" w:rsidR="008C0E9A" w:rsidRPr="008C0E9A" w:rsidRDefault="008C0E9A" w:rsidP="008C0E9A">
            <w:pPr>
              <w:pStyle w:val="VAHItabletext"/>
              <w:rPr>
                <w:rFonts w:eastAsia="Verdana" w:cs="Verdana"/>
                <w:szCs w:val="18"/>
              </w:rPr>
            </w:pPr>
            <w:r w:rsidRPr="008C0E9A">
              <w:rPr>
                <w:rFonts w:eastAsia="Verdana"/>
                <w:color w:val="696969"/>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8C0E9A" w:rsidRPr="0069621D" w14:paraId="592AF5BC" w14:textId="77777777" w:rsidTr="000B0CCC">
        <w:trPr>
          <w:cantSplit/>
        </w:trPr>
        <w:tc>
          <w:tcPr>
            <w:tcW w:w="1702" w:type="dxa"/>
            <w:shd w:val="clear" w:color="auto" w:fill="auto"/>
          </w:tcPr>
          <w:p w14:paraId="2196C061" w14:textId="77777777" w:rsidR="008C0E9A" w:rsidRPr="008C0E9A" w:rsidRDefault="008C0E9A" w:rsidP="008C0E9A">
            <w:pPr>
              <w:pStyle w:val="VAHItabletext"/>
              <w:rPr>
                <w:szCs w:val="18"/>
              </w:rPr>
            </w:pPr>
          </w:p>
        </w:tc>
        <w:tc>
          <w:tcPr>
            <w:tcW w:w="1842" w:type="dxa"/>
          </w:tcPr>
          <w:p w14:paraId="2F5F04BC" w14:textId="001E0E20" w:rsidR="008C0E9A" w:rsidRPr="008C0E9A" w:rsidRDefault="008C0E9A" w:rsidP="008C0E9A">
            <w:pPr>
              <w:pStyle w:val="VAHItabletext"/>
              <w:rPr>
                <w:rFonts w:eastAsia="Verdana" w:cs="Verdana"/>
                <w:szCs w:val="18"/>
              </w:rPr>
            </w:pPr>
            <w:r w:rsidRPr="008C0E9A">
              <w:rPr>
                <w:rFonts w:eastAsia="Verdana"/>
                <w:color w:val="696969"/>
              </w:rPr>
              <w:t>Separations with organic diagnosis</w:t>
            </w:r>
          </w:p>
        </w:tc>
        <w:tc>
          <w:tcPr>
            <w:tcW w:w="5103" w:type="dxa"/>
          </w:tcPr>
          <w:p w14:paraId="6B457351" w14:textId="409FB5DD" w:rsidR="008C0E9A" w:rsidRPr="008C0E9A" w:rsidRDefault="008C0E9A" w:rsidP="008C0E9A">
            <w:pPr>
              <w:pStyle w:val="VAHItabletext"/>
              <w:rPr>
                <w:rFonts w:eastAsia="Verdana" w:cs="Verdana"/>
                <w:szCs w:val="18"/>
              </w:rPr>
            </w:pPr>
            <w:r w:rsidRPr="008C0E9A">
              <w:rPr>
                <w:rFonts w:eastAsia="Verdana"/>
                <w:color w:val="696969"/>
              </w:rPr>
              <w:t>Percentage of separations from an inpatient unit where the consumer had a primary diagnosis of an organic mental health disorder (delirium, dementia and amnestic or other cognitive disorders, ICD10 Codes F00-F09).</w:t>
            </w:r>
          </w:p>
        </w:tc>
        <w:tc>
          <w:tcPr>
            <w:tcW w:w="1559" w:type="dxa"/>
          </w:tcPr>
          <w:p w14:paraId="6265CE27" w14:textId="14D4A2B9" w:rsidR="008C0E9A" w:rsidRPr="008C0E9A" w:rsidRDefault="008C0E9A" w:rsidP="008C0E9A">
            <w:pPr>
              <w:pStyle w:val="VAHItabletext"/>
              <w:rPr>
                <w:rFonts w:eastAsia="Verdana" w:cs="Verdana"/>
                <w:szCs w:val="18"/>
              </w:rPr>
            </w:pPr>
          </w:p>
        </w:tc>
        <w:tc>
          <w:tcPr>
            <w:tcW w:w="4820" w:type="dxa"/>
          </w:tcPr>
          <w:p w14:paraId="58AF53B4" w14:textId="7F024DA3" w:rsidR="008C0E9A" w:rsidRPr="008C0E9A" w:rsidRDefault="008C0E9A" w:rsidP="008C0E9A">
            <w:pPr>
              <w:tabs>
                <w:tab w:val="left" w:pos="1320"/>
              </w:tabs>
              <w:rPr>
                <w:rFonts w:ascii="VIC" w:hAnsi="VIC"/>
                <w:sz w:val="18"/>
                <w:szCs w:val="18"/>
                <w:lang w:val="en-AU"/>
              </w:rPr>
            </w:pPr>
            <w:r w:rsidRPr="008C0E9A">
              <w:rPr>
                <w:rFonts w:ascii="VIC" w:eastAsia="Verdana" w:hAnsi="VIC"/>
                <w:color w:val="696969"/>
                <w:sz w:val="18"/>
              </w:rPr>
              <w:t>Results lagged by 1 month.</w:t>
            </w:r>
          </w:p>
        </w:tc>
      </w:tr>
      <w:tr w:rsidR="008C0E9A" w:rsidRPr="0069621D" w14:paraId="781F5EBD" w14:textId="77777777" w:rsidTr="000B0CCC">
        <w:trPr>
          <w:cantSplit/>
        </w:trPr>
        <w:tc>
          <w:tcPr>
            <w:tcW w:w="1702" w:type="dxa"/>
            <w:shd w:val="clear" w:color="auto" w:fill="auto"/>
          </w:tcPr>
          <w:p w14:paraId="602202DD" w14:textId="77777777" w:rsidR="008C0E9A" w:rsidRPr="008C0E9A" w:rsidRDefault="008C0E9A" w:rsidP="008C0E9A">
            <w:pPr>
              <w:pStyle w:val="VAHItabletext"/>
              <w:rPr>
                <w:szCs w:val="18"/>
              </w:rPr>
            </w:pPr>
          </w:p>
        </w:tc>
        <w:tc>
          <w:tcPr>
            <w:tcW w:w="1842" w:type="dxa"/>
          </w:tcPr>
          <w:p w14:paraId="13D4C2C3" w14:textId="653D2099" w:rsidR="008C0E9A" w:rsidRPr="008C0E9A" w:rsidRDefault="008C0E9A" w:rsidP="008C0E9A">
            <w:pPr>
              <w:pStyle w:val="VAHItabletext"/>
              <w:rPr>
                <w:rFonts w:eastAsia="Verdana" w:cs="Verdana"/>
                <w:szCs w:val="18"/>
              </w:rPr>
            </w:pPr>
            <w:r w:rsidRPr="008C0E9A">
              <w:rPr>
                <w:rFonts w:eastAsia="Verdana"/>
                <w:color w:val="696969"/>
              </w:rPr>
              <w:t>Separations with diagnosis given</w:t>
            </w:r>
          </w:p>
        </w:tc>
        <w:tc>
          <w:tcPr>
            <w:tcW w:w="5103" w:type="dxa"/>
          </w:tcPr>
          <w:p w14:paraId="64406A96" w14:textId="4732AA27" w:rsidR="008C0E9A" w:rsidRPr="008C0E9A" w:rsidRDefault="008C0E9A" w:rsidP="008C0E9A">
            <w:pPr>
              <w:pStyle w:val="VAHItabletext"/>
              <w:rPr>
                <w:rFonts w:eastAsia="Verdana" w:cs="Verdana"/>
                <w:szCs w:val="18"/>
              </w:rPr>
            </w:pPr>
            <w:r w:rsidRPr="008C0E9A">
              <w:rPr>
                <w:rFonts w:eastAsia="Verdana"/>
                <w:color w:val="696969"/>
              </w:rPr>
              <w:t>Percentage of separations from an acute inpatient unit with a primary diagnosis assigned and recorded.</w:t>
            </w:r>
          </w:p>
        </w:tc>
        <w:tc>
          <w:tcPr>
            <w:tcW w:w="1559" w:type="dxa"/>
          </w:tcPr>
          <w:p w14:paraId="1645DBBB" w14:textId="5B484580" w:rsidR="008C0E9A" w:rsidRPr="008C0E9A" w:rsidRDefault="008C0E9A" w:rsidP="008C0E9A">
            <w:pPr>
              <w:pStyle w:val="VAHItabletext"/>
              <w:rPr>
                <w:rFonts w:eastAsia="Verdana" w:cs="Verdana"/>
                <w:szCs w:val="18"/>
              </w:rPr>
            </w:pPr>
            <w:r w:rsidRPr="008C0E9A">
              <w:rPr>
                <w:rFonts w:eastAsia="Verdana"/>
                <w:color w:val="696969"/>
              </w:rPr>
              <w:t>95.0 %</w:t>
            </w:r>
          </w:p>
        </w:tc>
        <w:tc>
          <w:tcPr>
            <w:tcW w:w="4820" w:type="dxa"/>
          </w:tcPr>
          <w:p w14:paraId="110B433E" w14:textId="3BE34A84" w:rsidR="008C0E9A" w:rsidRPr="008C0E9A" w:rsidRDefault="008C0E9A" w:rsidP="008C0E9A">
            <w:pPr>
              <w:pStyle w:val="VAHItabletext"/>
              <w:rPr>
                <w:rFonts w:eastAsia="Verdana" w:cs="Verdana"/>
                <w:szCs w:val="18"/>
              </w:rPr>
            </w:pPr>
            <w:r w:rsidRPr="008C0E9A">
              <w:rPr>
                <w:rFonts w:eastAsia="Verdana"/>
                <w:color w:val="696969"/>
              </w:rPr>
              <w:t>Results lagged by 1 month.</w:t>
            </w:r>
          </w:p>
        </w:tc>
      </w:tr>
      <w:tr w:rsidR="008C0E9A" w:rsidRPr="0069621D" w14:paraId="057BE954" w14:textId="77777777" w:rsidTr="000B0CCC">
        <w:trPr>
          <w:cantSplit/>
        </w:trPr>
        <w:tc>
          <w:tcPr>
            <w:tcW w:w="1702" w:type="dxa"/>
            <w:shd w:val="clear" w:color="auto" w:fill="auto"/>
          </w:tcPr>
          <w:p w14:paraId="668261DC" w14:textId="77777777" w:rsidR="008C0E9A" w:rsidRPr="008C0E9A" w:rsidRDefault="008C0E9A" w:rsidP="008C0E9A">
            <w:pPr>
              <w:pStyle w:val="VAHItabletext"/>
              <w:rPr>
                <w:szCs w:val="18"/>
              </w:rPr>
            </w:pPr>
          </w:p>
        </w:tc>
        <w:tc>
          <w:tcPr>
            <w:tcW w:w="1842" w:type="dxa"/>
          </w:tcPr>
          <w:p w14:paraId="32F10FA9" w14:textId="54DAED3F" w:rsidR="008C0E9A" w:rsidRPr="008C0E9A" w:rsidRDefault="008C0E9A" w:rsidP="008C0E9A">
            <w:pPr>
              <w:pStyle w:val="VAHItabletext"/>
              <w:rPr>
                <w:rFonts w:eastAsia="Verdana" w:cs="Verdana"/>
                <w:szCs w:val="18"/>
              </w:rPr>
            </w:pPr>
            <w:r w:rsidRPr="008C0E9A">
              <w:rPr>
                <w:rFonts w:eastAsia="Verdana"/>
                <w:color w:val="696969"/>
              </w:rPr>
              <w:t>Bodily restraint per 1,000 bed days</w:t>
            </w:r>
          </w:p>
        </w:tc>
        <w:tc>
          <w:tcPr>
            <w:tcW w:w="5103" w:type="dxa"/>
          </w:tcPr>
          <w:p w14:paraId="64F29EF5" w14:textId="58A13FA2" w:rsidR="008C0E9A" w:rsidRPr="008C0E9A" w:rsidRDefault="008C0E9A" w:rsidP="008C0E9A">
            <w:pPr>
              <w:pStyle w:val="VAHItabletext"/>
              <w:rPr>
                <w:rFonts w:eastAsia="Verdana" w:cs="Verdana"/>
                <w:szCs w:val="18"/>
              </w:rPr>
            </w:pPr>
            <w:r w:rsidRPr="008C0E9A">
              <w:rPr>
                <w:rFonts w:eastAsia="Verdana"/>
                <w:color w:val="696969"/>
              </w:rPr>
              <w:t>Rate of ended bodily restraint (mechanical or physical) episodes per 1,000 occupied bed days within inpatient units, excluding leave and same day stays.</w:t>
            </w:r>
          </w:p>
        </w:tc>
        <w:tc>
          <w:tcPr>
            <w:tcW w:w="1559" w:type="dxa"/>
          </w:tcPr>
          <w:p w14:paraId="4AC911AB" w14:textId="0A8CE63C" w:rsidR="008C0E9A" w:rsidRPr="008C0E9A" w:rsidRDefault="008C0E9A" w:rsidP="008C0E9A">
            <w:pPr>
              <w:pStyle w:val="VAHItabletext"/>
              <w:rPr>
                <w:rFonts w:eastAsia="Verdana" w:cs="Verdana"/>
                <w:szCs w:val="18"/>
              </w:rPr>
            </w:pPr>
          </w:p>
        </w:tc>
        <w:tc>
          <w:tcPr>
            <w:tcW w:w="4820" w:type="dxa"/>
          </w:tcPr>
          <w:p w14:paraId="1EB79FD8" w14:textId="1EFCDDE7" w:rsidR="008C0E9A" w:rsidRPr="008C0E9A" w:rsidRDefault="008C0E9A" w:rsidP="008C0E9A">
            <w:pPr>
              <w:pStyle w:val="VAHItabletext"/>
              <w:rPr>
                <w:rFonts w:eastAsia="Verdana" w:cs="Verdana"/>
                <w:szCs w:val="18"/>
              </w:rPr>
            </w:pPr>
            <w:r w:rsidRPr="008C0E9A">
              <w:rPr>
                <w:rFonts w:eastAsia="Verdana"/>
                <w:color w:val="696969"/>
              </w:rPr>
              <w:t>Calculation of bed days involves converting minutes into days.</w:t>
            </w:r>
          </w:p>
        </w:tc>
      </w:tr>
      <w:tr w:rsidR="008C0E9A" w:rsidRPr="0069621D" w14:paraId="1501EE19" w14:textId="77777777" w:rsidTr="000B0CCC">
        <w:trPr>
          <w:cantSplit/>
        </w:trPr>
        <w:tc>
          <w:tcPr>
            <w:tcW w:w="1702" w:type="dxa"/>
            <w:shd w:val="clear" w:color="auto" w:fill="auto"/>
          </w:tcPr>
          <w:p w14:paraId="7DB2F668" w14:textId="77777777" w:rsidR="008C0E9A" w:rsidRPr="008C0E9A" w:rsidRDefault="008C0E9A" w:rsidP="008C0E9A">
            <w:pPr>
              <w:pStyle w:val="VAHItabletext"/>
              <w:rPr>
                <w:szCs w:val="18"/>
              </w:rPr>
            </w:pPr>
          </w:p>
        </w:tc>
        <w:tc>
          <w:tcPr>
            <w:tcW w:w="1842" w:type="dxa"/>
          </w:tcPr>
          <w:p w14:paraId="55A3EB24" w14:textId="6CAAF0D2" w:rsidR="008C0E9A" w:rsidRPr="008C0E9A" w:rsidRDefault="008C0E9A" w:rsidP="008C0E9A">
            <w:pPr>
              <w:pStyle w:val="VAHItabletext"/>
              <w:rPr>
                <w:rFonts w:eastAsia="Verdana" w:cs="Verdana"/>
                <w:szCs w:val="18"/>
              </w:rPr>
            </w:pPr>
            <w:r w:rsidRPr="008C0E9A">
              <w:rPr>
                <w:rFonts w:eastAsia="Verdana"/>
                <w:color w:val="696969"/>
              </w:rPr>
              <w:t>Seclusions per 1,000 bed days</w:t>
            </w:r>
          </w:p>
        </w:tc>
        <w:tc>
          <w:tcPr>
            <w:tcW w:w="5103" w:type="dxa"/>
          </w:tcPr>
          <w:p w14:paraId="0C80AB8F" w14:textId="26B4DB98" w:rsidR="008C0E9A" w:rsidRPr="008C0E9A" w:rsidRDefault="008C0E9A" w:rsidP="008C0E9A">
            <w:pPr>
              <w:pStyle w:val="VAHItabletext"/>
              <w:rPr>
                <w:rFonts w:eastAsia="Verdana" w:cs="Verdana"/>
                <w:szCs w:val="18"/>
              </w:rPr>
            </w:pPr>
            <w:r w:rsidRPr="008C0E9A">
              <w:rPr>
                <w:rFonts w:eastAsia="Verdana"/>
                <w:color w:val="696969"/>
              </w:rPr>
              <w:t>Rate of ended seclusion episodes per 1,000 occupied bed days within inpatient units, excluding leave, same day stays and units that do not have a seclusion room.</w:t>
            </w:r>
          </w:p>
        </w:tc>
        <w:tc>
          <w:tcPr>
            <w:tcW w:w="1559" w:type="dxa"/>
          </w:tcPr>
          <w:p w14:paraId="3F423A82" w14:textId="0E818D8A" w:rsidR="008C0E9A" w:rsidRPr="008C0E9A" w:rsidRDefault="008C0E9A" w:rsidP="008C0E9A">
            <w:pPr>
              <w:pStyle w:val="VAHItabletext"/>
              <w:rPr>
                <w:rFonts w:eastAsia="Verdana" w:cs="Verdana"/>
                <w:szCs w:val="18"/>
              </w:rPr>
            </w:pPr>
            <w:r w:rsidRPr="008C0E9A">
              <w:rPr>
                <w:rFonts w:eastAsia="Verdana"/>
                <w:color w:val="696969"/>
              </w:rPr>
              <w:t>15.0</w:t>
            </w:r>
          </w:p>
        </w:tc>
        <w:tc>
          <w:tcPr>
            <w:tcW w:w="4820" w:type="dxa"/>
          </w:tcPr>
          <w:p w14:paraId="6ACB517C" w14:textId="2835D06E" w:rsidR="008C0E9A" w:rsidRPr="008C0E9A" w:rsidRDefault="008C0E9A" w:rsidP="008C0E9A">
            <w:pPr>
              <w:pStyle w:val="VAHItabletext"/>
              <w:rPr>
                <w:rFonts w:eastAsia="Verdana" w:cs="Verdana"/>
                <w:szCs w:val="18"/>
              </w:rPr>
            </w:pPr>
            <w:r w:rsidRPr="008C0E9A">
              <w:rPr>
                <w:rFonts w:eastAsia="Verdana"/>
                <w:color w:val="696969"/>
              </w:rPr>
              <w:t>Calculation of bed days involves converting minutes into days.</w:t>
            </w:r>
          </w:p>
        </w:tc>
      </w:tr>
      <w:tr w:rsidR="008C0E9A" w:rsidRPr="0069621D" w14:paraId="4217DCC2" w14:textId="77777777" w:rsidTr="000B0CCC">
        <w:trPr>
          <w:cantSplit/>
        </w:trPr>
        <w:tc>
          <w:tcPr>
            <w:tcW w:w="1702" w:type="dxa"/>
            <w:shd w:val="clear" w:color="auto" w:fill="auto"/>
          </w:tcPr>
          <w:p w14:paraId="0617E5DD" w14:textId="77777777" w:rsidR="008C0E9A" w:rsidRPr="008C0E9A" w:rsidRDefault="008C0E9A" w:rsidP="008C0E9A">
            <w:pPr>
              <w:pStyle w:val="VAHItabletext"/>
              <w:rPr>
                <w:szCs w:val="18"/>
              </w:rPr>
            </w:pPr>
          </w:p>
        </w:tc>
        <w:tc>
          <w:tcPr>
            <w:tcW w:w="1842" w:type="dxa"/>
          </w:tcPr>
          <w:p w14:paraId="5DDA0C46" w14:textId="49115FDF" w:rsidR="008C0E9A" w:rsidRPr="008C0E9A" w:rsidRDefault="008C0E9A" w:rsidP="008C0E9A">
            <w:pPr>
              <w:pStyle w:val="VAHItabletext"/>
              <w:rPr>
                <w:rFonts w:eastAsia="Verdana" w:cs="Verdana"/>
                <w:szCs w:val="18"/>
              </w:rPr>
            </w:pPr>
            <w:r w:rsidRPr="008C0E9A">
              <w:rPr>
                <w:rFonts w:eastAsia="Verdana"/>
                <w:color w:val="696969"/>
              </w:rPr>
              <w:t>Pre admission contact (in area)</w:t>
            </w:r>
          </w:p>
        </w:tc>
        <w:tc>
          <w:tcPr>
            <w:tcW w:w="5103" w:type="dxa"/>
          </w:tcPr>
          <w:p w14:paraId="1115D417" w14:textId="6EB4E704" w:rsidR="008C0E9A" w:rsidRPr="008C0E9A" w:rsidRDefault="008C0E9A" w:rsidP="008C0E9A">
            <w:pPr>
              <w:pStyle w:val="VAHItabletext"/>
              <w:rPr>
                <w:rFonts w:eastAsia="Verdana" w:cs="Verdana"/>
                <w:szCs w:val="18"/>
              </w:rPr>
            </w:pPr>
            <w:r w:rsidRPr="008C0E9A">
              <w:rPr>
                <w:rFonts w:eastAsia="Verdana"/>
                <w:color w:val="696969"/>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0D763719" w14:textId="45AC066F" w:rsidR="008C0E9A" w:rsidRPr="008C0E9A" w:rsidRDefault="008C0E9A" w:rsidP="008C0E9A">
            <w:pPr>
              <w:pStyle w:val="VAHItabletext"/>
              <w:rPr>
                <w:rFonts w:eastAsia="Verdana" w:cs="Verdana"/>
                <w:szCs w:val="18"/>
              </w:rPr>
            </w:pPr>
            <w:r w:rsidRPr="008C0E9A">
              <w:rPr>
                <w:rFonts w:eastAsia="Verdana"/>
                <w:color w:val="696969"/>
              </w:rPr>
              <w:t>61.0 %</w:t>
            </w:r>
          </w:p>
        </w:tc>
        <w:tc>
          <w:tcPr>
            <w:tcW w:w="4820" w:type="dxa"/>
          </w:tcPr>
          <w:p w14:paraId="0B2C6B2A" w14:textId="068CDDF5" w:rsidR="008C0E9A" w:rsidRPr="008C0E9A" w:rsidRDefault="008C0E9A" w:rsidP="008C0E9A">
            <w:pPr>
              <w:pStyle w:val="VAHItabletext"/>
              <w:rPr>
                <w:rFonts w:eastAsia="Verdana" w:cs="Verdana"/>
                <w:szCs w:val="18"/>
              </w:rPr>
            </w:pPr>
            <w:r w:rsidRPr="008C0E9A">
              <w:rPr>
                <w:rFonts w:eastAsia="Verdana"/>
                <w:color w:val="696969"/>
              </w:rPr>
              <w:t>Measure can provide an indicator of a service's responsiveness and a planned approach to admission as opposed to a crisis response. Results during 2011, 2012, 2016 and 2017 were affected by industrial activity and should be interpreted with caution.</w:t>
            </w:r>
          </w:p>
        </w:tc>
      </w:tr>
      <w:tr w:rsidR="008C0E9A" w:rsidRPr="0069621D" w14:paraId="46EEAD99" w14:textId="77777777" w:rsidTr="000B0CCC">
        <w:trPr>
          <w:cantSplit/>
        </w:trPr>
        <w:tc>
          <w:tcPr>
            <w:tcW w:w="1702" w:type="dxa"/>
            <w:shd w:val="clear" w:color="auto" w:fill="auto"/>
          </w:tcPr>
          <w:p w14:paraId="287CE8A7" w14:textId="77777777" w:rsidR="008C0E9A" w:rsidRPr="008C0E9A" w:rsidRDefault="008C0E9A" w:rsidP="008C0E9A">
            <w:pPr>
              <w:pStyle w:val="VAHItabletext"/>
              <w:rPr>
                <w:szCs w:val="18"/>
              </w:rPr>
            </w:pPr>
          </w:p>
        </w:tc>
        <w:tc>
          <w:tcPr>
            <w:tcW w:w="1842" w:type="dxa"/>
          </w:tcPr>
          <w:p w14:paraId="5AF610E7" w14:textId="564121FF" w:rsidR="008C0E9A" w:rsidRPr="008C0E9A" w:rsidRDefault="008C0E9A" w:rsidP="008C0E9A">
            <w:pPr>
              <w:pStyle w:val="VAHItabletext"/>
              <w:rPr>
                <w:rFonts w:eastAsia="Verdana" w:cs="Verdana"/>
                <w:szCs w:val="18"/>
              </w:rPr>
            </w:pPr>
            <w:r w:rsidRPr="008C0E9A">
              <w:rPr>
                <w:rFonts w:eastAsia="Verdana"/>
                <w:color w:val="696969"/>
              </w:rPr>
              <w:t>7 day post discharge follow up</w:t>
            </w:r>
          </w:p>
        </w:tc>
        <w:tc>
          <w:tcPr>
            <w:tcW w:w="5103" w:type="dxa"/>
          </w:tcPr>
          <w:p w14:paraId="2CF35DA3" w14:textId="7F384B3B" w:rsidR="008C0E9A" w:rsidRPr="008C0E9A" w:rsidRDefault="008C0E9A" w:rsidP="008C0E9A">
            <w:pPr>
              <w:pStyle w:val="VAHItabletext"/>
              <w:rPr>
                <w:rFonts w:eastAsia="Verdana" w:cs="Verdana"/>
                <w:szCs w:val="18"/>
              </w:rPr>
            </w:pPr>
            <w:r w:rsidRPr="008C0E9A">
              <w:rPr>
                <w:rFonts w:eastAsia="Verdana"/>
                <w:color w:val="696969"/>
              </w:rPr>
              <w:t>Percentage of non-same day separations from inpatient units where the consumer was discharged to private residence or accommodation, for which an ambulatory service contact was recorded in the 7 days post separation, excluding contact made on the day of separation.</w:t>
            </w:r>
          </w:p>
        </w:tc>
        <w:tc>
          <w:tcPr>
            <w:tcW w:w="1559" w:type="dxa"/>
          </w:tcPr>
          <w:p w14:paraId="0F5C0963" w14:textId="14EF9B3A" w:rsidR="008C0E9A" w:rsidRPr="008C0E9A" w:rsidRDefault="008C0E9A" w:rsidP="008C0E9A">
            <w:pPr>
              <w:pStyle w:val="VAHItabletext"/>
              <w:rPr>
                <w:rFonts w:eastAsia="Verdana" w:cs="Verdana"/>
                <w:szCs w:val="18"/>
              </w:rPr>
            </w:pPr>
            <w:r w:rsidRPr="008C0E9A">
              <w:rPr>
                <w:rFonts w:eastAsia="Verdana"/>
                <w:color w:val="696969"/>
              </w:rPr>
              <w:t>80.0 %</w:t>
            </w:r>
          </w:p>
        </w:tc>
        <w:tc>
          <w:tcPr>
            <w:tcW w:w="4820" w:type="dxa"/>
          </w:tcPr>
          <w:p w14:paraId="58E0E644" w14:textId="1B121F3B" w:rsidR="008C0E9A" w:rsidRPr="008C0E9A" w:rsidRDefault="008C0E9A" w:rsidP="008C0E9A">
            <w:pPr>
              <w:pStyle w:val="VAHItabletext"/>
              <w:rPr>
                <w:rFonts w:eastAsia="Verdana" w:cs="Verdana"/>
                <w:szCs w:val="18"/>
              </w:rPr>
            </w:pPr>
            <w:r w:rsidRPr="008C0E9A">
              <w:rPr>
                <w:rFonts w:eastAsia="Verdana"/>
                <w:color w:val="696969"/>
              </w:rPr>
              <w:t>Where a consumer is discharged whilst on leave, contact must occur within the 7 days of leave. Results during 2011, 2012, 2016 and 2017 were affected by industrial activity and should be interpreted with caution.</w:t>
            </w:r>
          </w:p>
        </w:tc>
      </w:tr>
      <w:tr w:rsidR="008C0E9A" w:rsidRPr="0069621D" w14:paraId="130EC93A" w14:textId="77777777" w:rsidTr="000B0CCC">
        <w:trPr>
          <w:cantSplit/>
        </w:trPr>
        <w:tc>
          <w:tcPr>
            <w:tcW w:w="1702" w:type="dxa"/>
            <w:shd w:val="clear" w:color="auto" w:fill="auto"/>
          </w:tcPr>
          <w:p w14:paraId="4D8699D4" w14:textId="51D35649" w:rsidR="008C0E9A" w:rsidRPr="008C0E9A" w:rsidRDefault="008C0E9A" w:rsidP="008C0E9A">
            <w:pPr>
              <w:pStyle w:val="VAHItabletext"/>
              <w:rPr>
                <w:rFonts w:eastAsia="Verdana" w:cs="Verdana"/>
                <w:szCs w:val="18"/>
              </w:rPr>
            </w:pPr>
          </w:p>
        </w:tc>
        <w:tc>
          <w:tcPr>
            <w:tcW w:w="1842" w:type="dxa"/>
          </w:tcPr>
          <w:p w14:paraId="3FC82C4A" w14:textId="68514D2B" w:rsidR="008C0E9A" w:rsidRPr="008C0E9A" w:rsidRDefault="008C0E9A" w:rsidP="008C0E9A">
            <w:pPr>
              <w:pStyle w:val="VAHItabletext"/>
              <w:rPr>
                <w:rFonts w:eastAsia="Verdana" w:cs="Verdana"/>
                <w:szCs w:val="18"/>
              </w:rPr>
            </w:pPr>
            <w:r w:rsidRPr="008C0E9A">
              <w:rPr>
                <w:rFonts w:eastAsia="Verdana"/>
                <w:color w:val="696969"/>
              </w:rPr>
              <w:t>HoNOS compliance</w:t>
            </w:r>
          </w:p>
        </w:tc>
        <w:tc>
          <w:tcPr>
            <w:tcW w:w="5103" w:type="dxa"/>
          </w:tcPr>
          <w:p w14:paraId="7D57D74A" w14:textId="303605ED" w:rsidR="008C0E9A" w:rsidRPr="008C0E9A" w:rsidRDefault="008C0E9A" w:rsidP="008C0E9A">
            <w:pPr>
              <w:pStyle w:val="VAHItabletext"/>
              <w:rPr>
                <w:rFonts w:eastAsia="Verdana" w:cs="Verdana"/>
                <w:szCs w:val="18"/>
              </w:rPr>
            </w:pPr>
            <w:r w:rsidRPr="008C0E9A">
              <w:rPr>
                <w:rFonts w:eastAsia="Verdana"/>
                <w:color w:val="696969"/>
              </w:rPr>
              <w:t>Percentage of required collection events in an inpatient unit where a HoNOS outcome measurement scale (HoNOSCA/HNSADL/HoNOS65) was completed, excluding invalid HoNOS scores (more than two times rated as '9').</w:t>
            </w:r>
          </w:p>
        </w:tc>
        <w:tc>
          <w:tcPr>
            <w:tcW w:w="1559" w:type="dxa"/>
          </w:tcPr>
          <w:p w14:paraId="2DEB2BDE" w14:textId="1FCE28D2" w:rsidR="008C0E9A" w:rsidRPr="008C0E9A" w:rsidRDefault="008C0E9A" w:rsidP="008C0E9A">
            <w:pPr>
              <w:pStyle w:val="VAHItabletext"/>
              <w:rPr>
                <w:szCs w:val="18"/>
              </w:rPr>
            </w:pPr>
            <w:r w:rsidRPr="008C0E9A">
              <w:rPr>
                <w:rFonts w:eastAsia="Verdana"/>
                <w:color w:val="696969"/>
              </w:rPr>
              <w:t>85.0 %</w:t>
            </w:r>
          </w:p>
        </w:tc>
        <w:tc>
          <w:tcPr>
            <w:tcW w:w="4820" w:type="dxa"/>
          </w:tcPr>
          <w:p w14:paraId="31FEB266" w14:textId="0E7B86AE" w:rsidR="008C0E9A" w:rsidRPr="008C0E9A" w:rsidRDefault="008C0E9A" w:rsidP="008C0E9A">
            <w:pPr>
              <w:pStyle w:val="VAHItabletext"/>
              <w:rPr>
                <w:rFonts w:eastAsia="Verdana" w:cs="Verdana"/>
                <w:szCs w:val="18"/>
              </w:rPr>
            </w:pPr>
            <w:r w:rsidRPr="008C0E9A">
              <w:rPr>
                <w:rFonts w:eastAsia="Verdana"/>
                <w:color w:val="696969"/>
              </w:rPr>
              <w:t>Results during 2011, 2012, 2016 and 2017 were affected by industrial activity and should be interpreted with caution.</w:t>
            </w:r>
          </w:p>
        </w:tc>
      </w:tr>
      <w:tr w:rsidR="008C0E9A" w:rsidRPr="0069621D" w14:paraId="5D05BCEE" w14:textId="77777777" w:rsidTr="000B0CCC">
        <w:trPr>
          <w:cantSplit/>
        </w:trPr>
        <w:tc>
          <w:tcPr>
            <w:tcW w:w="1702" w:type="dxa"/>
            <w:shd w:val="clear" w:color="auto" w:fill="auto"/>
          </w:tcPr>
          <w:p w14:paraId="394A6533" w14:textId="42D38965" w:rsidR="008C0E9A" w:rsidRPr="008C0E9A" w:rsidRDefault="008C0E9A" w:rsidP="008C0E9A">
            <w:pPr>
              <w:pStyle w:val="VAHItabletext"/>
              <w:rPr>
                <w:szCs w:val="18"/>
              </w:rPr>
            </w:pPr>
            <w:r w:rsidRPr="008C0E9A">
              <w:rPr>
                <w:rFonts w:eastAsia="Verdana"/>
                <w:color w:val="696969"/>
              </w:rPr>
              <w:t>Community</w:t>
            </w:r>
          </w:p>
        </w:tc>
        <w:tc>
          <w:tcPr>
            <w:tcW w:w="1842" w:type="dxa"/>
          </w:tcPr>
          <w:p w14:paraId="76193907" w14:textId="795F1403" w:rsidR="008C0E9A" w:rsidRPr="008C0E9A" w:rsidRDefault="008C0E9A" w:rsidP="008C0E9A">
            <w:pPr>
              <w:pStyle w:val="VAHItabletext"/>
              <w:rPr>
                <w:rFonts w:eastAsia="Verdana" w:cs="Verdana"/>
                <w:szCs w:val="18"/>
              </w:rPr>
            </w:pPr>
            <w:r w:rsidRPr="008C0E9A">
              <w:rPr>
                <w:rFonts w:eastAsia="Verdana"/>
                <w:color w:val="696969"/>
              </w:rPr>
              <w:t>New case rate</w:t>
            </w:r>
          </w:p>
        </w:tc>
        <w:tc>
          <w:tcPr>
            <w:tcW w:w="5103" w:type="dxa"/>
          </w:tcPr>
          <w:p w14:paraId="40ADCA23" w14:textId="559D3F68" w:rsidR="008C0E9A" w:rsidRPr="008C0E9A" w:rsidRDefault="008C0E9A" w:rsidP="008C0E9A">
            <w:pPr>
              <w:pStyle w:val="VAHItabletext"/>
              <w:rPr>
                <w:rFonts w:eastAsia="Verdana" w:cs="Verdana"/>
                <w:szCs w:val="18"/>
              </w:rPr>
            </w:pPr>
            <w:r w:rsidRPr="008C0E9A">
              <w:rPr>
                <w:rFonts w:eastAsia="Verdana"/>
                <w:color w:val="696969"/>
              </w:rPr>
              <w:t>Percentage of community cases open at any time during the reference period which started during the reference period .</w:t>
            </w:r>
          </w:p>
        </w:tc>
        <w:tc>
          <w:tcPr>
            <w:tcW w:w="1559" w:type="dxa"/>
          </w:tcPr>
          <w:p w14:paraId="66307FA6" w14:textId="77777777" w:rsidR="008C0E9A" w:rsidRPr="008C0E9A" w:rsidRDefault="008C0E9A" w:rsidP="008C0E9A">
            <w:pPr>
              <w:pStyle w:val="VAHItabletext"/>
              <w:rPr>
                <w:szCs w:val="18"/>
              </w:rPr>
            </w:pPr>
          </w:p>
        </w:tc>
        <w:tc>
          <w:tcPr>
            <w:tcW w:w="4820" w:type="dxa"/>
          </w:tcPr>
          <w:p w14:paraId="6D9DE276" w14:textId="29C4BA2A" w:rsidR="008C0E9A" w:rsidRPr="008C0E9A" w:rsidRDefault="008C0E9A" w:rsidP="008C0E9A">
            <w:pPr>
              <w:pStyle w:val="VAHItabletext"/>
              <w:rPr>
                <w:rFonts w:eastAsia="Verdana" w:cs="Verdana"/>
                <w:szCs w:val="18"/>
              </w:rPr>
            </w:pPr>
          </w:p>
        </w:tc>
      </w:tr>
      <w:tr w:rsidR="008C0E9A" w:rsidRPr="0069621D" w14:paraId="2860F4E4" w14:textId="77777777" w:rsidTr="000B0CCC">
        <w:trPr>
          <w:cantSplit/>
        </w:trPr>
        <w:tc>
          <w:tcPr>
            <w:tcW w:w="1702" w:type="dxa"/>
            <w:shd w:val="clear" w:color="auto" w:fill="auto"/>
          </w:tcPr>
          <w:p w14:paraId="402DDE3D" w14:textId="77777777" w:rsidR="008C0E9A" w:rsidRPr="008C0E9A" w:rsidRDefault="008C0E9A" w:rsidP="008C0E9A">
            <w:pPr>
              <w:pStyle w:val="VAHItabletext"/>
              <w:rPr>
                <w:szCs w:val="18"/>
              </w:rPr>
            </w:pPr>
          </w:p>
        </w:tc>
        <w:tc>
          <w:tcPr>
            <w:tcW w:w="1842" w:type="dxa"/>
          </w:tcPr>
          <w:p w14:paraId="3AB39397" w14:textId="7E5C8A63" w:rsidR="008C0E9A" w:rsidRPr="008C0E9A" w:rsidRDefault="008C0E9A" w:rsidP="008C0E9A">
            <w:pPr>
              <w:pStyle w:val="VAHItabletext"/>
              <w:rPr>
                <w:rFonts w:eastAsia="Verdana" w:cs="Verdana"/>
                <w:szCs w:val="18"/>
              </w:rPr>
            </w:pPr>
            <w:r w:rsidRPr="008C0E9A">
              <w:rPr>
                <w:rFonts w:eastAsia="Verdana"/>
                <w:color w:val="696969"/>
              </w:rPr>
              <w:t>Average treatment days</w:t>
            </w:r>
          </w:p>
        </w:tc>
        <w:tc>
          <w:tcPr>
            <w:tcW w:w="5103" w:type="dxa"/>
          </w:tcPr>
          <w:p w14:paraId="1631E1FF" w14:textId="1356489E" w:rsidR="008C0E9A" w:rsidRPr="008C0E9A" w:rsidRDefault="008C0E9A" w:rsidP="008C0E9A">
            <w:pPr>
              <w:pStyle w:val="VAHItabletext"/>
              <w:rPr>
                <w:rFonts w:eastAsia="Verdana" w:cs="Verdana"/>
                <w:szCs w:val="18"/>
              </w:rPr>
            </w:pPr>
            <w:r w:rsidRPr="008C0E9A">
              <w:rPr>
                <w:rFonts w:eastAsia="Verdana"/>
                <w:color w:val="696969"/>
              </w:rPr>
              <w:t>Average number of distinct days with a reportable contact for consumers with an open community case during the reference period, excluding cases open less than 91 days.</w:t>
            </w:r>
          </w:p>
        </w:tc>
        <w:tc>
          <w:tcPr>
            <w:tcW w:w="1559" w:type="dxa"/>
          </w:tcPr>
          <w:p w14:paraId="12B7BAD2" w14:textId="77777777" w:rsidR="008C0E9A" w:rsidRPr="008C0E9A" w:rsidRDefault="008C0E9A" w:rsidP="008C0E9A">
            <w:pPr>
              <w:pStyle w:val="VAHItabletext"/>
              <w:rPr>
                <w:szCs w:val="18"/>
              </w:rPr>
            </w:pPr>
          </w:p>
        </w:tc>
        <w:tc>
          <w:tcPr>
            <w:tcW w:w="4820" w:type="dxa"/>
          </w:tcPr>
          <w:p w14:paraId="2D86D332" w14:textId="77D9678D" w:rsidR="008C0E9A" w:rsidRPr="008C0E9A" w:rsidRDefault="008C0E9A" w:rsidP="008C0E9A">
            <w:pPr>
              <w:pStyle w:val="VAHItabletext"/>
              <w:rPr>
                <w:rFonts w:eastAsia="Verdana" w:cs="Verdana"/>
                <w:szCs w:val="18"/>
              </w:rPr>
            </w:pPr>
            <w:r w:rsidRPr="008C0E9A">
              <w:rPr>
                <w:rFonts w:eastAsia="Verdana"/>
                <w:color w:val="696969"/>
              </w:rPr>
              <w:t>Results during 2011, 2012, 2016 and 2017 were affected by industrial activity and should be interpreted with caution.</w:t>
            </w:r>
          </w:p>
        </w:tc>
      </w:tr>
      <w:tr w:rsidR="008C0E9A" w:rsidRPr="0069621D" w14:paraId="4C106A7E" w14:textId="77777777" w:rsidTr="000B0CCC">
        <w:trPr>
          <w:cantSplit/>
        </w:trPr>
        <w:tc>
          <w:tcPr>
            <w:tcW w:w="1702" w:type="dxa"/>
            <w:shd w:val="clear" w:color="auto" w:fill="auto"/>
          </w:tcPr>
          <w:p w14:paraId="2A9F8C7F" w14:textId="77777777" w:rsidR="008C0E9A" w:rsidRPr="008C0E9A" w:rsidRDefault="008C0E9A" w:rsidP="008C0E9A">
            <w:pPr>
              <w:pStyle w:val="VAHItabletext"/>
              <w:rPr>
                <w:szCs w:val="18"/>
              </w:rPr>
            </w:pPr>
          </w:p>
        </w:tc>
        <w:tc>
          <w:tcPr>
            <w:tcW w:w="1842" w:type="dxa"/>
          </w:tcPr>
          <w:p w14:paraId="45DDAA6B" w14:textId="7BAA3D64" w:rsidR="008C0E9A" w:rsidRPr="008C0E9A" w:rsidRDefault="008C0E9A" w:rsidP="008C0E9A">
            <w:pPr>
              <w:pStyle w:val="VAHItabletext"/>
              <w:rPr>
                <w:rFonts w:eastAsia="Verdana" w:cs="Verdana"/>
                <w:szCs w:val="18"/>
              </w:rPr>
            </w:pPr>
            <w:r w:rsidRPr="008C0E9A">
              <w:rPr>
                <w:rFonts w:eastAsia="Verdana"/>
                <w:color w:val="696969"/>
              </w:rPr>
              <w:t>Cases with consumers on a CTO</w:t>
            </w:r>
          </w:p>
        </w:tc>
        <w:tc>
          <w:tcPr>
            <w:tcW w:w="5103" w:type="dxa"/>
          </w:tcPr>
          <w:p w14:paraId="63DFB33F" w14:textId="67B6F4F2" w:rsidR="008C0E9A" w:rsidRPr="008C0E9A" w:rsidRDefault="008C0E9A" w:rsidP="008C0E9A">
            <w:pPr>
              <w:pStyle w:val="VAHItabletext"/>
              <w:rPr>
                <w:rFonts w:eastAsia="Verdana" w:cs="Verdana"/>
                <w:szCs w:val="18"/>
              </w:rPr>
            </w:pPr>
            <w:r w:rsidRPr="008C0E9A">
              <w:rPr>
                <w:rFonts w:eastAsia="Verdana"/>
                <w:color w:val="696969"/>
              </w:rPr>
              <w:t>Percentage of open community cases where the consumer was concurrently on a Community Treatment Order (CTO).</w:t>
            </w:r>
          </w:p>
        </w:tc>
        <w:tc>
          <w:tcPr>
            <w:tcW w:w="1559" w:type="dxa"/>
          </w:tcPr>
          <w:p w14:paraId="17EC52B4" w14:textId="77777777" w:rsidR="008C0E9A" w:rsidRPr="008C0E9A" w:rsidRDefault="008C0E9A" w:rsidP="008C0E9A">
            <w:pPr>
              <w:pStyle w:val="VAHItabletext"/>
              <w:rPr>
                <w:szCs w:val="18"/>
              </w:rPr>
            </w:pPr>
          </w:p>
        </w:tc>
        <w:tc>
          <w:tcPr>
            <w:tcW w:w="4820" w:type="dxa"/>
          </w:tcPr>
          <w:p w14:paraId="602D7C8F" w14:textId="122814E7" w:rsidR="008C0E9A" w:rsidRPr="008C0E9A" w:rsidRDefault="008C0E9A" w:rsidP="008C0E9A">
            <w:pPr>
              <w:pStyle w:val="VAHItabletext"/>
              <w:rPr>
                <w:rFonts w:eastAsia="Verdana" w:cs="Verdana"/>
                <w:szCs w:val="18"/>
              </w:rPr>
            </w:pPr>
          </w:p>
        </w:tc>
      </w:tr>
      <w:tr w:rsidR="008C0E9A" w:rsidRPr="0069621D" w14:paraId="0B00DCC7" w14:textId="77777777" w:rsidTr="000B0CCC">
        <w:trPr>
          <w:cantSplit/>
        </w:trPr>
        <w:tc>
          <w:tcPr>
            <w:tcW w:w="1702" w:type="dxa"/>
            <w:shd w:val="clear" w:color="auto" w:fill="auto"/>
          </w:tcPr>
          <w:p w14:paraId="2CD236DF" w14:textId="77777777" w:rsidR="008C0E9A" w:rsidRPr="008C0E9A" w:rsidRDefault="008C0E9A" w:rsidP="008C0E9A">
            <w:pPr>
              <w:pStyle w:val="VAHItabletext"/>
              <w:rPr>
                <w:szCs w:val="18"/>
              </w:rPr>
            </w:pPr>
          </w:p>
        </w:tc>
        <w:tc>
          <w:tcPr>
            <w:tcW w:w="1842" w:type="dxa"/>
          </w:tcPr>
          <w:p w14:paraId="178FCD59" w14:textId="5582DEFB" w:rsidR="008C0E9A" w:rsidRPr="008C0E9A" w:rsidRDefault="008C0E9A" w:rsidP="008C0E9A">
            <w:pPr>
              <w:pStyle w:val="VAHItabletext"/>
              <w:rPr>
                <w:rFonts w:eastAsia="Verdana" w:cs="Verdana"/>
                <w:szCs w:val="18"/>
              </w:rPr>
            </w:pPr>
            <w:r w:rsidRPr="008C0E9A">
              <w:rPr>
                <w:rFonts w:eastAsia="Verdana"/>
                <w:color w:val="696969"/>
              </w:rPr>
              <w:t>HoNOS compliance</w:t>
            </w:r>
          </w:p>
        </w:tc>
        <w:tc>
          <w:tcPr>
            <w:tcW w:w="5103" w:type="dxa"/>
          </w:tcPr>
          <w:p w14:paraId="02C59BFD" w14:textId="5D1807D5" w:rsidR="008C0E9A" w:rsidRPr="008C0E9A" w:rsidRDefault="008C0E9A" w:rsidP="008C0E9A">
            <w:pPr>
              <w:pStyle w:val="VAHItabletext"/>
              <w:rPr>
                <w:rFonts w:eastAsia="Verdana" w:cs="Verdana"/>
                <w:szCs w:val="18"/>
              </w:rPr>
            </w:pPr>
            <w:r w:rsidRPr="008C0E9A">
              <w:rPr>
                <w:rFonts w:eastAsia="Verdana"/>
                <w:color w:val="696969"/>
              </w:rPr>
              <w:t>Percentage of required collection events in a community setting where a HoNOS outcome measurement scale (HoNOSCA/HNSADL/HoNOS65) was completed, excluding invalid HoNOS scores (more than two times rated as '9').</w:t>
            </w:r>
          </w:p>
        </w:tc>
        <w:tc>
          <w:tcPr>
            <w:tcW w:w="1559" w:type="dxa"/>
          </w:tcPr>
          <w:p w14:paraId="71FDE56A" w14:textId="322891C5" w:rsidR="008C0E9A" w:rsidRPr="008C0E9A" w:rsidRDefault="008C0E9A" w:rsidP="008C0E9A">
            <w:pPr>
              <w:pStyle w:val="VAHItabletext"/>
              <w:rPr>
                <w:szCs w:val="18"/>
              </w:rPr>
            </w:pPr>
            <w:r w:rsidRPr="008C0E9A">
              <w:rPr>
                <w:rFonts w:eastAsia="Verdana"/>
                <w:color w:val="696969"/>
              </w:rPr>
              <w:t>85.0 %</w:t>
            </w:r>
          </w:p>
        </w:tc>
        <w:tc>
          <w:tcPr>
            <w:tcW w:w="4820" w:type="dxa"/>
          </w:tcPr>
          <w:p w14:paraId="34570FAB" w14:textId="452BDE5A" w:rsidR="008C0E9A" w:rsidRPr="008C0E9A" w:rsidRDefault="008C0E9A" w:rsidP="008C0E9A">
            <w:pPr>
              <w:pStyle w:val="VAHItabletext"/>
              <w:rPr>
                <w:rFonts w:eastAsia="Verdana" w:cs="Verdana"/>
                <w:szCs w:val="18"/>
              </w:rPr>
            </w:pPr>
            <w:r w:rsidRPr="008C0E9A">
              <w:rPr>
                <w:rFonts w:eastAsia="Verdana"/>
                <w:color w:val="696969"/>
              </w:rPr>
              <w:t>Results during 2011, 2012, 2016 and 2017 were affected by industrial activity and should be interpreted with caution.</w:t>
            </w:r>
          </w:p>
        </w:tc>
      </w:tr>
      <w:tr w:rsidR="008C0E9A" w:rsidRPr="0069621D" w14:paraId="49BDEAE8" w14:textId="77777777" w:rsidTr="000B0CCC">
        <w:trPr>
          <w:cantSplit/>
        </w:trPr>
        <w:tc>
          <w:tcPr>
            <w:tcW w:w="1702" w:type="dxa"/>
            <w:shd w:val="clear" w:color="auto" w:fill="auto"/>
          </w:tcPr>
          <w:p w14:paraId="3B2286F9" w14:textId="77777777" w:rsidR="008C0E9A" w:rsidRPr="008C0E9A" w:rsidRDefault="008C0E9A" w:rsidP="008C0E9A">
            <w:pPr>
              <w:pStyle w:val="VAHItabletext"/>
              <w:rPr>
                <w:szCs w:val="18"/>
              </w:rPr>
            </w:pPr>
          </w:p>
        </w:tc>
        <w:tc>
          <w:tcPr>
            <w:tcW w:w="1842" w:type="dxa"/>
          </w:tcPr>
          <w:p w14:paraId="36A0DFA4" w14:textId="32B68F75" w:rsidR="008C0E9A" w:rsidRPr="008C0E9A" w:rsidRDefault="008C0E9A" w:rsidP="008C0E9A">
            <w:pPr>
              <w:pStyle w:val="VAHItabletext"/>
              <w:rPr>
                <w:rFonts w:eastAsia="Verdana" w:cs="Verdana"/>
                <w:szCs w:val="18"/>
              </w:rPr>
            </w:pPr>
            <w:r w:rsidRPr="008C0E9A">
              <w:rPr>
                <w:rFonts w:eastAsia="Verdana"/>
                <w:color w:val="696969"/>
              </w:rPr>
              <w:t>Average HoNOS at case start</w:t>
            </w:r>
          </w:p>
        </w:tc>
        <w:tc>
          <w:tcPr>
            <w:tcW w:w="5103" w:type="dxa"/>
          </w:tcPr>
          <w:p w14:paraId="54B0609B" w14:textId="400674BF" w:rsidR="008C0E9A" w:rsidRPr="008C0E9A" w:rsidRDefault="008C0E9A" w:rsidP="008C0E9A">
            <w:pPr>
              <w:pStyle w:val="VAHItabletext"/>
              <w:rPr>
                <w:rFonts w:eastAsia="Verdana" w:cs="Verdana"/>
                <w:szCs w:val="18"/>
              </w:rPr>
            </w:pPr>
            <w:r w:rsidRPr="008C0E9A">
              <w:rPr>
                <w:rFonts w:eastAsia="Verdana"/>
                <w:color w:val="696969"/>
              </w:rPr>
              <w:t>Average HoNOS total score (HoNOSCA/HNSADL/HoNOS65) collected on community case commencement, excluding invalid scores (more than two times rated as '9').</w:t>
            </w:r>
          </w:p>
        </w:tc>
        <w:tc>
          <w:tcPr>
            <w:tcW w:w="1559" w:type="dxa"/>
          </w:tcPr>
          <w:p w14:paraId="0D7705D6" w14:textId="278ED0DB" w:rsidR="008C0E9A" w:rsidRPr="008C0E9A" w:rsidRDefault="008C0E9A" w:rsidP="008C0E9A">
            <w:pPr>
              <w:pStyle w:val="VAHItabletext"/>
              <w:rPr>
                <w:rFonts w:eastAsia="Verdana" w:cs="Verdana"/>
                <w:szCs w:val="18"/>
              </w:rPr>
            </w:pPr>
          </w:p>
        </w:tc>
        <w:tc>
          <w:tcPr>
            <w:tcW w:w="4820" w:type="dxa"/>
          </w:tcPr>
          <w:p w14:paraId="2A2788F5" w14:textId="35F9C9EF" w:rsidR="008C0E9A" w:rsidRPr="008C0E9A" w:rsidRDefault="008C0E9A" w:rsidP="008C0E9A">
            <w:pPr>
              <w:pStyle w:val="VAHItabletext"/>
              <w:rPr>
                <w:rFonts w:eastAsia="Verdana" w:cs="Verdana"/>
                <w:szCs w:val="18"/>
              </w:rPr>
            </w:pPr>
            <w:r w:rsidRPr="008C0E9A">
              <w:rPr>
                <w:rFonts w:eastAsia="Verdana"/>
                <w:color w:val="696969"/>
              </w:rPr>
              <w:t>Measure reports symptom severity at episode commencement. Dates used in measure calculation are based on HoNOS completion date. Results during 2011, 2012, 2016 and 2017 were affected by industrial activity and should be interpreted with caution.</w:t>
            </w:r>
          </w:p>
        </w:tc>
      </w:tr>
      <w:tr w:rsidR="008C0E9A" w:rsidRPr="0069621D" w14:paraId="34B4389C" w14:textId="77777777" w:rsidTr="000B0CCC">
        <w:trPr>
          <w:cantSplit/>
        </w:trPr>
        <w:tc>
          <w:tcPr>
            <w:tcW w:w="1702" w:type="dxa"/>
            <w:shd w:val="clear" w:color="auto" w:fill="auto"/>
          </w:tcPr>
          <w:p w14:paraId="15E9A033" w14:textId="77777777" w:rsidR="008C0E9A" w:rsidRPr="008C0E9A" w:rsidRDefault="008C0E9A" w:rsidP="008C0E9A">
            <w:pPr>
              <w:pStyle w:val="VAHItabletext"/>
              <w:rPr>
                <w:szCs w:val="18"/>
              </w:rPr>
            </w:pPr>
          </w:p>
        </w:tc>
        <w:tc>
          <w:tcPr>
            <w:tcW w:w="1842" w:type="dxa"/>
          </w:tcPr>
          <w:p w14:paraId="3EB376CE" w14:textId="739D0092" w:rsidR="008C0E9A" w:rsidRPr="008C0E9A" w:rsidRDefault="008C0E9A" w:rsidP="008C0E9A">
            <w:pPr>
              <w:pStyle w:val="VAHItabletext"/>
              <w:rPr>
                <w:rFonts w:eastAsia="Verdana" w:cs="Verdana"/>
                <w:szCs w:val="18"/>
              </w:rPr>
            </w:pPr>
            <w:r w:rsidRPr="008C0E9A">
              <w:rPr>
                <w:rFonts w:eastAsia="Verdana"/>
                <w:color w:val="696969"/>
              </w:rPr>
              <w:t>Cases with significant improvement at closure</w:t>
            </w:r>
          </w:p>
        </w:tc>
        <w:tc>
          <w:tcPr>
            <w:tcW w:w="5103" w:type="dxa"/>
          </w:tcPr>
          <w:p w14:paraId="05E1921C" w14:textId="4FACC477" w:rsidR="008C0E9A" w:rsidRPr="008C0E9A" w:rsidRDefault="008C0E9A" w:rsidP="008C0E9A">
            <w:pPr>
              <w:pStyle w:val="VAHItabletext"/>
              <w:rPr>
                <w:rFonts w:eastAsia="Verdana" w:cs="Verdana"/>
                <w:szCs w:val="18"/>
              </w:rPr>
            </w:pPr>
            <w:r w:rsidRPr="008C0E9A">
              <w:rPr>
                <w:rFonts w:eastAsia="Verdana"/>
                <w:color w:val="696969"/>
              </w:rPr>
              <w:t>Percentage of completed community cases with a 'significant' (cases with a change score &gt;0.5) positive change calculation on case start and case end.</w:t>
            </w:r>
          </w:p>
        </w:tc>
        <w:tc>
          <w:tcPr>
            <w:tcW w:w="1559" w:type="dxa"/>
          </w:tcPr>
          <w:p w14:paraId="39AEE469" w14:textId="77777777" w:rsidR="008C0E9A" w:rsidRPr="008C0E9A" w:rsidRDefault="008C0E9A" w:rsidP="008C0E9A">
            <w:pPr>
              <w:pStyle w:val="VAHItabletext"/>
              <w:rPr>
                <w:szCs w:val="18"/>
              </w:rPr>
            </w:pPr>
          </w:p>
        </w:tc>
        <w:tc>
          <w:tcPr>
            <w:tcW w:w="4820" w:type="dxa"/>
          </w:tcPr>
          <w:p w14:paraId="057D5861" w14:textId="5AD0D7FA" w:rsidR="008C0E9A" w:rsidRPr="008C0E9A" w:rsidRDefault="008C0E9A" w:rsidP="008C0E9A">
            <w:pPr>
              <w:pStyle w:val="VAHItabletext"/>
              <w:rPr>
                <w:rFonts w:eastAsia="Verdana" w:cs="Verdana"/>
                <w:szCs w:val="18"/>
              </w:rPr>
            </w:pPr>
            <w:r w:rsidRPr="008C0E9A">
              <w:rPr>
                <w:rFonts w:eastAsia="Verdana"/>
                <w:color w:val="696969"/>
              </w:rPr>
              <w:t>Measure reports on clinically significant change as opposed to overall change. Results during 2011, 2012, 2016 and 2017 were affected by industrial activity and should be interpreted with caution.</w:t>
            </w:r>
          </w:p>
        </w:tc>
      </w:tr>
      <w:tr w:rsidR="008C0E9A" w:rsidRPr="0069621D" w14:paraId="12C4D44E" w14:textId="77777777" w:rsidTr="000B0CCC">
        <w:trPr>
          <w:cantSplit/>
        </w:trPr>
        <w:tc>
          <w:tcPr>
            <w:tcW w:w="1702" w:type="dxa"/>
            <w:shd w:val="clear" w:color="auto" w:fill="auto"/>
          </w:tcPr>
          <w:p w14:paraId="00EC9B6E" w14:textId="77777777" w:rsidR="008C0E9A" w:rsidRPr="008C0E9A" w:rsidRDefault="008C0E9A" w:rsidP="008C0E9A">
            <w:pPr>
              <w:pStyle w:val="VAHItabletext"/>
              <w:rPr>
                <w:szCs w:val="18"/>
              </w:rPr>
            </w:pPr>
          </w:p>
        </w:tc>
        <w:tc>
          <w:tcPr>
            <w:tcW w:w="1842" w:type="dxa"/>
          </w:tcPr>
          <w:p w14:paraId="10138DE0" w14:textId="5BBE9005" w:rsidR="008C0E9A" w:rsidRPr="008C0E9A" w:rsidRDefault="008C0E9A" w:rsidP="008C0E9A">
            <w:pPr>
              <w:pStyle w:val="VAHItabletext"/>
              <w:rPr>
                <w:rFonts w:eastAsia="Verdana" w:cs="Verdana"/>
                <w:szCs w:val="18"/>
              </w:rPr>
            </w:pPr>
            <w:r w:rsidRPr="008C0E9A">
              <w:rPr>
                <w:rFonts w:eastAsia="Verdana"/>
                <w:color w:val="696969"/>
              </w:rPr>
              <w:t>Self rated measures completed</w:t>
            </w:r>
          </w:p>
        </w:tc>
        <w:tc>
          <w:tcPr>
            <w:tcW w:w="5103" w:type="dxa"/>
          </w:tcPr>
          <w:p w14:paraId="593685B8" w14:textId="1EACED55" w:rsidR="008C0E9A" w:rsidRPr="008C0E9A" w:rsidRDefault="008C0E9A" w:rsidP="008C0E9A">
            <w:pPr>
              <w:pStyle w:val="VAHItabletext"/>
              <w:rPr>
                <w:rFonts w:eastAsia="Verdana" w:cs="Verdana"/>
                <w:szCs w:val="18"/>
              </w:rPr>
            </w:pPr>
            <w:r w:rsidRPr="008C0E9A">
              <w:rPr>
                <w:rFonts w:eastAsia="Verdana"/>
                <w:color w:val="696969"/>
              </w:rPr>
              <w:t>Percentage of collection occasions in a community setting where consumers completed a relevant consumer self-assessment measurement scale (BASIS-32/SDQ).</w:t>
            </w:r>
          </w:p>
        </w:tc>
        <w:tc>
          <w:tcPr>
            <w:tcW w:w="1559" w:type="dxa"/>
          </w:tcPr>
          <w:p w14:paraId="1BB4C3CB" w14:textId="77777777" w:rsidR="008C0E9A" w:rsidRPr="008C0E9A" w:rsidRDefault="008C0E9A" w:rsidP="008C0E9A">
            <w:pPr>
              <w:pStyle w:val="VAHItabletext"/>
              <w:rPr>
                <w:szCs w:val="18"/>
              </w:rPr>
            </w:pPr>
          </w:p>
        </w:tc>
        <w:tc>
          <w:tcPr>
            <w:tcW w:w="4820" w:type="dxa"/>
          </w:tcPr>
          <w:p w14:paraId="00C7F9BF" w14:textId="500A3EF6" w:rsidR="008C0E9A" w:rsidRPr="008C0E9A" w:rsidRDefault="008C0E9A" w:rsidP="008C0E9A">
            <w:pPr>
              <w:pStyle w:val="VAHItabletext"/>
              <w:rPr>
                <w:rFonts w:eastAsia="Verdana" w:cs="Verdana"/>
                <w:szCs w:val="18"/>
              </w:rPr>
            </w:pPr>
            <w:r w:rsidRPr="008C0E9A">
              <w:rPr>
                <w:rFonts w:eastAsia="Verdana"/>
                <w:color w:val="696969"/>
              </w:rPr>
              <w:t>Measure can be an indicator of service engagement with families and carers. Results during 2011, 2012, 2016 and 2017 were affected by industrial activity and should be interpreted with caution.</w:t>
            </w:r>
          </w:p>
        </w:tc>
      </w:tr>
      <w:tr w:rsidR="008C0E9A" w:rsidRPr="0069621D" w14:paraId="6701A4A9" w14:textId="77777777" w:rsidTr="000B0CCC">
        <w:trPr>
          <w:cantSplit/>
        </w:trPr>
        <w:tc>
          <w:tcPr>
            <w:tcW w:w="1702" w:type="dxa"/>
            <w:shd w:val="clear" w:color="auto" w:fill="auto"/>
          </w:tcPr>
          <w:p w14:paraId="2411657E" w14:textId="77777777" w:rsidR="008C0E9A" w:rsidRPr="008C0E9A" w:rsidRDefault="008C0E9A" w:rsidP="008C0E9A">
            <w:pPr>
              <w:pStyle w:val="VAHItabletext"/>
              <w:rPr>
                <w:szCs w:val="18"/>
              </w:rPr>
            </w:pPr>
          </w:p>
        </w:tc>
        <w:tc>
          <w:tcPr>
            <w:tcW w:w="1842" w:type="dxa"/>
          </w:tcPr>
          <w:p w14:paraId="4A6F57BF" w14:textId="05B4BC3A" w:rsidR="008C0E9A" w:rsidRPr="008C0E9A" w:rsidRDefault="008C0E9A" w:rsidP="008C0E9A">
            <w:pPr>
              <w:pStyle w:val="VAHItabletext"/>
              <w:rPr>
                <w:rFonts w:eastAsia="Verdana" w:cs="Verdana"/>
                <w:szCs w:val="18"/>
              </w:rPr>
            </w:pPr>
            <w:r w:rsidRPr="008C0E9A">
              <w:rPr>
                <w:rFonts w:eastAsia="Verdana"/>
                <w:color w:val="696969"/>
              </w:rPr>
              <w:t>Average change in clinically significant HoNOS items</w:t>
            </w:r>
          </w:p>
        </w:tc>
        <w:tc>
          <w:tcPr>
            <w:tcW w:w="5103" w:type="dxa"/>
          </w:tcPr>
          <w:p w14:paraId="2C8608BA" w14:textId="49B55C16" w:rsidR="008C0E9A" w:rsidRPr="008C0E9A" w:rsidRDefault="008C0E9A" w:rsidP="008C0E9A">
            <w:pPr>
              <w:pStyle w:val="VAHItabletext"/>
              <w:rPr>
                <w:rFonts w:eastAsia="Verdana" w:cs="Verdana"/>
                <w:szCs w:val="18"/>
              </w:rPr>
            </w:pPr>
            <w:r w:rsidRPr="008C0E9A">
              <w:rPr>
                <w:rFonts w:eastAsia="Verdana"/>
                <w:color w:val="696969"/>
              </w:rPr>
              <w:t>Difference in average number of 'clinically significant' HoNOS scales (HoNOSCA/HNSADL/HoNOS65) at community case start and end, excluding invalid scores (more than two times rated as '9'), HoNOSCA questions 14 and 15, and HNSADL/HoNOS65 questions 11 and 12.</w:t>
            </w:r>
          </w:p>
        </w:tc>
        <w:tc>
          <w:tcPr>
            <w:tcW w:w="1559" w:type="dxa"/>
          </w:tcPr>
          <w:p w14:paraId="2D098A8F" w14:textId="77777777" w:rsidR="008C0E9A" w:rsidRPr="008C0E9A" w:rsidRDefault="008C0E9A" w:rsidP="008C0E9A">
            <w:pPr>
              <w:pStyle w:val="VAHItabletext"/>
              <w:rPr>
                <w:szCs w:val="18"/>
              </w:rPr>
            </w:pPr>
          </w:p>
        </w:tc>
        <w:tc>
          <w:tcPr>
            <w:tcW w:w="4820" w:type="dxa"/>
          </w:tcPr>
          <w:p w14:paraId="62155242" w14:textId="3EFEA853" w:rsidR="008C0E9A" w:rsidRPr="008C0E9A" w:rsidRDefault="008C0E9A" w:rsidP="008C0E9A">
            <w:pPr>
              <w:pStyle w:val="VAHItabletext"/>
              <w:rPr>
                <w:rFonts w:eastAsia="Verdana" w:cs="Verdana"/>
                <w:szCs w:val="18"/>
              </w:rPr>
            </w:pPr>
            <w:r w:rsidRPr="008C0E9A">
              <w:rPr>
                <w:rFonts w:eastAsia="Verdana"/>
                <w:color w:val="696969"/>
              </w:rPr>
              <w:t>Measure is an alternative indicator of symptom severity reduction based on split of each HoNOS item into clinically significant (2,3,4) or not (0,1) rather than the sum of each scaled measure. Results during 2011, 2012, 2016 and 2017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251136F1" w:rsidR="00873CC2" w:rsidRDefault="00873CC2" w:rsidP="00CF11E1">
      <w:pPr>
        <w:pStyle w:val="VAHIbody"/>
        <w:rPr>
          <w:color w:val="D50032"/>
          <w:sz w:val="26"/>
          <w:szCs w:val="26"/>
        </w:rPr>
      </w:pPr>
    </w:p>
    <w:p w14:paraId="20758D13" w14:textId="3884800C" w:rsidR="001F5611" w:rsidRDefault="001F5611" w:rsidP="00CF11E1">
      <w:pPr>
        <w:pStyle w:val="VAHIbody"/>
        <w:rPr>
          <w:color w:val="D50032"/>
          <w:sz w:val="26"/>
          <w:szCs w:val="26"/>
        </w:rPr>
      </w:pPr>
    </w:p>
    <w:p w14:paraId="4E311F61" w14:textId="77777777" w:rsidR="001F5611" w:rsidRPr="001F5611" w:rsidRDefault="001F5611"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6"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6"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7F9DF883" w:rsidR="00CF11E1" w:rsidRPr="00BE2218" w:rsidRDefault="00CF11E1" w:rsidP="00A47400">
            <w:pPr>
              <w:pStyle w:val="VAHIbody"/>
            </w:pPr>
            <w:r w:rsidRPr="00BE2218">
              <w:t xml:space="preserve">© State of Victoria, Department of Health and Human Services </w:t>
            </w:r>
            <w:r w:rsidR="00BE2297">
              <w:t xml:space="preserve">April </w:t>
            </w:r>
            <w:r w:rsidR="00F91472">
              <w:t>2020</w:t>
            </w:r>
            <w:r w:rsidR="00BE2297">
              <w:t>.</w:t>
            </w:r>
          </w:p>
          <w:p w14:paraId="024159C8" w14:textId="5CFC4A5E" w:rsidR="00CF11E1" w:rsidRPr="00BE2218" w:rsidRDefault="003B4630" w:rsidP="00A47400">
            <w:pPr>
              <w:pStyle w:val="VAHIbody"/>
            </w:pPr>
            <w:r w:rsidRPr="00BE2218">
              <w:t xml:space="preserve">Available from </w:t>
            </w:r>
            <w:hyperlink r:id="rId17" w:history="1">
              <w:r w:rsidRPr="004758E5">
                <w:rPr>
                  <w:rStyle w:val="Hyperlink"/>
                </w:rPr>
                <w:t>Aged mental health performance indicator reports page</w:t>
              </w:r>
            </w:hyperlink>
            <w:r w:rsidRPr="004758E5">
              <w:t xml:space="preserve"> &lt;https://www2.health.vic.gov.au/mental-health/research-and-reporting/mental-health-performance-reports/aged-performance-indicator-reports&gt;</w:t>
            </w:r>
            <w:r w:rsidRPr="00BE2218">
              <w:t xml:space="preserve"> on the Health.vic website.</w:t>
            </w:r>
          </w:p>
        </w:tc>
      </w:tr>
      <w:bookmarkEnd w:id="16"/>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8"/>
      <w:footerReference w:type="default" r:id="rId19"/>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7B505" w14:textId="77777777" w:rsidR="000559B2" w:rsidRDefault="000559B2">
      <w:r>
        <w:separator/>
      </w:r>
    </w:p>
  </w:endnote>
  <w:endnote w:type="continuationSeparator" w:id="0">
    <w:p w14:paraId="72E806BE" w14:textId="77777777" w:rsidR="000559B2" w:rsidRDefault="0005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02AF" w14:textId="77777777" w:rsidR="00E538EE" w:rsidRDefault="00E53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804CB" w14:textId="1C39091F" w:rsidR="004A1C0F" w:rsidRDefault="004A1C0F">
    <w:pPr>
      <w:pStyle w:val="Footer"/>
    </w:pPr>
    <w:r>
      <w:rPr>
        <w:noProof/>
      </w:rPr>
      <mc:AlternateContent>
        <mc:Choice Requires="wps">
          <w:drawing>
            <wp:anchor distT="0" distB="0" distL="114300" distR="114300" simplePos="0" relativeHeight="251659264" behindDoc="0" locked="0" layoutInCell="0" allowOverlap="1" wp14:anchorId="531FB903" wp14:editId="59D937DF">
              <wp:simplePos x="0" y="0"/>
              <wp:positionH relativeFrom="page">
                <wp:posOffset>0</wp:posOffset>
              </wp:positionH>
              <wp:positionV relativeFrom="page">
                <wp:posOffset>7103110</wp:posOffset>
              </wp:positionV>
              <wp:extent cx="10692130" cy="266700"/>
              <wp:effectExtent l="0" t="0" r="0" b="0"/>
              <wp:wrapNone/>
              <wp:docPr id="2" name="MSIPCM50404727822a2ee7981f8835"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6D7250" w14:textId="18133962" w:rsidR="004A1C0F" w:rsidRPr="004A1C0F" w:rsidRDefault="004A1C0F" w:rsidP="004A1C0F">
                          <w:pPr>
                            <w:jc w:val="center"/>
                            <w:rPr>
                              <w:rFonts w:ascii="Arial Black" w:hAnsi="Arial Black"/>
                              <w:color w:val="000000"/>
                              <w:sz w:val="20"/>
                            </w:rPr>
                          </w:pPr>
                          <w:r w:rsidRPr="004A1C0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31FB903" id="_x0000_t202" coordsize="21600,21600" o:spt="202" path="m,l,21600r21600,l21600,xe">
              <v:stroke joinstyle="miter"/>
              <v:path gradientshapeok="t" o:connecttype="rect"/>
            </v:shapetype>
            <v:shape id="MSIPCM50404727822a2ee7981f8835" o:spid="_x0000_s1027" type="#_x0000_t202" alt="{&quot;HashCode&quot;:904758361,&quot;Height&quot;:595.0,&quot;Width&quot;:841.0,&quot;Placement&quot;:&quot;Footer&quot;,&quot;Index&quot;:&quot;Primary&quot;,&quot;Section&quot;:1,&quot;Top&quot;:0.0,&quot;Left&quot;:0.0}" style="position:absolute;margin-left:0;margin-top:559.3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" o:allowincell="f" filled="f" stroked="f" strokeweight=".5pt">
              <v:fill o:detectmouseclick="t"/>
              <v:textbox inset=",0,,0">
                <w:txbxContent>
                  <w:p w14:paraId="706D7250" w14:textId="18133962" w:rsidR="004A1C0F" w:rsidRPr="004A1C0F" w:rsidRDefault="004A1C0F" w:rsidP="004A1C0F">
                    <w:pPr>
                      <w:jc w:val="center"/>
                      <w:rPr>
                        <w:rFonts w:ascii="Arial Black" w:hAnsi="Arial Black"/>
                        <w:color w:val="000000"/>
                        <w:sz w:val="20"/>
                      </w:rPr>
                    </w:pPr>
                    <w:r w:rsidRPr="004A1C0F">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D939D" w14:textId="77777777" w:rsidR="00E538EE" w:rsidRDefault="00E538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4AF662F8" w:rsidR="000559B2" w:rsidRDefault="004A1C0F"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0288" behindDoc="0" locked="0" layoutInCell="0" allowOverlap="1" wp14:anchorId="693FB3CF" wp14:editId="431ACE63">
              <wp:simplePos x="0" y="0"/>
              <wp:positionH relativeFrom="page">
                <wp:posOffset>0</wp:posOffset>
              </wp:positionH>
              <wp:positionV relativeFrom="page">
                <wp:posOffset>7103110</wp:posOffset>
              </wp:positionV>
              <wp:extent cx="10692130" cy="266700"/>
              <wp:effectExtent l="0" t="0" r="0" b="0"/>
              <wp:wrapNone/>
              <wp:docPr id="5" name="MSIPCM7ae146b5bd83b7842db3716a"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D6847A" w14:textId="322E9545" w:rsidR="004A1C0F" w:rsidRPr="004A1C0F" w:rsidRDefault="004A1C0F" w:rsidP="004A1C0F">
                          <w:pPr>
                            <w:jc w:val="center"/>
                            <w:rPr>
                              <w:rFonts w:ascii="Arial Black" w:hAnsi="Arial Black"/>
                              <w:color w:val="000000"/>
                              <w:sz w:val="20"/>
                            </w:rPr>
                          </w:pPr>
                          <w:r w:rsidRPr="004A1C0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3FB3CF" id="_x0000_t202" coordsize="21600,21600" o:spt="202" path="m,l,21600r21600,l21600,xe">
              <v:stroke joinstyle="miter"/>
              <v:path gradientshapeok="t" o:connecttype="rect"/>
            </v:shapetype>
            <v:shape id="MSIPCM7ae146b5bd83b7842db3716a" o:spid="_x0000_s1028" type="#_x0000_t202" alt="{&quot;HashCode&quot;:904758361,&quot;Height&quot;:595.0,&quot;Width&quot;:841.0,&quot;Placement&quot;:&quot;Footer&quot;,&quot;Index&quot;:&quot;Primary&quot;,&quot;Section&quot;:3,&quot;Top&quot;:0.0,&quot;Left&quot;:0.0}" style="position:absolute;margin-left:0;margin-top:559.3pt;width:841.9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" o:allowincell="f" filled="f" stroked="f" strokeweight=".5pt">
              <v:fill o:detectmouseclick="t"/>
              <v:textbox inset=",0,,0">
                <w:txbxContent>
                  <w:p w14:paraId="3AD6847A" w14:textId="322E9545" w:rsidR="004A1C0F" w:rsidRPr="004A1C0F" w:rsidRDefault="004A1C0F" w:rsidP="004A1C0F">
                    <w:pPr>
                      <w:jc w:val="center"/>
                      <w:rPr>
                        <w:rFonts w:ascii="Arial Black" w:hAnsi="Arial Black"/>
                        <w:color w:val="000000"/>
                        <w:sz w:val="20"/>
                      </w:rPr>
                    </w:pPr>
                    <w:r w:rsidRPr="004A1C0F">
                      <w:rPr>
                        <w:rFonts w:ascii="Arial Black" w:hAnsi="Arial Black"/>
                        <w:color w:val="000000"/>
                        <w:sz w:val="20"/>
                      </w:rPr>
                      <w:t>OFFICIAL</w:t>
                    </w:r>
                  </w:p>
                </w:txbxContent>
              </v:textbox>
              <w10:wrap anchorx="page" anchory="page"/>
            </v:shape>
          </w:pict>
        </mc:Fallback>
      </mc:AlternateContent>
    </w:r>
    <w:r w:rsidR="000559B2" w:rsidRPr="000B0CCC">
      <w:rPr>
        <w:b w:val="0"/>
        <w:color w:val="244C5A"/>
        <w:sz w:val="16"/>
        <w:szCs w:val="16"/>
      </w:rPr>
      <w:t>Data Source: CMI/ODS, as at 1</w:t>
    </w:r>
    <w:r w:rsidR="00F91472">
      <w:rPr>
        <w:b w:val="0"/>
        <w:color w:val="244C5A"/>
        <w:sz w:val="16"/>
        <w:szCs w:val="16"/>
      </w:rPr>
      <w:t xml:space="preserve">0 </w:t>
    </w:r>
    <w:r>
      <w:rPr>
        <w:b w:val="0"/>
        <w:color w:val="244C5A"/>
        <w:sz w:val="16"/>
        <w:szCs w:val="16"/>
      </w:rPr>
      <w:t>April</w:t>
    </w:r>
    <w:r w:rsidR="00F91472">
      <w:rPr>
        <w:b w:val="0"/>
        <w:color w:val="244C5A"/>
        <w:sz w:val="16"/>
        <w:szCs w:val="16"/>
      </w:rPr>
      <w:t xml:space="preserve"> 2020.</w:t>
    </w:r>
    <w:r w:rsidR="000559B2">
      <w:rPr>
        <w:b w:val="0"/>
        <w:color w:val="244C5A"/>
      </w:rPr>
      <w:tab/>
    </w:r>
    <w:r w:rsidR="000559B2" w:rsidRPr="000B0CCC">
      <w:rPr>
        <w:rFonts w:ascii="VIC SemiBold" w:hAnsi="VIC SemiBold"/>
        <w:b w:val="0"/>
        <w:color w:val="244C5A"/>
      </w:rPr>
      <w:t>Victorian Agency for Health Information</w:t>
    </w:r>
  </w:p>
  <w:p w14:paraId="4FEACEF3" w14:textId="33F472A0" w:rsidR="000559B2" w:rsidRPr="000B0CCC" w:rsidRDefault="000559B2"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13A3F" w14:textId="77777777" w:rsidR="000559B2" w:rsidRDefault="000559B2" w:rsidP="002862F1">
      <w:pPr>
        <w:spacing w:before="120"/>
      </w:pPr>
      <w:r>
        <w:separator/>
      </w:r>
    </w:p>
  </w:footnote>
  <w:footnote w:type="continuationSeparator" w:id="0">
    <w:p w14:paraId="33BA48A4" w14:textId="77777777" w:rsidR="000559B2" w:rsidRDefault="00055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9455" w14:textId="77777777" w:rsidR="00E538EE" w:rsidRDefault="00E53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7D00" w14:textId="77777777" w:rsidR="00E538EE" w:rsidRDefault="00E538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78136" w14:textId="77777777" w:rsidR="00E538EE" w:rsidRDefault="00E538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08357A39" w:rsidR="000559B2" w:rsidRPr="00052DAD" w:rsidRDefault="000559B2" w:rsidP="00052DAD">
    <w:pPr>
      <w:ind w:hanging="284"/>
      <w:rPr>
        <w:rFonts w:ascii="VIC Medium" w:hAnsi="VIC Medium"/>
        <w:color w:val="244C5A"/>
        <w:szCs w:val="24"/>
      </w:rPr>
    </w:pPr>
    <w:r>
      <w:rPr>
        <w:rFonts w:ascii="VIC Medium" w:hAnsi="VIC Medium"/>
        <w:color w:val="244C5A"/>
        <w:szCs w:val="24"/>
      </w:rPr>
      <w:t xml:space="preserve">Aged </w:t>
    </w:r>
    <w:r w:rsidRPr="00052DAD">
      <w:rPr>
        <w:rFonts w:ascii="VIC Medium" w:hAnsi="VIC Medium"/>
        <w:color w:val="244C5A"/>
        <w:szCs w:val="24"/>
      </w:rPr>
      <w:t xml:space="preserve">mental health quarterly KPI report, </w:t>
    </w:r>
    <w:r>
      <w:rPr>
        <w:rFonts w:ascii="VIC Medium" w:hAnsi="VIC Medium"/>
        <w:color w:val="244C5A"/>
        <w:szCs w:val="24"/>
      </w:rPr>
      <w:t>2019</w:t>
    </w:r>
    <w:r w:rsidR="00F91472">
      <w:rPr>
        <w:rFonts w:ascii="VIC Medium" w:hAnsi="VIC Medium"/>
        <w:color w:val="244C5A"/>
        <w:szCs w:val="24"/>
      </w:rPr>
      <w:t>–</w:t>
    </w:r>
    <w:r>
      <w:rPr>
        <w:rFonts w:ascii="VIC Medium" w:hAnsi="VIC Medium"/>
        <w:color w:val="244C5A"/>
        <w:szCs w:val="24"/>
      </w:rPr>
      <w:t>20 Q</w:t>
    </w:r>
    <w:r w:rsidR="004A1C0F">
      <w:rPr>
        <w:rFonts w:ascii="VIC Medium" w:hAnsi="VIC Medium"/>
        <w:color w:val="244C5A"/>
        <w:szCs w:val="24"/>
      </w:rPr>
      <w:t>3</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59B2"/>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E3CC7"/>
    <w:rsid w:val="000E6BD4"/>
    <w:rsid w:val="000F1F1E"/>
    <w:rsid w:val="000F2259"/>
    <w:rsid w:val="001005E4"/>
    <w:rsid w:val="0010392D"/>
    <w:rsid w:val="00104FE3"/>
    <w:rsid w:val="00120BD3"/>
    <w:rsid w:val="00122558"/>
    <w:rsid w:val="00122FEA"/>
    <w:rsid w:val="001232BD"/>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5611"/>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536B7"/>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1C0F"/>
    <w:rsid w:val="004A3E81"/>
    <w:rsid w:val="004A5C62"/>
    <w:rsid w:val="004A707D"/>
    <w:rsid w:val="004A72EA"/>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72031"/>
    <w:rsid w:val="00576E84"/>
    <w:rsid w:val="00582B8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124E"/>
    <w:rsid w:val="006557A7"/>
    <w:rsid w:val="00656290"/>
    <w:rsid w:val="006621D7"/>
    <w:rsid w:val="0066302A"/>
    <w:rsid w:val="00670597"/>
    <w:rsid w:val="006706D0"/>
    <w:rsid w:val="00671143"/>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36D36"/>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0E9A"/>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16ABD"/>
    <w:rsid w:val="009224E5"/>
    <w:rsid w:val="00924AE1"/>
    <w:rsid w:val="00925F82"/>
    <w:rsid w:val="009269B1"/>
    <w:rsid w:val="0092724D"/>
    <w:rsid w:val="00937BD9"/>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59E9"/>
    <w:rsid w:val="009B6D65"/>
    <w:rsid w:val="009C6851"/>
    <w:rsid w:val="009C7A7E"/>
    <w:rsid w:val="009D02E8"/>
    <w:rsid w:val="009D4839"/>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46AD"/>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297"/>
    <w:rsid w:val="00BE28D2"/>
    <w:rsid w:val="00BF031D"/>
    <w:rsid w:val="00BF5F6F"/>
    <w:rsid w:val="00BF7F58"/>
    <w:rsid w:val="00C01381"/>
    <w:rsid w:val="00C079B8"/>
    <w:rsid w:val="00C123EA"/>
    <w:rsid w:val="00C125E4"/>
    <w:rsid w:val="00C12A49"/>
    <w:rsid w:val="00C133EE"/>
    <w:rsid w:val="00C27DE9"/>
    <w:rsid w:val="00C33388"/>
    <w:rsid w:val="00C4173A"/>
    <w:rsid w:val="00C41C2E"/>
    <w:rsid w:val="00C602FF"/>
    <w:rsid w:val="00C61174"/>
    <w:rsid w:val="00C6148F"/>
    <w:rsid w:val="00C62F7A"/>
    <w:rsid w:val="00C63B9C"/>
    <w:rsid w:val="00C6682F"/>
    <w:rsid w:val="00C7275E"/>
    <w:rsid w:val="00C74C5D"/>
    <w:rsid w:val="00C863C4"/>
    <w:rsid w:val="00C91665"/>
    <w:rsid w:val="00C93C3E"/>
    <w:rsid w:val="00CA12E3"/>
    <w:rsid w:val="00CA2943"/>
    <w:rsid w:val="00CA6611"/>
    <w:rsid w:val="00CA6B58"/>
    <w:rsid w:val="00CB0FB1"/>
    <w:rsid w:val="00CB605E"/>
    <w:rsid w:val="00CC0C72"/>
    <w:rsid w:val="00CC2BFD"/>
    <w:rsid w:val="00CD3476"/>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4673"/>
    <w:rsid w:val="00D46971"/>
    <w:rsid w:val="00D50B9C"/>
    <w:rsid w:val="00D51FA7"/>
    <w:rsid w:val="00D52D73"/>
    <w:rsid w:val="00D52E58"/>
    <w:rsid w:val="00D714CC"/>
    <w:rsid w:val="00D75769"/>
    <w:rsid w:val="00D75EA7"/>
    <w:rsid w:val="00D81F21"/>
    <w:rsid w:val="00D948FE"/>
    <w:rsid w:val="00D9522F"/>
    <w:rsid w:val="00D95470"/>
    <w:rsid w:val="00DA2619"/>
    <w:rsid w:val="00DA4239"/>
    <w:rsid w:val="00DB0B6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38EE"/>
    <w:rsid w:val="00E53A79"/>
    <w:rsid w:val="00E57A16"/>
    <w:rsid w:val="00E629A1"/>
    <w:rsid w:val="00E6552A"/>
    <w:rsid w:val="00E67D1F"/>
    <w:rsid w:val="00E715A7"/>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1472"/>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031D"/>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mental-health/research-and-reporting/mental-health-performance-reports/aged-performance-indicator-reports" TargetMode="External"/><Relationship Id="rId2" Type="http://schemas.openxmlformats.org/officeDocument/2006/relationships/numbering" Target="numbering.xml"/><Relationship Id="rId16" Type="http://schemas.openxmlformats.org/officeDocument/2006/relationships/hyperlink" Target="mailto:vahi@vahi.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7AF5C-054C-4819-9495-72408C43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13</Pages>
  <Words>2714</Words>
  <Characters>15471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2019-20 Q3 Aged mental health quarterly KPI report</vt:lpstr>
    </vt:vector>
  </TitlesOfParts>
  <Company>Victorian Department of Health and Human Services</Company>
  <LinksUpToDate>false</LinksUpToDate>
  <CharactersWithSpaces>18149</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Q3 Aged mental health quarterly KPI report</dc:title>
  <dc:subject/>
  <dc:creator>Victorian Agency for Health Information</dc:creator>
  <cp:keywords/>
  <cp:lastModifiedBy>Daniel Mendoza (DHHS)</cp:lastModifiedBy>
  <cp:revision>19</cp:revision>
  <cp:lastPrinted>2020-04-15T09:06:00Z</cp:lastPrinted>
  <dcterms:created xsi:type="dcterms:W3CDTF">2019-10-11T04:28:00Z</dcterms:created>
  <dcterms:modified xsi:type="dcterms:W3CDTF">2020-04-15T09:08:00Z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Daniel.Mendoza@vahi.vic.gov.au</vt:lpwstr>
  </property>
  <property fmtid="{D5CDD505-2E9C-101B-9397-08002B2CF9AE}" pid="6" name="MSIP_Label_43e64453-338c-4f93-8a4d-0039a0a41f2a_SetDate">
    <vt:lpwstr>2020-04-15T07:51:13.2730683Z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834635fc-0153-4628-8937-afde6d38806b</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ies>
</file>