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073EAD" w:rsidRDefault="00FD5CA8" w:rsidP="00DE6028">
      <w:pPr>
        <w:pStyle w:val="Spacerparatopoffirstpage"/>
        <w:rPr>
          <w:rFonts w:ascii="VIC" w:hAnsi="VIC"/>
        </w:rPr>
      </w:pPr>
      <w:r w:rsidRPr="00073EAD">
        <w:rPr>
          <w:rFonts w:ascii="VIC" w:hAnsi="VIC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305" cy="1713865"/>
            <wp:effectExtent l="0" t="0" r="0" b="0"/>
            <wp:wrapNone/>
            <wp:docPr id="35" name="Picture 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073EAD" w:rsidRDefault="00A62D44" w:rsidP="004C6EEE">
      <w:pPr>
        <w:pStyle w:val="Sectionbreakfirstpage"/>
        <w:rPr>
          <w:rFonts w:ascii="VIC" w:hAnsi="VIC"/>
        </w:rPr>
        <w:sectPr w:rsidR="00A62D44" w:rsidRPr="00073EAD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RPr="00073EAD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073EAD" w:rsidRDefault="00F76635" w:rsidP="00840DF3">
            <w:pPr>
              <w:pStyle w:val="DHHSmainheading"/>
              <w:rPr>
                <w:rFonts w:ascii="VIC" w:hAnsi="VIC"/>
              </w:rPr>
            </w:pPr>
            <w:bookmarkStart w:id="0" w:name="_Toc410762195"/>
            <w:r w:rsidRPr="00F76635">
              <w:rPr>
                <w:rFonts w:ascii="VIC" w:hAnsi="VIC"/>
              </w:rPr>
              <w:t>Mental health community service hours</w:t>
            </w:r>
            <w:r w:rsidR="00FD5CA8" w:rsidRPr="00073EAD">
              <w:rPr>
                <w:rFonts w:ascii="VIC" w:hAnsi="VIC"/>
              </w:rPr>
              <w:t xml:space="preserve"> </w:t>
            </w:r>
          </w:p>
        </w:tc>
      </w:tr>
      <w:tr w:rsidR="003A3438" w:rsidRPr="00073EAD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Pr="00073EAD" w:rsidRDefault="00D475EF" w:rsidP="00840DF3">
            <w:pPr>
              <w:pStyle w:val="DHHSmainsubheading"/>
              <w:rPr>
                <w:rFonts w:ascii="VIC" w:hAnsi="VIC"/>
              </w:rPr>
            </w:pPr>
            <w:r>
              <w:rPr>
                <w:rFonts w:ascii="VIC" w:hAnsi="VIC"/>
                <w:sz w:val="30"/>
                <w:szCs w:val="30"/>
              </w:rPr>
              <w:t>2018</w:t>
            </w:r>
            <w:r w:rsidR="00FD5CA8" w:rsidRPr="00073EAD">
              <w:rPr>
                <w:rFonts w:ascii="VIC" w:hAnsi="VIC"/>
                <w:sz w:val="30"/>
                <w:szCs w:val="30"/>
              </w:rPr>
              <w:t>-19</w:t>
            </w:r>
            <w:r w:rsidR="009E5AD4">
              <w:rPr>
                <w:rFonts w:ascii="VIC" w:hAnsi="VIC"/>
                <w:sz w:val="30"/>
                <w:szCs w:val="30"/>
              </w:rPr>
              <w:t xml:space="preserve"> Q4</w:t>
            </w:r>
          </w:p>
        </w:tc>
      </w:tr>
    </w:tbl>
    <w:bookmarkEnd w:id="0"/>
    <w:p w:rsidR="00D0539B" w:rsidRPr="00073EAD" w:rsidRDefault="00FD5CA8" w:rsidP="00FD5CA8">
      <w:pPr>
        <w:pStyle w:val="Heading1"/>
        <w:rPr>
          <w:rFonts w:ascii="VIC" w:hAnsi="VIC"/>
        </w:rPr>
      </w:pPr>
      <w:r w:rsidRPr="00073EAD">
        <w:rPr>
          <w:rFonts w:ascii="VIC" w:hAnsi="VIC"/>
        </w:rPr>
        <w:t>Service hours % Target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1785"/>
        <w:gridCol w:w="1786"/>
        <w:gridCol w:w="1786"/>
        <w:gridCol w:w="2040"/>
      </w:tblGrid>
      <w:tr w:rsidR="00FD5CA8" w:rsidRPr="00073EAD" w:rsidTr="00D475EF">
        <w:trPr>
          <w:trHeight w:hRule="exact" w:val="967"/>
          <w:tblHeader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5CA8" w:rsidRPr="00073EAD" w:rsidRDefault="00FD5CA8" w:rsidP="00F76635">
            <w:pPr>
              <w:pStyle w:val="DHHStablecolhead"/>
              <w:rPr>
                <w:rFonts w:ascii="VIC" w:hAnsi="VIC"/>
              </w:rPr>
            </w:pPr>
            <w:bookmarkStart w:id="1" w:name="_Toc410762196"/>
            <w:bookmarkStart w:id="2" w:name="_Toc440620742"/>
            <w:r w:rsidRPr="00073EAD">
              <w:rPr>
                <w:rFonts w:ascii="VIC" w:hAnsi="VIC"/>
              </w:rPr>
              <w:t>Service hours % Target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CA8" w:rsidRPr="00073EAD" w:rsidRDefault="00FD5CA8" w:rsidP="00F7663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Year to Date</w:t>
            </w:r>
          </w:p>
          <w:p w:rsidR="00FD5CA8" w:rsidRPr="00073EAD" w:rsidRDefault="00D475EF" w:rsidP="00F76635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2018-19</w:t>
            </w:r>
            <w:r w:rsidR="00FD5CA8" w:rsidRPr="00073EAD">
              <w:rPr>
                <w:rFonts w:ascii="VIC" w:hAnsi="VIC"/>
              </w:rPr>
              <w:t xml:space="preserve"> Q1-4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CA8" w:rsidRPr="00073EAD" w:rsidRDefault="00FD5CA8" w:rsidP="00F7663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 xml:space="preserve">Last </w:t>
            </w:r>
            <w:proofErr w:type="spellStart"/>
            <w:r w:rsidRPr="00073EAD">
              <w:rPr>
                <w:rFonts w:ascii="VIC" w:hAnsi="VIC"/>
              </w:rPr>
              <w:t>Qtr</w:t>
            </w:r>
            <w:proofErr w:type="spellEnd"/>
          </w:p>
          <w:p w:rsidR="00FD5CA8" w:rsidRPr="00073EAD" w:rsidRDefault="00D475EF" w:rsidP="00F76635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2018-19</w:t>
            </w:r>
            <w:r w:rsidR="00FD5CA8" w:rsidRPr="00073EAD">
              <w:rPr>
                <w:rFonts w:ascii="VIC" w:hAnsi="VIC"/>
              </w:rPr>
              <w:t xml:space="preserve"> Q4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CA8" w:rsidRPr="00073EAD" w:rsidRDefault="00FD5CA8" w:rsidP="00F7663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Full Year Target</w:t>
            </w:r>
          </w:p>
          <w:p w:rsidR="00FD5CA8" w:rsidRPr="00073EAD" w:rsidRDefault="00D475EF" w:rsidP="00F76635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2018-19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CA8" w:rsidRPr="00073EAD" w:rsidRDefault="00FD5CA8" w:rsidP="00F7663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% of Target</w:t>
            </w:r>
          </w:p>
          <w:p w:rsidR="00FD5CA8" w:rsidRPr="00073EAD" w:rsidRDefault="00FD5CA8" w:rsidP="00F7663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Expect approx. 100%</w:t>
            </w:r>
          </w:p>
        </w:tc>
      </w:tr>
      <w:tr w:rsidR="00FD5CA8" w:rsidRPr="00073EAD" w:rsidTr="00F76635">
        <w:trPr>
          <w:trHeight w:hRule="exact" w:val="427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Alfred</w:t>
            </w:r>
            <w:r w:rsidRPr="00073EAD">
              <w:rPr>
                <w:rFonts w:ascii="VIC" w:hAnsi="VIC"/>
                <w:spacing w:val="-4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83,372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20,893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86,201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97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1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Austin</w:t>
            </w:r>
            <w:r w:rsidRPr="00073EAD">
              <w:rPr>
                <w:rFonts w:ascii="VIC" w:hAnsi="VIC"/>
                <w:spacing w:val="-6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51,005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12,669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59,941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color w:val="FF0000"/>
              </w:rPr>
              <w:t>85</w:t>
            </w:r>
            <w:r w:rsidRPr="00073EAD">
              <w:rPr>
                <w:rFonts w:ascii="VIC" w:hAnsi="VIC"/>
                <w:color w:val="FF0000"/>
                <w:spacing w:val="-2"/>
              </w:rPr>
              <w:t xml:space="preserve"> </w:t>
            </w:r>
            <w:r w:rsidRPr="00073EAD">
              <w:rPr>
                <w:rFonts w:ascii="VIC" w:hAnsi="VIC"/>
                <w:color w:val="FF0000"/>
              </w:rPr>
              <w:t>%</w:t>
            </w:r>
          </w:p>
        </w:tc>
      </w:tr>
      <w:tr w:rsidR="00FD5CA8" w:rsidRPr="00073EAD" w:rsidTr="00F76635">
        <w:trPr>
          <w:trHeight w:hRule="exact" w:val="42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Eastern</w:t>
            </w:r>
            <w:r w:rsidRPr="00073EAD">
              <w:rPr>
                <w:rFonts w:ascii="VIC" w:hAnsi="VIC"/>
                <w:spacing w:val="-6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155,571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39,036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156,116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100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32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Melbourne</w:t>
            </w:r>
            <w:r w:rsidRPr="00073EAD">
              <w:rPr>
                <w:rFonts w:ascii="VIC" w:hAnsi="VIC"/>
                <w:spacing w:val="-4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278,034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70,541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251,395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color w:val="008000"/>
              </w:rPr>
              <w:t>111</w:t>
            </w:r>
            <w:r w:rsidRPr="00073EAD">
              <w:rPr>
                <w:rFonts w:ascii="VIC" w:hAnsi="VIC"/>
                <w:color w:val="008000"/>
                <w:spacing w:val="-2"/>
              </w:rPr>
              <w:t xml:space="preserve"> </w:t>
            </w:r>
            <w:r w:rsidRPr="00073EAD">
              <w:rPr>
                <w:rFonts w:ascii="VIC" w:hAnsi="VIC"/>
                <w:color w:val="008000"/>
              </w:rPr>
              <w:t>%</w:t>
            </w:r>
          </w:p>
        </w:tc>
      </w:tr>
      <w:tr w:rsidR="00FD5CA8" w:rsidRPr="00073EAD" w:rsidTr="00F76635">
        <w:trPr>
          <w:trHeight w:hRule="exact" w:val="423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Monash</w:t>
            </w:r>
            <w:r w:rsidRPr="00073EAD">
              <w:rPr>
                <w:rFonts w:ascii="VIC" w:hAnsi="VIC"/>
                <w:spacing w:val="-7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181,354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46,611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188,962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96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2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Peninsula</w:t>
            </w:r>
            <w:r w:rsidRPr="00073EAD">
              <w:rPr>
                <w:rFonts w:ascii="VIC" w:hAnsi="VIC"/>
                <w:spacing w:val="-7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55,935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13,783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56,147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100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07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St Vincent's</w:t>
            </w:r>
            <w:r w:rsidRPr="00073EAD">
              <w:rPr>
                <w:rFonts w:ascii="VIC" w:hAnsi="VIC"/>
                <w:spacing w:val="-7"/>
              </w:rPr>
              <w:t xml:space="preserve"> </w:t>
            </w:r>
            <w:r w:rsidRPr="00073EAD">
              <w:rPr>
                <w:rFonts w:ascii="VIC" w:hAnsi="VIC"/>
              </w:rPr>
              <w:t>Hospital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69,859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17,265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67,109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104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28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Mercy</w:t>
            </w:r>
            <w:r w:rsidRPr="00073EAD">
              <w:rPr>
                <w:rFonts w:ascii="VIC" w:hAnsi="VIC"/>
                <w:spacing w:val="-5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53,556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12,990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60,651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color w:val="FF0000"/>
              </w:rPr>
              <w:t>88</w:t>
            </w:r>
            <w:r w:rsidRPr="00073EAD">
              <w:rPr>
                <w:rFonts w:ascii="VIC" w:hAnsi="VIC"/>
                <w:color w:val="FF0000"/>
                <w:spacing w:val="-2"/>
              </w:rPr>
              <w:t xml:space="preserve"> </w:t>
            </w:r>
            <w:r w:rsidRPr="00073EAD">
              <w:rPr>
                <w:rFonts w:ascii="VIC" w:hAnsi="VIC"/>
                <w:color w:val="FF0000"/>
              </w:rPr>
              <w:t>%</w:t>
            </w:r>
          </w:p>
        </w:tc>
      </w:tr>
      <w:tr w:rsidR="00FD5CA8" w:rsidRPr="00073EAD" w:rsidTr="00F76635">
        <w:trPr>
          <w:trHeight w:hRule="exact" w:val="433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Royal</w:t>
            </w:r>
            <w:r w:rsidRPr="00073EAD">
              <w:rPr>
                <w:rFonts w:ascii="VIC" w:hAnsi="VIC"/>
                <w:spacing w:val="-9"/>
              </w:rPr>
              <w:t xml:space="preserve"> </w:t>
            </w:r>
            <w:r w:rsidRPr="00073EAD">
              <w:rPr>
                <w:rFonts w:ascii="VIC" w:hAnsi="VIC"/>
              </w:rPr>
              <w:t>Children's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38,432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spacing w:val="-1"/>
              </w:rPr>
              <w:t>9,221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36,721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105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526542">
        <w:trPr>
          <w:trHeight w:hRule="exact" w:val="47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VIFMH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16,407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spacing w:val="-1"/>
              </w:rPr>
              <w:t>4,350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19,284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color w:val="FF0000"/>
              </w:rPr>
              <w:t>85</w:t>
            </w:r>
            <w:r w:rsidRPr="00073EAD">
              <w:rPr>
                <w:rFonts w:ascii="VIC" w:hAnsi="VIC"/>
                <w:color w:val="FF0000"/>
                <w:spacing w:val="-2"/>
              </w:rPr>
              <w:t xml:space="preserve"> </w:t>
            </w:r>
            <w:r w:rsidRPr="00073EAD">
              <w:rPr>
                <w:rFonts w:ascii="VIC" w:hAnsi="VIC"/>
                <w:color w:val="FF0000"/>
              </w:rPr>
              <w:t>%</w:t>
            </w:r>
          </w:p>
        </w:tc>
      </w:tr>
      <w:tr w:rsidR="00FD5CA8" w:rsidRPr="00073EAD" w:rsidTr="00F76635">
        <w:trPr>
          <w:trHeight w:hRule="exact" w:val="41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Ballarat</w:t>
            </w:r>
            <w:r w:rsidRPr="00073EAD">
              <w:rPr>
                <w:rFonts w:ascii="VIC" w:hAnsi="VIC"/>
                <w:spacing w:val="-4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45,110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12,419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58,528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color w:val="FF0000"/>
              </w:rPr>
              <w:t>77</w:t>
            </w:r>
            <w:r w:rsidRPr="00073EAD">
              <w:rPr>
                <w:rFonts w:ascii="VIC" w:hAnsi="VIC"/>
                <w:color w:val="FF0000"/>
                <w:spacing w:val="-2"/>
              </w:rPr>
              <w:t xml:space="preserve"> </w:t>
            </w:r>
            <w:r w:rsidRPr="00073EAD">
              <w:rPr>
                <w:rFonts w:ascii="VIC" w:hAnsi="VIC"/>
                <w:color w:val="FF0000"/>
              </w:rPr>
              <w:t>%</w:t>
            </w:r>
          </w:p>
        </w:tc>
      </w:tr>
      <w:tr w:rsidR="00FD5CA8" w:rsidRPr="00073EAD" w:rsidTr="00F76635">
        <w:trPr>
          <w:trHeight w:hRule="exact" w:val="42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Barwon</w:t>
            </w:r>
            <w:r w:rsidRPr="00073EAD">
              <w:rPr>
                <w:rFonts w:ascii="VIC" w:hAnsi="VIC"/>
                <w:spacing w:val="-7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64,899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17,628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68,116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Default="00FD5CA8" w:rsidP="00F76635">
            <w:pPr>
              <w:pStyle w:val="DHHStabletext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95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  <w:p w:rsidR="00155FD5" w:rsidRPr="00073EAD" w:rsidRDefault="00155FD5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</w:p>
        </w:tc>
      </w:tr>
      <w:tr w:rsidR="00155FD5" w:rsidRPr="00073EAD" w:rsidTr="00155FD5">
        <w:trPr>
          <w:trHeight w:hRule="exact" w:val="72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FD5" w:rsidRPr="00073EAD" w:rsidRDefault="00155FD5" w:rsidP="00155FD5">
            <w:pPr>
              <w:pStyle w:val="DHHStablecolhead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lastRenderedPageBreak/>
              <w:t>Service hours % Target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FD5" w:rsidRPr="00073EAD" w:rsidRDefault="00155FD5" w:rsidP="00155FD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Year to Date</w:t>
            </w:r>
          </w:p>
          <w:p w:rsidR="00155FD5" w:rsidRPr="00073EAD" w:rsidRDefault="00155FD5" w:rsidP="00155FD5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2018-19</w:t>
            </w:r>
            <w:r w:rsidRPr="00073EAD">
              <w:rPr>
                <w:rFonts w:ascii="VIC" w:hAnsi="VIC"/>
              </w:rPr>
              <w:t xml:space="preserve"> Q1-4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FD5" w:rsidRPr="00073EAD" w:rsidRDefault="00155FD5" w:rsidP="00155FD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 xml:space="preserve">Last </w:t>
            </w:r>
            <w:proofErr w:type="spellStart"/>
            <w:r w:rsidRPr="00073EAD">
              <w:rPr>
                <w:rFonts w:ascii="VIC" w:hAnsi="VIC"/>
              </w:rPr>
              <w:t>Qtr</w:t>
            </w:r>
            <w:proofErr w:type="spellEnd"/>
          </w:p>
          <w:p w:rsidR="00155FD5" w:rsidRPr="00073EAD" w:rsidRDefault="00155FD5" w:rsidP="00155FD5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2018-19</w:t>
            </w:r>
            <w:r w:rsidRPr="00073EAD">
              <w:rPr>
                <w:rFonts w:ascii="VIC" w:hAnsi="VIC"/>
              </w:rPr>
              <w:t xml:space="preserve"> Q4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FD5" w:rsidRPr="00073EAD" w:rsidRDefault="00155FD5" w:rsidP="00155FD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Full Year Target</w:t>
            </w:r>
          </w:p>
          <w:p w:rsidR="00155FD5" w:rsidRPr="00073EAD" w:rsidRDefault="00155FD5" w:rsidP="00155FD5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2018-19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FD5" w:rsidRPr="00073EAD" w:rsidRDefault="00155FD5" w:rsidP="00155FD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% of Target</w:t>
            </w:r>
          </w:p>
          <w:p w:rsidR="00155FD5" w:rsidRPr="00073EAD" w:rsidRDefault="00155FD5" w:rsidP="00155FD5">
            <w:pPr>
              <w:pStyle w:val="DHHStablecolhead"/>
              <w:jc w:val="center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Expect approx. 100%</w:t>
            </w:r>
          </w:p>
        </w:tc>
      </w:tr>
      <w:tr w:rsidR="00FD5CA8" w:rsidRPr="00073EAD" w:rsidTr="00F76635">
        <w:trPr>
          <w:trHeight w:hRule="exact" w:val="44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Bendigo</w:t>
            </w:r>
            <w:r w:rsidRPr="00073EAD">
              <w:rPr>
                <w:rFonts w:ascii="VIC" w:hAnsi="VIC"/>
                <w:spacing w:val="-4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70,876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17,462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69,109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103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22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Goulburn Valley</w:t>
            </w:r>
            <w:r w:rsidRPr="00073EAD">
              <w:rPr>
                <w:rFonts w:ascii="VIC" w:hAnsi="VIC"/>
                <w:spacing w:val="-7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37,168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spacing w:val="-1"/>
              </w:rPr>
              <w:t>8,995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39,071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95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14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Latrobe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Regional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66,327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16,407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69,423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96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34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Mildura Base</w:t>
            </w:r>
            <w:r w:rsidRPr="00073EAD">
              <w:rPr>
                <w:rFonts w:ascii="VIC" w:hAnsi="VIC"/>
                <w:spacing w:val="-6"/>
              </w:rPr>
              <w:t xml:space="preserve"> </w:t>
            </w:r>
            <w:r w:rsidRPr="00073EAD">
              <w:rPr>
                <w:rFonts w:ascii="VIC" w:hAnsi="VIC"/>
              </w:rPr>
              <w:t>Hospital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25,298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spacing w:val="-1"/>
              </w:rPr>
              <w:t>6,084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25,311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100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26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Albury Wodonga</w:t>
            </w:r>
            <w:r w:rsidRPr="00073EAD">
              <w:rPr>
                <w:rFonts w:ascii="VIC" w:hAnsi="VIC"/>
                <w:spacing w:val="-8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34,083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spacing w:val="-1"/>
              </w:rPr>
              <w:t>8,539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35,688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96</w:t>
            </w:r>
            <w:r w:rsidRPr="00073EAD">
              <w:rPr>
                <w:rFonts w:ascii="VIC" w:hAnsi="VIC"/>
                <w:spacing w:val="-2"/>
              </w:rPr>
              <w:t xml:space="preserve"> </w:t>
            </w:r>
            <w:r w:rsidRPr="00073EAD">
              <w:rPr>
                <w:rFonts w:ascii="VIC" w:hAnsi="VIC"/>
              </w:rPr>
              <w:t>%</w:t>
            </w:r>
          </w:p>
        </w:tc>
      </w:tr>
      <w:tr w:rsidR="00FD5CA8" w:rsidRPr="00073EAD" w:rsidTr="00F76635">
        <w:trPr>
          <w:trHeight w:hRule="exact" w:val="417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South West</w:t>
            </w:r>
            <w:r w:rsidRPr="00073EAD">
              <w:rPr>
                <w:rFonts w:ascii="VIC" w:hAnsi="VIC"/>
                <w:spacing w:val="-8"/>
              </w:rPr>
              <w:t xml:space="preserve"> </w:t>
            </w:r>
            <w:r w:rsidRPr="00073EAD">
              <w:rPr>
                <w:rFonts w:ascii="VIC" w:hAnsi="VIC"/>
              </w:rPr>
              <w:t>Health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32,093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spacing w:val="-1"/>
              </w:rPr>
              <w:t>7,860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</w:rPr>
              <w:t>34,564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073EAD">
              <w:rPr>
                <w:rFonts w:ascii="VIC" w:hAnsi="VIC"/>
                <w:color w:val="FF0000"/>
              </w:rPr>
              <w:t>93</w:t>
            </w:r>
            <w:r w:rsidRPr="00073EAD">
              <w:rPr>
                <w:rFonts w:ascii="VIC" w:hAnsi="VIC"/>
                <w:color w:val="FF0000"/>
                <w:spacing w:val="-2"/>
              </w:rPr>
              <w:t xml:space="preserve"> </w:t>
            </w:r>
            <w:r w:rsidRPr="00073EAD">
              <w:rPr>
                <w:rFonts w:ascii="VIC" w:hAnsi="VIC"/>
                <w:color w:val="FF0000"/>
              </w:rPr>
              <w:t>%</w:t>
            </w:r>
          </w:p>
        </w:tc>
      </w:tr>
      <w:tr w:rsidR="00FD5CA8" w:rsidRPr="00073EAD" w:rsidTr="00F76635">
        <w:trPr>
          <w:trHeight w:hRule="exact" w:val="423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FD5CA8" w:rsidRPr="00073EAD" w:rsidRDefault="00FD5CA8" w:rsidP="00F76635">
            <w:pPr>
              <w:pStyle w:val="DHHStabletext"/>
              <w:rPr>
                <w:rFonts w:ascii="VIC" w:eastAsia="Verdana" w:hAnsi="VIC" w:cs="Verdana"/>
                <w:b/>
                <w:szCs w:val="18"/>
              </w:rPr>
            </w:pPr>
            <w:r w:rsidRPr="00073EAD">
              <w:rPr>
                <w:rFonts w:ascii="VIC" w:hAnsi="VIC"/>
                <w:b/>
              </w:rPr>
              <w:t>TOTAL</w:t>
            </w:r>
            <w:r w:rsidRPr="00073EAD">
              <w:rPr>
                <w:rFonts w:ascii="VIC" w:hAnsi="VIC"/>
                <w:b/>
                <w:spacing w:val="-13"/>
              </w:rPr>
              <w:t xml:space="preserve"> </w:t>
            </w:r>
            <w:r w:rsidRPr="00073EAD">
              <w:rPr>
                <w:rFonts w:ascii="VIC" w:hAnsi="VIC"/>
                <w:b/>
              </w:rPr>
              <w:t>STATEWIDE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073EAD">
              <w:rPr>
                <w:rFonts w:ascii="VIC" w:hAnsi="VIC"/>
                <w:b/>
              </w:rPr>
              <w:t>1,359,381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073EAD">
              <w:rPr>
                <w:rFonts w:ascii="VIC" w:hAnsi="VIC"/>
                <w:b/>
              </w:rPr>
              <w:t>342,753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073EAD">
              <w:rPr>
                <w:rFonts w:ascii="VIC" w:hAnsi="VIC"/>
                <w:b/>
              </w:rPr>
              <w:t>1,382,337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FD5CA8" w:rsidRPr="00073EAD" w:rsidRDefault="00FD5CA8" w:rsidP="00F7663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073EAD">
              <w:rPr>
                <w:rFonts w:ascii="VIC" w:hAnsi="VIC"/>
                <w:b/>
              </w:rPr>
              <w:t>98</w:t>
            </w:r>
            <w:r w:rsidRPr="00073EAD">
              <w:rPr>
                <w:rFonts w:ascii="VIC" w:hAnsi="VIC"/>
                <w:b/>
                <w:spacing w:val="-2"/>
              </w:rPr>
              <w:t xml:space="preserve"> </w:t>
            </w:r>
            <w:r w:rsidRPr="00073EAD">
              <w:rPr>
                <w:rFonts w:ascii="VIC" w:hAnsi="VIC"/>
                <w:b/>
              </w:rPr>
              <w:t>%</w:t>
            </w:r>
          </w:p>
        </w:tc>
      </w:tr>
    </w:tbl>
    <w:bookmarkEnd w:id="1"/>
    <w:bookmarkEnd w:id="2"/>
    <w:p w:rsidR="00FD5CA8" w:rsidRPr="00073EAD" w:rsidRDefault="00F76635" w:rsidP="00FD5CA8">
      <w:pPr>
        <w:pStyle w:val="DHHSbody"/>
        <w:rPr>
          <w:rFonts w:ascii="VIC" w:hAnsi="VIC"/>
        </w:rPr>
      </w:pPr>
      <w:r>
        <w:rPr>
          <w:rFonts w:ascii="VIC" w:hAnsi="VIC"/>
        </w:rPr>
        <w:br w:type="textWrapping" w:clear="all"/>
      </w:r>
      <w:r w:rsidR="00FD5CA8" w:rsidRPr="00073EAD">
        <w:rPr>
          <w:rFonts w:ascii="VIC" w:hAnsi="VIC"/>
        </w:rPr>
        <w:t>KPI Definition - Total Service hours by sector. Includes type 'A' &amp; 'E' registered, type 'B' unregistered and type 'C' community contacts.</w:t>
      </w:r>
      <w:r w:rsidR="00F74C22" w:rsidRPr="00073EAD">
        <w:rPr>
          <w:rFonts w:ascii="VIC" w:hAnsi="VIC"/>
        </w:rPr>
        <w:t xml:space="preserve"> </w:t>
      </w:r>
      <w:r w:rsidR="00FD5CA8" w:rsidRPr="00073EAD">
        <w:rPr>
          <w:rFonts w:ascii="VIC" w:hAnsi="VIC"/>
        </w:rPr>
        <w:t>“Service Hours” is defined as contact hours</w:t>
      </w:r>
      <w:r w:rsidR="00713FCD" w:rsidRPr="00073EAD">
        <w:rPr>
          <w:rFonts w:ascii="VIC" w:hAnsi="VIC"/>
          <w:spacing w:val="34"/>
        </w:rPr>
        <w:t xml:space="preserve"> </w:t>
      </w:r>
      <w:r w:rsidR="00FD5CA8" w:rsidRPr="00073EAD">
        <w:rPr>
          <w:rFonts w:ascii="VIC" w:hAnsi="VIC"/>
        </w:rPr>
        <w:t>adjusted for group session contacts.  (For group contacts – multiply contact duration by number of Healthcare Professionals present</w:t>
      </w:r>
      <w:r w:rsidR="00F74C22" w:rsidRPr="00073EAD">
        <w:rPr>
          <w:rFonts w:ascii="VIC" w:hAnsi="VIC"/>
        </w:rPr>
        <w:t xml:space="preserve"> </w:t>
      </w:r>
      <w:r w:rsidR="00FD5CA8" w:rsidRPr="00073EAD">
        <w:rPr>
          <w:rFonts w:ascii="VIC" w:hAnsi="VIC"/>
        </w:rPr>
        <w:t>and divide by the number of patients</w:t>
      </w:r>
      <w:r w:rsidR="00FD5CA8" w:rsidRPr="00073EAD">
        <w:rPr>
          <w:rFonts w:ascii="VIC" w:hAnsi="VIC"/>
          <w:spacing w:val="27"/>
        </w:rPr>
        <w:t xml:space="preserve"> </w:t>
      </w:r>
      <w:r w:rsidR="00FD5CA8" w:rsidRPr="00073EAD">
        <w:rPr>
          <w:rFonts w:ascii="VIC" w:hAnsi="VIC"/>
        </w:rPr>
        <w:t>involved.)</w:t>
      </w:r>
    </w:p>
    <w:p w:rsidR="00B13291" w:rsidRPr="00073EAD" w:rsidRDefault="00FD5CA8" w:rsidP="00FD5CA8">
      <w:pPr>
        <w:pStyle w:val="DHHSbody"/>
        <w:rPr>
          <w:rFonts w:ascii="VIC" w:hAnsi="VIC"/>
        </w:rPr>
      </w:pPr>
      <w:r w:rsidRPr="00073EAD">
        <w:rPr>
          <w:rFonts w:ascii="VIC" w:hAnsi="VIC"/>
        </w:rPr>
        <w:t>Activity measure with targets specified in Policy and Funding Guidelines. Note that 1) Veterans, CEED &amp; The Bouverie Cent</w:t>
      </w:r>
    </w:p>
    <w:p w:rsidR="00FD5CA8" w:rsidRPr="00073EAD" w:rsidRDefault="00FD5CA8" w:rsidP="00FD5CA8">
      <w:pPr>
        <w:pStyle w:val="DHHSbody"/>
        <w:rPr>
          <w:rFonts w:ascii="VIC" w:hAnsi="VIC"/>
        </w:rPr>
      </w:pPr>
      <w:r w:rsidRPr="00073EAD">
        <w:rPr>
          <w:rFonts w:ascii="VIC" w:hAnsi="VIC"/>
        </w:rPr>
        <w:t>re contacts and 2) contacts recorded against inpatient</w:t>
      </w:r>
      <w:r w:rsidRPr="00073EAD">
        <w:rPr>
          <w:rFonts w:ascii="VIC" w:hAnsi="VIC"/>
          <w:spacing w:val="11"/>
        </w:rPr>
        <w:t xml:space="preserve"> </w:t>
      </w:r>
      <w:r w:rsidRPr="00073EAD">
        <w:rPr>
          <w:rFonts w:ascii="VIC" w:hAnsi="VIC"/>
        </w:rPr>
        <w:t>or residential program types, are</w:t>
      </w:r>
      <w:r w:rsidRPr="00073EAD">
        <w:rPr>
          <w:rFonts w:ascii="VIC" w:hAnsi="VIC"/>
          <w:spacing w:val="3"/>
        </w:rPr>
        <w:t xml:space="preserve"> </w:t>
      </w:r>
      <w:r w:rsidRPr="00073EAD">
        <w:rPr>
          <w:rFonts w:ascii="VIC" w:hAnsi="VIC"/>
        </w:rPr>
        <w:t>excluded.</w:t>
      </w:r>
    </w:p>
    <w:p w:rsidR="00FD5CA8" w:rsidRPr="00073EAD" w:rsidRDefault="00FD5CA8" w:rsidP="00FD5CA8">
      <w:pPr>
        <w:pStyle w:val="DHHSbody"/>
        <w:rPr>
          <w:rFonts w:ascii="VIC" w:hAnsi="VIC"/>
        </w:rPr>
      </w:pPr>
      <w:r w:rsidRPr="00073EAD">
        <w:rPr>
          <w:rFonts w:ascii="VIC" w:hAnsi="VIC"/>
        </w:rPr>
        <w:t xml:space="preserve">The statewide mental health ambulatory target within the Department of Health and Human Services' </w:t>
      </w:r>
      <w:r w:rsidRPr="00073EAD">
        <w:rPr>
          <w:rFonts w:ascii="VIC" w:hAnsi="VIC"/>
          <w:i/>
        </w:rPr>
        <w:t xml:space="preserve">Policy and funding guidelines 2018 </w:t>
      </w:r>
      <w:r w:rsidRPr="00073EAD">
        <w:rPr>
          <w:rFonts w:ascii="VIC" w:hAnsi="VIC"/>
        </w:rPr>
        <w:t>exclude both Victorian Institute of Forensic</w:t>
      </w:r>
      <w:r w:rsidRPr="00073EAD">
        <w:rPr>
          <w:rFonts w:ascii="VIC" w:hAnsi="VIC"/>
          <w:spacing w:val="-14"/>
        </w:rPr>
        <w:t xml:space="preserve"> </w:t>
      </w:r>
      <w:r w:rsidRPr="00073EAD">
        <w:rPr>
          <w:rFonts w:ascii="VIC" w:hAnsi="VIC"/>
        </w:rPr>
        <w:t>Mental Health (Forensicare) and New South Wales activity within Albury Wodonga Health. Reported data include Forensicare and exclude New South Wales</w:t>
      </w:r>
      <w:r w:rsidRPr="00073EAD">
        <w:rPr>
          <w:rFonts w:ascii="VIC" w:hAnsi="VIC"/>
          <w:spacing w:val="13"/>
        </w:rPr>
        <w:t xml:space="preserve"> </w:t>
      </w:r>
      <w:r w:rsidRPr="00073EAD">
        <w:rPr>
          <w:rFonts w:ascii="VIC" w:hAnsi="VIC"/>
        </w:rPr>
        <w:t>data.</w:t>
      </w:r>
    </w:p>
    <w:p w:rsidR="00FD5CA8" w:rsidRPr="00073EAD" w:rsidRDefault="00FD5CA8" w:rsidP="00F3122E">
      <w:pPr>
        <w:pStyle w:val="DHHSbody"/>
        <w:rPr>
          <w:rFonts w:ascii="VIC" w:hAnsi="VIC"/>
          <w:i/>
          <w:color w:val="D50032"/>
          <w:sz w:val="26"/>
          <w:szCs w:val="26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2802E3" w:rsidRPr="00073EAD" w:rsidTr="004E7DBA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CA8" w:rsidRPr="00073EAD" w:rsidRDefault="00FD5CA8" w:rsidP="00FD5CA8">
            <w:pPr>
              <w:pStyle w:val="DHHSaccessibilitypara"/>
              <w:rPr>
                <w:rFonts w:ascii="VIC" w:hAnsi="VIC"/>
              </w:rPr>
            </w:pPr>
            <w:bookmarkStart w:id="3" w:name="_Hlk15389955"/>
            <w:r w:rsidRPr="00073EAD">
              <w:rPr>
                <w:rFonts w:ascii="VIC" w:hAnsi="VIC"/>
              </w:rPr>
              <w:t xml:space="preserve">To receive this publication in an accessible format phone </w:t>
            </w:r>
            <w:r w:rsidR="00DD4921">
              <w:rPr>
                <w:rFonts w:ascii="VIC" w:hAnsi="VIC"/>
              </w:rPr>
              <w:t xml:space="preserve">(03) </w:t>
            </w:r>
            <w:bookmarkStart w:id="4" w:name="_GoBack"/>
            <w:bookmarkEnd w:id="4"/>
            <w:r w:rsidR="00B22E91" w:rsidRPr="00073EAD">
              <w:rPr>
                <w:rFonts w:ascii="VIC" w:hAnsi="VIC"/>
              </w:rPr>
              <w:t>9096 1878</w:t>
            </w:r>
            <w:r w:rsidRPr="00073EAD">
              <w:rPr>
                <w:rFonts w:ascii="VIC" w:hAnsi="VIC"/>
              </w:rPr>
              <w:t>, using the National Relay Service 13 36 77 if required, or email</w:t>
            </w:r>
            <w:r w:rsidR="00B22E91" w:rsidRPr="00073EAD">
              <w:rPr>
                <w:rFonts w:ascii="VIC" w:hAnsi="VIC"/>
              </w:rPr>
              <w:t xml:space="preserve"> Victorian Agency for Health Information</w:t>
            </w:r>
            <w:r w:rsidR="009440F6" w:rsidRPr="00073EAD">
              <w:rPr>
                <w:rFonts w:ascii="VIC" w:hAnsi="VIC"/>
              </w:rPr>
              <w:t xml:space="preserve"> &lt;</w:t>
            </w:r>
            <w:hyperlink r:id="rId10" w:history="1">
              <w:r w:rsidR="009440F6" w:rsidRPr="00073EAD">
                <w:rPr>
                  <w:rStyle w:val="Hyperlink"/>
                  <w:rFonts w:ascii="VIC" w:hAnsi="VIC"/>
                </w:rPr>
                <w:t>vahi@vahi.vic.gov.au</w:t>
              </w:r>
            </w:hyperlink>
            <w:r w:rsidR="009440F6" w:rsidRPr="00073EAD">
              <w:rPr>
                <w:rFonts w:ascii="VIC" w:hAnsi="VIC"/>
              </w:rPr>
              <w:t>&gt;</w:t>
            </w:r>
          </w:p>
          <w:p w:rsidR="00FD5CA8" w:rsidRPr="00073EAD" w:rsidRDefault="00FD5CA8" w:rsidP="00FD5CA8">
            <w:pPr>
              <w:pStyle w:val="DHHSbody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Authorised and published by the Victorian Government, 1 Treasury Place, Melbourne.</w:t>
            </w:r>
          </w:p>
          <w:p w:rsidR="00FD5CA8" w:rsidRPr="00073EAD" w:rsidRDefault="00FD5CA8" w:rsidP="00FD5CA8">
            <w:pPr>
              <w:pStyle w:val="DHHSbody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>© State of Victoria, Department of Health and Human Services July 201</w:t>
            </w:r>
            <w:r w:rsidR="006F7A0C">
              <w:rPr>
                <w:rFonts w:ascii="VIC" w:hAnsi="VIC"/>
              </w:rPr>
              <w:t>9</w:t>
            </w:r>
          </w:p>
          <w:p w:rsidR="002802E3" w:rsidRPr="00073EAD" w:rsidRDefault="00FD5CA8" w:rsidP="00FD5CA8">
            <w:pPr>
              <w:pStyle w:val="DHHSbody"/>
              <w:rPr>
                <w:rFonts w:ascii="VIC" w:hAnsi="VIC"/>
              </w:rPr>
            </w:pPr>
            <w:r w:rsidRPr="00073EAD">
              <w:rPr>
                <w:rFonts w:ascii="VIC" w:hAnsi="VIC"/>
              </w:rPr>
              <w:t xml:space="preserve">Available from </w:t>
            </w:r>
            <w:hyperlink r:id="rId11" w:history="1">
              <w:r w:rsidRPr="00073EAD">
                <w:rPr>
                  <w:rStyle w:val="Hyperlink"/>
                  <w:rFonts w:ascii="VIC" w:hAnsi="VIC"/>
                </w:rPr>
                <w:t>Service hours - mental health performance indicator reports page</w:t>
              </w:r>
            </w:hyperlink>
            <w:r w:rsidRPr="00073EAD">
              <w:rPr>
                <w:rFonts w:ascii="VIC" w:hAnsi="VIC"/>
              </w:rPr>
              <w:t xml:space="preserve"> &lt; https://www2.health.vic.gov.au/mental-health/research-and-reporting/mental-health-performance-reports/service-hours-performance-indicator-reports&gt; on the </w:t>
            </w:r>
            <w:proofErr w:type="spellStart"/>
            <w:r w:rsidRPr="00073EAD">
              <w:rPr>
                <w:rFonts w:ascii="VIC" w:hAnsi="VIC"/>
              </w:rPr>
              <w:t>Health.vic</w:t>
            </w:r>
            <w:proofErr w:type="spellEnd"/>
            <w:r w:rsidRPr="00073EAD">
              <w:rPr>
                <w:rFonts w:ascii="VIC" w:hAnsi="VIC"/>
              </w:rPr>
              <w:t xml:space="preserve"> website.</w:t>
            </w:r>
          </w:p>
        </w:tc>
      </w:tr>
      <w:bookmarkEnd w:id="3"/>
    </w:tbl>
    <w:p w:rsidR="00B2752E" w:rsidRPr="00073EAD" w:rsidRDefault="00B2752E" w:rsidP="00FF6D9D">
      <w:pPr>
        <w:pStyle w:val="DHHSbody"/>
        <w:rPr>
          <w:rFonts w:ascii="VIC" w:hAnsi="VIC"/>
        </w:rPr>
      </w:pPr>
    </w:p>
    <w:sectPr w:rsidR="00B2752E" w:rsidRPr="00073EAD" w:rsidSect="00E45931">
      <w:headerReference w:type="default" r:id="rId12"/>
      <w:footerReference w:type="default" r:id="rId13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A8" w:rsidRDefault="00FD5CA8">
      <w:r>
        <w:separator/>
      </w:r>
    </w:p>
  </w:endnote>
  <w:endnote w:type="continuationSeparator" w:id="0">
    <w:p w:rsidR="00FD5CA8" w:rsidRDefault="00FD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FD5CA8" w:rsidP="007034E7">
    <w:pPr>
      <w:pStyle w:val="DHHSfooter"/>
    </w:pPr>
    <w:r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FD5CA8" w:rsidP="007034E7">
    <w:pPr>
      <w:pStyle w:val="DHHSfooter"/>
    </w:pPr>
    <w:r w:rsidRPr="00FD5CA8">
      <w:t>Data Source: CMI/ODS, as at 11/07/2019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35B2C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A8" w:rsidRDefault="00FD5CA8" w:rsidP="002862F1">
      <w:pPr>
        <w:spacing w:before="120"/>
      </w:pPr>
      <w:r>
        <w:separator/>
      </w:r>
    </w:p>
  </w:footnote>
  <w:footnote w:type="continuationSeparator" w:id="0">
    <w:p w:rsidR="00FD5CA8" w:rsidRDefault="00FD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A8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3E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55FD5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E73EF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6B2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2F7F61"/>
    <w:rsid w:val="00302216"/>
    <w:rsid w:val="00303E53"/>
    <w:rsid w:val="003041C3"/>
    <w:rsid w:val="00305D25"/>
    <w:rsid w:val="00306E5F"/>
    <w:rsid w:val="00307E14"/>
    <w:rsid w:val="00307F3C"/>
    <w:rsid w:val="00310351"/>
    <w:rsid w:val="00314054"/>
    <w:rsid w:val="00316F27"/>
    <w:rsid w:val="00327870"/>
    <w:rsid w:val="0033259D"/>
    <w:rsid w:val="00335B2C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0E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6542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6F7A0C"/>
    <w:rsid w:val="007013EF"/>
    <w:rsid w:val="007034E7"/>
    <w:rsid w:val="00713FCD"/>
    <w:rsid w:val="007216AA"/>
    <w:rsid w:val="00721AB5"/>
    <w:rsid w:val="00721DEF"/>
    <w:rsid w:val="00724A43"/>
    <w:rsid w:val="007346E4"/>
    <w:rsid w:val="00740F22"/>
    <w:rsid w:val="00741F1A"/>
    <w:rsid w:val="007450F8"/>
    <w:rsid w:val="007463DD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440F6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5AD4"/>
    <w:rsid w:val="009E7F92"/>
    <w:rsid w:val="009F02A3"/>
    <w:rsid w:val="009F2F27"/>
    <w:rsid w:val="009F4451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A86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291"/>
    <w:rsid w:val="00B13851"/>
    <w:rsid w:val="00B13B1C"/>
    <w:rsid w:val="00B22291"/>
    <w:rsid w:val="00B22E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475EF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492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87893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4C22"/>
    <w:rsid w:val="00F76635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CA8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CD91611"/>
  <w15:chartTrackingRefBased/>
  <w15:docId w15:val="{16179ABB-354D-4B7C-8B99-5B0EF76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CA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DHHSbody"/>
    <w:link w:val="Heading1Char"/>
    <w:uiPriority w:val="1"/>
    <w:qFormat/>
    <w:rsid w:val="006447F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6447F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447F0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447F0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A62A8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D5CA8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">
    <w:name w:val="Body Text"/>
    <w:basedOn w:val="Normal"/>
    <w:link w:val="BodyTextChar"/>
    <w:uiPriority w:val="1"/>
    <w:qFormat/>
    <w:rsid w:val="00FD5CA8"/>
    <w:pPr>
      <w:ind w:left="148"/>
    </w:pPr>
    <w:rPr>
      <w:rFonts w:ascii="Verdana" w:eastAsia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D5CA8"/>
    <w:rPr>
      <w:rFonts w:ascii="Verdana" w:eastAsia="Verdana" w:hAnsi="Verdana"/>
      <w:sz w:val="16"/>
      <w:szCs w:val="16"/>
      <w:lang w:val="en-US" w:eastAsia="en-US"/>
    </w:rPr>
  </w:style>
  <w:style w:type="paragraph" w:customStyle="1" w:styleId="DHHStablecolhead">
    <w:name w:val="DHHS table col head"/>
    <w:uiPriority w:val="3"/>
    <w:qFormat/>
    <w:rsid w:val="009F4451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5CA8"/>
    <w:rPr>
      <w:color w:val="605E5C"/>
      <w:shd w:val="clear" w:color="auto" w:fill="E1DFDD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mental-health/research-and-reporting/mental-health-performance-reports/service-hours-performance-indicator-repo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hi@vahi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Landscape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4FEF-B788-4D59-95CE-A3F4780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03 Blue 2945.dot</Template>
  <TotalTime>69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hours</vt:lpstr>
    </vt:vector>
  </TitlesOfParts>
  <Company>Department of Health and Human Services</Company>
  <LinksUpToDate>false</LinksUpToDate>
  <CharactersWithSpaces>2905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hours</dc:title>
  <dc:subject/>
  <dc:creator>Quality, Safety and Community Systems Reporting</dc:creator>
  <cp:keywords/>
  <cp:lastModifiedBy>Daniel Mendoza (DHHS)</cp:lastModifiedBy>
  <cp:revision>12</cp:revision>
  <cp:lastPrinted>2015-01-28T03:08:00Z</cp:lastPrinted>
  <dcterms:created xsi:type="dcterms:W3CDTF">2019-07-30T03:33:00Z</dcterms:created>
  <dcterms:modified xsi:type="dcterms:W3CDTF">2019-07-31T03:47:00Z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